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158d6k.htm"/>
      <w:bookmarkStart w:id="1" w:name="ksd16915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001-36450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JD.com,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20th Floor, Building A, No. 18 Kechuang 11 Street </w:t>
      </w:r>
    </w:p>
    <w:p>
      <w:pPr>
        <w:pStyle w:val="TextBody"/>
        <w:bidi w:val="0"/>
        <w:spacing w:before="0" w:after="0"/>
        <w:jc w:val="center"/>
        <w:rPr>
          <w:rFonts w:ascii="Times New Roman" w:hAnsi="Times New Roman"/>
          <w:b/>
          <w:sz w:val="20"/>
        </w:rPr>
      </w:pPr>
      <w:r>
        <w:rPr>
          <w:rFonts w:ascii="Times New Roman" w:hAnsi="Times New Roman"/>
          <w:b/>
          <w:sz w:val="20"/>
        </w:rPr>
        <w:t xml:space="preserve">Yizhuang Economic and Technological Development Zone </w:t>
      </w:r>
    </w:p>
    <w:p>
      <w:pPr>
        <w:pStyle w:val="TextBody"/>
        <w:bidi w:val="0"/>
        <w:spacing w:before="0" w:after="0"/>
        <w:jc w:val="center"/>
        <w:rPr>
          <w:rFonts w:ascii="Times New Roman" w:hAnsi="Times New Roman"/>
          <w:b/>
          <w:sz w:val="20"/>
        </w:rPr>
      </w:pPr>
      <w:r>
        <w:rPr>
          <w:rFonts w:ascii="Times New Roman" w:hAnsi="Times New Roman"/>
          <w:b/>
          <w:sz w:val="20"/>
        </w:rPr>
        <w:t xml:space="preserve">Daxing District, Beijing 101111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
        <w:gridCol w:w="326"/>
        <w:gridCol w:w="9431"/>
      </w:tblGrid>
      <w:tr>
        <w:trPr/>
        <w:tc>
          <w:tcPr>
            <w:tcW w:w="44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9431" w:type="dxa"/>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99.1</w:t>
            </w:r>
          </w:p>
        </w:tc>
        <w:tc>
          <w:tcPr>
            <w:tcW w:w="326" w:type="dxa"/>
            <w:tcBorders/>
            <w:vAlign w:val="bottom"/>
          </w:tcPr>
          <w:p>
            <w:pPr>
              <w:pStyle w:val="TableContents"/>
              <w:bidi w:val="0"/>
              <w:spacing w:before="0" w:after="283"/>
              <w:jc w:val="left"/>
              <w:rPr/>
            </w:pPr>
            <w:r>
              <w:rPr/>
              <w:t>  </w:t>
            </w:r>
          </w:p>
        </w:tc>
        <w:tc>
          <w:tcPr>
            <w:tcW w:w="9431" w:type="dxa"/>
            <w:tcBorders/>
          </w:tcPr>
          <w:p>
            <w:pPr>
              <w:pStyle w:val="TableContents"/>
              <w:bidi w:val="0"/>
              <w:spacing w:before="0" w:after="283"/>
              <w:jc w:val="left"/>
              <w:rPr/>
            </w:pPr>
            <w:hyperlink w:anchor="d169158dex991.htm">
              <w:r>
                <w:rPr>
                  <w:rStyle w:val="InternetLink"/>
                </w:rPr>
                <w:t xml:space="preserve">Announcement—Date of Board Meeting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44"/>
        <w:gridCol w:w="61"/>
        <w:gridCol w:w="3277"/>
      </w:tblGrid>
      <w:tr>
        <w:trPr/>
        <w:tc>
          <w:tcPr>
            <w:tcW w:w="74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7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JD.COM, INC.</w:t>
            </w:r>
          </w:p>
        </w:tc>
      </w:tr>
      <w:tr>
        <w:trPr>
          <w:trHeight w:val="240" w:hRule="atLeast"/>
        </w:trPr>
        <w:tc>
          <w:tcPr>
            <w:tcW w:w="744"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r>
      <w:tr>
        <w:trPr/>
        <w:tc>
          <w:tcPr>
            <w:tcW w:w="744" w:type="dxa"/>
            <w:tcBorders/>
          </w:tcPr>
          <w:p>
            <w:pPr>
              <w:pStyle w:val="TableContents"/>
              <w:bidi w:val="0"/>
              <w:spacing w:before="0" w:after="283"/>
              <w:jc w:val="left"/>
              <w:rPr/>
            </w:pPr>
            <w:r>
              <w:rPr/>
              <w:t>By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77" w:type="dxa"/>
            <w:tcBorders>
              <w:bottom w:val="single" w:sz="2" w:space="0" w:color="000000"/>
            </w:tcBorders>
            <w:tcMar>
              <w:bottom w:w="28" w:type="dxa"/>
            </w:tcMar>
          </w:tcPr>
          <w:p>
            <w:pPr>
              <w:pStyle w:val="TableContents"/>
              <w:bidi w:val="0"/>
              <w:spacing w:before="0" w:after="283"/>
              <w:jc w:val="left"/>
              <w:rPr/>
            </w:pPr>
            <w:r>
              <w:rPr/>
              <w:t>/s/ Ian Su Shan</w:t>
            </w:r>
          </w:p>
        </w:tc>
      </w:tr>
      <w:tr>
        <w:trPr/>
        <w:tc>
          <w:tcPr>
            <w:tcW w:w="744" w:type="dxa"/>
            <w:tcBorders/>
          </w:tcPr>
          <w:p>
            <w:pPr>
              <w:pStyle w:val="TableContents"/>
              <w:bidi w:val="0"/>
              <w:spacing w:before="0" w:after="0"/>
              <w:jc w:val="left"/>
              <w:rPr>
                <w:rFonts w:ascii="Times New Roman" w:hAnsi="Times New Roman"/>
                <w:sz w:val="20"/>
              </w:rPr>
            </w:pPr>
            <w:r>
              <w:rPr>
                <w:rFonts w:ascii="Times New Roman" w:hAnsi="Times New Roman"/>
                <w:sz w:val="20"/>
              </w:rPr>
              <w:t>Name :</w:t>
            </w:r>
          </w:p>
        </w:tc>
        <w:tc>
          <w:tcPr>
            <w:tcW w:w="6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Ian Su Shan</w:t>
            </w:r>
          </w:p>
        </w:tc>
      </w:tr>
      <w:tr>
        <w:trPr/>
        <w:tc>
          <w:tcPr>
            <w:tcW w:w="744" w:type="dxa"/>
            <w:tcBorders/>
          </w:tcPr>
          <w:p>
            <w:pPr>
              <w:pStyle w:val="TableContents"/>
              <w:bidi w:val="0"/>
              <w:spacing w:before="0" w:after="0"/>
              <w:jc w:val="left"/>
              <w:rPr>
                <w:rFonts w:ascii="Times New Roman" w:hAnsi="Times New Roman"/>
                <w:sz w:val="20"/>
              </w:rPr>
            </w:pPr>
            <w:r>
              <w:rPr>
                <w:rFonts w:ascii="Times New Roman" w:hAnsi="Times New Roman"/>
                <w:sz w:val="20"/>
              </w:rPr>
              <w:t>Title :</w:t>
            </w:r>
          </w:p>
        </w:tc>
        <w:tc>
          <w:tcPr>
            <w:tcW w:w="61" w:type="dxa"/>
            <w:tcBorders/>
            <w:vAlign w:val="bottom"/>
          </w:tcPr>
          <w:p>
            <w:pPr>
              <w:pStyle w:val="TableContents"/>
              <w:bidi w:val="0"/>
              <w:spacing w:before="0" w:after="283"/>
              <w:jc w:val="left"/>
              <w:rPr/>
            </w:pPr>
            <w:r>
              <w:rPr/>
              <w:t> </w:t>
            </w:r>
          </w:p>
        </w:tc>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31, 2026 </w:t>
      </w:r>
    </w:p>
    <w:p>
      <w:pPr>
        <w:pStyle w:val="TextBody"/>
        <w:bidi w:val="0"/>
        <w:spacing w:before="0" w:after="0"/>
        <w:jc w:val="right"/>
        <w:rPr>
          <w:rFonts w:ascii="Times New Roman" w:hAnsi="Times New Roman"/>
          <w:b/>
          <w:sz w:val="20"/>
        </w:rPr>
      </w:pPr>
      <w:bookmarkStart w:id="2" w:name="d169158dex991.htm"/>
      <w:bookmarkStart w:id="3" w:name="ksd169158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sz w:val="20"/>
        </w:rPr>
      </w:pPr>
      <w:r>
        <w:rPr>
          <w:rFonts w:ascii="Times New Roman" w:hAnsi="Times New Roman"/>
          <w:i/>
          <w:sz w:val="20"/>
        </w:rPr>
        <w:t>Hong Kong Exchanges and Clearing Limited and The Stock Exchange of Hong Kong Limited (the “</w:t>
      </w:r>
      <w:r>
        <w:rPr>
          <w:rFonts w:ascii="Times New Roman" w:hAnsi="Times New Roman"/>
          <w:b/>
          <w:i/>
          <w:sz w:val="20"/>
        </w:rPr>
        <w:t>Hong Kong Stock Exchange</w:t>
      </w:r>
      <w:r>
        <w:rPr>
          <w:rFonts w:ascii="Times New Roman" w:hAnsi="Times New Roman"/>
          <w:sz w:val="20"/>
        </w:rPr>
        <w:t>”</w:t>
      </w:r>
      <w:r>
        <w:rPr>
          <w:rFonts w:ascii="Times New Roman" w:hAnsi="Times New Roman"/>
          <w:i/>
          <w:sz w:val="20"/>
        </w:rPr>
        <w:t xml:space="preserve">)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20 votes, respectively, on any resolution tabled at our general meetings, except as may otherwise be required by law or provided for in our Memorandum and Articles of Association. Shareholders and prospective investors should be aware of the potential risks of investing in a company with a weighted voting rights structure. Our American depositary shares, each representing two of our Class A ordinary shares, are listed on the Nasdaq Global Select Market in the United States under the symbol JD. </w:t>
      </w:r>
    </w:p>
    <w:p>
      <w:pPr>
        <w:pStyle w:val="TextBody"/>
        <w:bidi w:val="0"/>
        <w:spacing w:before="0" w:after="0"/>
        <w:jc w:val="center"/>
        <w:rPr/>
      </w:pPr>
      <w:r>
        <w:rPr/>
        <w:drawing>
          <wp:inline distT="0" distB="0" distL="0" distR="0">
            <wp:extent cx="1671955" cy="513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1955" cy="51371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JD.com, Inc. </w:t>
      </w:r>
    </w:p>
    <w:p>
      <w:pPr>
        <w:pStyle w:val="TextBody"/>
        <w:bidi w:val="0"/>
        <w:spacing w:before="0" w:after="0"/>
        <w:jc w:val="center"/>
        <w:rPr>
          <w:rFonts w:eastAsia="Times New Roman"/>
          <w:sz w:val="20"/>
        </w:rPr>
      </w:pPr>
      <w:r>
        <w:rPr>
          <w:rFonts w:eastAsia="PMingLiU"/>
          <w:b/>
          <w:sz w:val="18"/>
        </w:rPr>
        <w:t>京東集團股份有限公司</w:t>
      </w:r>
      <w:r>
        <w:rPr>
          <w:rFonts w:eastAsia="Times New Roman"/>
          <w:sz w:val="20"/>
        </w:rPr>
        <w:t xml:space="preserve"> </w:t>
      </w:r>
    </w:p>
    <w:p>
      <w:pPr>
        <w:pStyle w:val="TextBody"/>
        <w:bidi w:val="0"/>
        <w:spacing w:before="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9618 (HKD counter) and 89618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BOARD MEETING </w:t>
      </w:r>
    </w:p>
    <w:p>
      <w:pPr>
        <w:pStyle w:val="TextBody"/>
        <w:bidi w:val="0"/>
        <w:spacing w:before="240" w:after="0"/>
        <w:jc w:val="left"/>
        <w:rPr>
          <w:rFonts w:ascii="Times New Roman" w:hAnsi="Times New Roman"/>
          <w:sz w:val="20"/>
        </w:rPr>
      </w:pPr>
      <w:r>
        <w:rPr>
          <w:rFonts w:ascii="Times New Roman" w:hAnsi="Times New Roman"/>
          <w:sz w:val="20"/>
        </w:rPr>
        <w:t>Our board of directors will hold a board meeting on Thursday, August 13, 2026 for the purposes of, among other matters, approving our unaudited financial results and announcement for the three months and six months ended June 30, 2026 (the “</w:t>
      </w:r>
      <w:r>
        <w:rPr>
          <w:rFonts w:ascii="Times New Roman" w:hAnsi="Times New Roman"/>
          <w:b/>
          <w:sz w:val="20"/>
        </w:rPr>
        <w:t>2026 Interim Results Announcement</w:t>
      </w:r>
      <w:r>
        <w:rPr>
          <w:rFonts w:ascii="Times New Roman" w:hAnsi="Times New Roman"/>
          <w:sz w:val="20"/>
        </w:rPr>
        <w:t xml:space="preserve">”). We will upload the 2026 Interim Results Announcement to the Hong Kong Stock Exchange on Thursday, August 13, 2026 (Beijing/Hong Kong Time), after the trading hours of the Hong Kong Stock Exchange and before the opening of the U.S. market.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will hold a conference call at 8:00 pm, Beijing/Hong Kong Time on August 13, 2026 (8:00 am, Eastern Time on August 13, 2026) to discuss the financial results for the three months and six months ended June 30, 2026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Interested parties may register in advance of the conference using the link provided below and dial in 15 minutes prior to the call, using participant dial-in numbers, the Passcode and unique access PIN which would be provided upon registering. Participants will be automatically linked to the live call after completion of this process, unless required to provide the conference ID below due to regional restrictions. </w:t>
      </w:r>
    </w:p>
    <w:p>
      <w:pPr>
        <w:pStyle w:val="TextBody"/>
        <w:bidi w:val="0"/>
        <w:spacing w:before="240" w:after="0"/>
        <w:jc w:val="left"/>
        <w:rPr>
          <w:rFonts w:ascii="Times New Roman" w:hAnsi="Times New Roman"/>
          <w:sz w:val="20"/>
        </w:rPr>
      </w:pPr>
      <w:r>
        <w:rPr>
          <w:rFonts w:ascii="Times New Roman" w:hAnsi="Times New Roman"/>
          <w:b/>
          <w:sz w:val="20"/>
        </w:rPr>
        <w:t>PRE-REGISTER LINK:</w:t>
      </w:r>
      <w:r>
        <w:rPr>
          <w:rFonts w:ascii="Times New Roman" w:hAnsi="Times New Roman"/>
          <w:sz w:val="20"/>
        </w:rPr>
        <w:t xml:space="preserve"> https://s1.c-conf.com/diamondpass/10056227-jwcob7.html </w:t>
      </w:r>
    </w:p>
    <w:p>
      <w:pPr>
        <w:pStyle w:val="TextBody"/>
        <w:bidi w:val="0"/>
        <w:spacing w:before="240" w:after="0"/>
        <w:jc w:val="left"/>
        <w:rPr>
          <w:rFonts w:ascii="Times New Roman" w:hAnsi="Times New Roman"/>
          <w:sz w:val="20"/>
        </w:rPr>
      </w:pPr>
      <w:r>
        <w:rPr>
          <w:rFonts w:ascii="Times New Roman" w:hAnsi="Times New Roman"/>
          <w:b/>
          <w:sz w:val="20"/>
        </w:rPr>
        <w:t>CONFERENCE ID:</w:t>
      </w:r>
      <w:r>
        <w:rPr>
          <w:rFonts w:ascii="Times New Roman" w:hAnsi="Times New Roman"/>
          <w:sz w:val="20"/>
        </w:rPr>
        <w:t xml:space="preserve"> 10056227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telephone replay will be available for one week until August 20, 2026. The dial-in details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7"/>
        <w:gridCol w:w="120"/>
        <w:gridCol w:w="8388"/>
      </w:tblGrid>
      <w:tr>
        <w:trPr/>
        <w:tc>
          <w:tcPr>
            <w:tcW w:w="16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88" w:type="dxa"/>
            <w:tcBorders/>
            <w:vAlign w:val="center"/>
          </w:tcPr>
          <w:p>
            <w:pPr>
              <w:pStyle w:val="TableContents"/>
              <w:bidi w:val="0"/>
              <w:spacing w:before="0" w:after="283"/>
              <w:jc w:val="left"/>
              <w:rPr>
                <w:sz w:val="4"/>
                <w:szCs w:val="4"/>
              </w:rPr>
            </w:pPr>
            <w:r>
              <w:rPr>
                <w:sz w:val="4"/>
                <w:szCs w:val="4"/>
              </w:rPr>
            </w:r>
          </w:p>
        </w:tc>
      </w:tr>
      <w:tr>
        <w:trPr/>
        <w:tc>
          <w:tcPr>
            <w:tcW w:w="1697" w:type="dxa"/>
            <w:tcBorders/>
          </w:tcPr>
          <w:p>
            <w:pPr>
              <w:pStyle w:val="TableContents"/>
              <w:bidi w:val="0"/>
              <w:spacing w:before="0" w:after="283"/>
              <w:jc w:val="left"/>
              <w:rPr/>
            </w:pPr>
            <w:r>
              <w:rPr/>
              <w:t>US:</w:t>
            </w:r>
          </w:p>
        </w:tc>
        <w:tc>
          <w:tcPr>
            <w:tcW w:w="120" w:type="dxa"/>
            <w:tcBorders/>
            <w:vAlign w:val="bottom"/>
          </w:tcPr>
          <w:p>
            <w:pPr>
              <w:pStyle w:val="TableContents"/>
              <w:bidi w:val="0"/>
              <w:spacing w:before="0" w:after="283"/>
              <w:jc w:val="left"/>
              <w:rPr/>
            </w:pPr>
            <w:r>
              <w:rPr/>
              <w:t>  </w:t>
            </w:r>
          </w:p>
        </w:tc>
        <w:tc>
          <w:tcPr>
            <w:tcW w:w="8388" w:type="dxa"/>
            <w:tcBorders/>
            <w:vAlign w:val="bottom"/>
          </w:tcPr>
          <w:p>
            <w:pPr>
              <w:pStyle w:val="TableContents"/>
              <w:bidi w:val="0"/>
              <w:spacing w:before="0" w:after="283"/>
              <w:jc w:val="left"/>
              <w:rPr/>
            </w:pPr>
            <w:r>
              <w:rPr/>
              <w:t>+1-855-883-1031</w:t>
            </w:r>
          </w:p>
        </w:tc>
      </w:tr>
      <w:tr>
        <w:trPr/>
        <w:tc>
          <w:tcPr>
            <w:tcW w:w="1697" w:type="dxa"/>
            <w:tcBorders/>
          </w:tcPr>
          <w:p>
            <w:pPr>
              <w:pStyle w:val="TableContents"/>
              <w:bidi w:val="0"/>
              <w:spacing w:before="0" w:after="283"/>
              <w:jc w:val="left"/>
              <w:rPr/>
            </w:pPr>
            <w:r>
              <w:rPr/>
              <w:t>International:</w:t>
            </w:r>
          </w:p>
        </w:tc>
        <w:tc>
          <w:tcPr>
            <w:tcW w:w="120" w:type="dxa"/>
            <w:tcBorders/>
            <w:vAlign w:val="bottom"/>
          </w:tcPr>
          <w:p>
            <w:pPr>
              <w:pStyle w:val="TableContents"/>
              <w:bidi w:val="0"/>
              <w:spacing w:before="0" w:after="283"/>
              <w:jc w:val="left"/>
              <w:rPr/>
            </w:pPr>
            <w:r>
              <w:rPr/>
              <w:t>  </w:t>
            </w:r>
          </w:p>
        </w:tc>
        <w:tc>
          <w:tcPr>
            <w:tcW w:w="8388" w:type="dxa"/>
            <w:tcBorders/>
            <w:vAlign w:val="bottom"/>
          </w:tcPr>
          <w:p>
            <w:pPr>
              <w:pStyle w:val="TableContents"/>
              <w:bidi w:val="0"/>
              <w:spacing w:before="0" w:after="283"/>
              <w:jc w:val="left"/>
              <w:rPr/>
            </w:pPr>
            <w:r>
              <w:rPr/>
              <w:t>+61-7-3107-6325</w:t>
            </w:r>
          </w:p>
        </w:tc>
      </w:tr>
      <w:tr>
        <w:trPr/>
        <w:tc>
          <w:tcPr>
            <w:tcW w:w="1697" w:type="dxa"/>
            <w:tcBorders/>
          </w:tcPr>
          <w:p>
            <w:pPr>
              <w:pStyle w:val="TableContents"/>
              <w:bidi w:val="0"/>
              <w:spacing w:before="0" w:after="283"/>
              <w:jc w:val="left"/>
              <w:rPr/>
            </w:pPr>
            <w:r>
              <w:rPr/>
              <w:t>Chinese Mainland:</w:t>
            </w:r>
          </w:p>
        </w:tc>
        <w:tc>
          <w:tcPr>
            <w:tcW w:w="120" w:type="dxa"/>
            <w:tcBorders/>
            <w:vAlign w:val="bottom"/>
          </w:tcPr>
          <w:p>
            <w:pPr>
              <w:pStyle w:val="TableContents"/>
              <w:bidi w:val="0"/>
              <w:spacing w:before="0" w:after="283"/>
              <w:jc w:val="left"/>
              <w:rPr/>
            </w:pPr>
            <w:r>
              <w:rPr/>
              <w:t>  </w:t>
            </w:r>
          </w:p>
        </w:tc>
        <w:tc>
          <w:tcPr>
            <w:tcW w:w="8388" w:type="dxa"/>
            <w:tcBorders/>
            <w:vAlign w:val="bottom"/>
          </w:tcPr>
          <w:p>
            <w:pPr>
              <w:pStyle w:val="TableContents"/>
              <w:bidi w:val="0"/>
              <w:spacing w:before="0" w:after="283"/>
              <w:jc w:val="left"/>
              <w:rPr/>
            </w:pPr>
            <w:r>
              <w:rPr/>
              <w:t>400-120-9216</w:t>
            </w:r>
          </w:p>
        </w:tc>
      </w:tr>
      <w:tr>
        <w:trPr/>
        <w:tc>
          <w:tcPr>
            <w:tcW w:w="1697" w:type="dxa"/>
            <w:tcBorders/>
          </w:tcPr>
          <w:p>
            <w:pPr>
              <w:pStyle w:val="TableContents"/>
              <w:bidi w:val="0"/>
              <w:spacing w:before="0" w:after="283"/>
              <w:jc w:val="left"/>
              <w:rPr/>
            </w:pPr>
            <w:r>
              <w:rPr/>
              <w:t>Hong Kong, China:</w:t>
            </w:r>
          </w:p>
        </w:tc>
        <w:tc>
          <w:tcPr>
            <w:tcW w:w="120" w:type="dxa"/>
            <w:tcBorders/>
            <w:vAlign w:val="bottom"/>
          </w:tcPr>
          <w:p>
            <w:pPr>
              <w:pStyle w:val="TableContents"/>
              <w:bidi w:val="0"/>
              <w:spacing w:before="0" w:after="283"/>
              <w:jc w:val="left"/>
              <w:rPr/>
            </w:pPr>
            <w:r>
              <w:rPr/>
              <w:t>  </w:t>
            </w:r>
          </w:p>
        </w:tc>
        <w:tc>
          <w:tcPr>
            <w:tcW w:w="8388" w:type="dxa"/>
            <w:tcBorders/>
            <w:vAlign w:val="bottom"/>
          </w:tcPr>
          <w:p>
            <w:pPr>
              <w:pStyle w:val="TableContents"/>
              <w:bidi w:val="0"/>
              <w:spacing w:before="0" w:after="283"/>
              <w:jc w:val="left"/>
              <w:rPr/>
            </w:pPr>
            <w:r>
              <w:rPr/>
              <w:t>800-930-639</w:t>
            </w:r>
          </w:p>
        </w:tc>
      </w:tr>
      <w:tr>
        <w:trPr/>
        <w:tc>
          <w:tcPr>
            <w:tcW w:w="1697" w:type="dxa"/>
            <w:tcBorders/>
          </w:tcPr>
          <w:p>
            <w:pPr>
              <w:pStyle w:val="TableContents"/>
              <w:bidi w:val="0"/>
              <w:spacing w:before="0" w:after="283"/>
              <w:jc w:val="left"/>
              <w:rPr/>
            </w:pPr>
            <w:r>
              <w:rPr/>
              <w:t>Passcode:</w:t>
            </w:r>
          </w:p>
        </w:tc>
        <w:tc>
          <w:tcPr>
            <w:tcW w:w="120" w:type="dxa"/>
            <w:tcBorders/>
            <w:vAlign w:val="bottom"/>
          </w:tcPr>
          <w:p>
            <w:pPr>
              <w:pStyle w:val="TableContents"/>
              <w:bidi w:val="0"/>
              <w:spacing w:before="0" w:after="283"/>
              <w:jc w:val="left"/>
              <w:rPr/>
            </w:pPr>
            <w:r>
              <w:rPr/>
              <w:t>  </w:t>
            </w:r>
          </w:p>
        </w:tc>
        <w:tc>
          <w:tcPr>
            <w:tcW w:w="8388" w:type="dxa"/>
            <w:tcBorders/>
            <w:vAlign w:val="bottom"/>
          </w:tcPr>
          <w:p>
            <w:pPr>
              <w:pStyle w:val="TableContents"/>
              <w:bidi w:val="0"/>
              <w:spacing w:before="0" w:after="283"/>
              <w:jc w:val="left"/>
              <w:rPr/>
            </w:pPr>
            <w:r>
              <w:rPr/>
              <w:t>10056227</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 live and archived webcast of the conference call will also be available on the Company’s investor relations website at </w:t>
      </w:r>
      <w:r>
        <w:rPr>
          <w:rFonts w:ascii="Times New Roman" w:hAnsi="Times New Roman"/>
          <w:sz w:val="20"/>
          <w:u w:val="single"/>
        </w:rPr>
        <w:t>http://ir.jd.com</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 of Directors</w:t>
            </w:r>
          </w:p>
        </w:tc>
      </w:tr>
      <w:tr>
        <w:trPr/>
        <w:tc>
          <w:tcPr>
            <w:tcW w:w="4082" w:type="dxa"/>
            <w:tcBorders/>
          </w:tcPr>
          <w:p>
            <w:pPr>
              <w:pStyle w:val="TableContents"/>
              <w:bidi w:val="0"/>
              <w:spacing w:before="0" w:after="283"/>
              <w:jc w:val="center"/>
              <w:rPr>
                <w:b/>
              </w:rPr>
            </w:pPr>
            <w:r>
              <w:rPr>
                <w:b/>
              </w:rPr>
              <w:t>JD.com, Inc.</w:t>
            </w:r>
          </w:p>
        </w:tc>
      </w:tr>
      <w:tr>
        <w:trPr/>
        <w:tc>
          <w:tcPr>
            <w:tcW w:w="4082" w:type="dxa"/>
            <w:tcBorders/>
          </w:tcPr>
          <w:p>
            <w:pPr>
              <w:pStyle w:val="TableContents"/>
              <w:bidi w:val="0"/>
              <w:spacing w:before="0" w:after="283"/>
              <w:jc w:val="center"/>
              <w:rPr>
                <w:b/>
              </w:rPr>
            </w:pPr>
            <w:r>
              <w:rPr>
                <w:b/>
              </w:rPr>
              <w:t>Mr. Richard Qiangdong Liu</w:t>
            </w:r>
          </w:p>
        </w:tc>
      </w:tr>
      <w:tr>
        <w:trPr/>
        <w:tc>
          <w:tcPr>
            <w:tcW w:w="4082" w:type="dxa"/>
            <w:tcBorders/>
          </w:tcPr>
          <w:p>
            <w:pPr>
              <w:pStyle w:val="TableContents"/>
              <w:bidi w:val="0"/>
              <w:spacing w:before="0" w:after="283"/>
              <w:jc w:val="center"/>
              <w:rPr>
                <w:i/>
              </w:rPr>
            </w:pPr>
            <w:r>
              <w:rPr>
                <w:i/>
              </w:rPr>
              <w:t>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July 31, 2026 </w:t>
      </w:r>
    </w:p>
    <w:p>
      <w:pPr>
        <w:pStyle w:val="TextBody"/>
        <w:bidi w:val="0"/>
        <w:spacing w:before="120" w:after="0"/>
        <w:jc w:val="left"/>
        <w:rPr>
          <w:rFonts w:ascii="Times New Roman" w:hAnsi="Times New Roman"/>
          <w:sz w:val="20"/>
        </w:rPr>
      </w:pPr>
      <w:r>
        <w:rPr>
          <w:rFonts w:ascii="Times New Roman" w:hAnsi="Times New Roman"/>
          <w:i/>
          <w:sz w:val="20"/>
        </w:rPr>
        <w:t>As at the date of this announcement, our board of directors comprises Mr. Richard Qiangdong LIU as the chairman, Ms. Sandy Ran XU as the executive director, Ms. Caroline SCHEUFELE, Ms. Carol Yun Yau LI, Ms. Grace Kun DING, Ms. Jennifer Ngar-Wing YU, Mr. Ming HUANG, Mr. Louis T. HSIEH, and Mr. Dingbo XU as the independent directors.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725</Words>
  <Characters>3807</Characters>
  <CharactersWithSpaces>4541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