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-629920</wp:posOffset>
            </wp:positionV>
            <wp:extent cx="58420" cy="643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3989070</wp:posOffset>
            </wp:positionH>
            <wp:positionV relativeFrom="paragraph">
              <wp:posOffset>-629920</wp:posOffset>
            </wp:positionV>
            <wp:extent cx="58420" cy="643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748665</wp:posOffset>
            </wp:positionV>
            <wp:extent cx="7045960" cy="45466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546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Huang Ming</w:t>
        </w:r>
      </w:hyperlink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22 W 66TH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JD.com,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JD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620" w:hanging="6"/>
        <w:spacing w:after="0" w:line="264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526"/>
        <w:spacing w:after="0"/>
        <w:tabs>
          <w:tab w:leader="none" w:pos="208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26"/>
        <w:spacing w:after="0"/>
        <w:tabs>
          <w:tab w:leader="none" w:pos="208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4" w:space="720"/>
            <w:col w:w="334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3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10023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37,638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05/15/2026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37,638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37,638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share unit represents the contingent right to receive one Class A ordinary share.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restricted share units were granted on May 15, 2026 and subject to a 2-year vesting schedule in equal installments starting from March 7, 2027. They do not have an expiration date.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Ming Huang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05/15/2026</w:t>
            </w: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60" w:firstLine="3"/>
        <w:spacing w:after="0" w:line="338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975288" TargetMode="External"/><Relationship Id="rId14" Type="http://schemas.openxmlformats.org/officeDocument/2006/relationships/hyperlink" Target="http://www.sec.gov/cgi-bin/browse-edgar?action=getcompany&amp;CIK=00015498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2026-05-15T05:41:53Z</dcterms:created>
  <dcterms:modified xsi:type="dcterms:W3CDTF">2026-05-15T05:41:53Z</dcterms:modified>
</cp:coreProperties>
</file>