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0001971883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29"/>
        <w:gridCol w:w="4876"/>
      </w:tblGrid>
      <w:tr>
        <w:trPr/>
        <w:tc>
          <w:tcPr>
            <w:tcW w:w="5329" w:type="dxa"/>
            <w:tcBorders/>
            <w:vAlign w:val="center"/>
          </w:tcPr>
          <w:p>
            <w:pPr>
              <w:pStyle w:val="TableContents"/>
              <w:bidi w:val="0"/>
              <w:spacing w:before="0" w:after="283"/>
              <w:jc w:val="left"/>
              <w:rPr/>
            </w:pPr>
            <w:r>
              <w:rPr/>
              <w:t>Name of Issuer</w:t>
            </w:r>
          </w:p>
        </w:tc>
        <w:tc>
          <w:tcPr>
            <w:tcW w:w="4876" w:type="dxa"/>
            <w:tcBorders/>
            <w:vAlign w:val="center"/>
          </w:tcPr>
          <w:p>
            <w:pPr>
              <w:pStyle w:val="TableContents"/>
              <w:bidi w:val="0"/>
              <w:spacing w:before="0" w:after="0"/>
              <w:jc w:val="left"/>
              <w:rPr/>
            </w:pPr>
            <w:r>
              <w:rPr/>
              <w:t>JD.com, Inc.</w:t>
            </w:r>
          </w:p>
        </w:tc>
      </w:tr>
      <w:tr>
        <w:trPr/>
        <w:tc>
          <w:tcPr>
            <w:tcW w:w="5329" w:type="dxa"/>
            <w:tcBorders/>
            <w:vAlign w:val="center"/>
          </w:tcPr>
          <w:p>
            <w:pPr>
              <w:pStyle w:val="TableContents"/>
              <w:bidi w:val="0"/>
              <w:spacing w:before="0" w:after="283"/>
              <w:jc w:val="left"/>
              <w:rPr/>
            </w:pPr>
            <w:r>
              <w:rPr/>
              <w:t>SEC File Number</w:t>
            </w:r>
          </w:p>
        </w:tc>
        <w:tc>
          <w:tcPr>
            <w:tcW w:w="4876" w:type="dxa"/>
            <w:tcBorders/>
            <w:vAlign w:val="center"/>
          </w:tcPr>
          <w:p>
            <w:pPr>
              <w:pStyle w:val="TableContents"/>
              <w:bidi w:val="0"/>
              <w:spacing w:before="0" w:after="0"/>
              <w:jc w:val="left"/>
              <w:rPr/>
            </w:pPr>
            <w:r>
              <w:rPr/>
              <w:t>001-36450</w:t>
            </w:r>
          </w:p>
        </w:tc>
      </w:tr>
      <w:tr>
        <w:trPr/>
        <w:tc>
          <w:tcPr>
            <w:tcW w:w="5329" w:type="dxa"/>
            <w:tcBorders/>
            <w:vAlign w:val="center"/>
          </w:tcPr>
          <w:p>
            <w:pPr>
              <w:pStyle w:val="TableContents"/>
              <w:bidi w:val="0"/>
              <w:spacing w:before="0" w:after="283"/>
              <w:jc w:val="left"/>
              <w:rPr/>
            </w:pPr>
            <w:r>
              <w:rPr/>
              <w:t>Address of Issuer</w:t>
            </w:r>
          </w:p>
        </w:tc>
        <w:tc>
          <w:tcPr>
            <w:tcW w:w="4876" w:type="dxa"/>
            <w:tcBorders/>
            <w:vAlign w:val="center"/>
          </w:tcPr>
          <w:p>
            <w:pPr>
              <w:pStyle w:val="TableContents"/>
              <w:bidi w:val="0"/>
              <w:spacing w:before="0" w:after="0"/>
              <w:jc w:val="left"/>
              <w:rPr/>
            </w:pPr>
            <w:r>
              <w:rPr/>
              <w:t>20TH FLOOR, BUILDING A, NO. 18 KECHUANG</w:t>
              <w:br/>
              <w:t>YIZHUANG BDA</w:t>
              <w:br/>
              <w:t>DAXING DISTRICT, BEIJING</w:t>
              <w:br/>
              <w:t xml:space="preserve">CHINA </w:t>
              <w:br/>
              <w:t>101111</w:t>
            </w:r>
          </w:p>
        </w:tc>
      </w:tr>
      <w:tr>
        <w:trPr/>
        <w:tc>
          <w:tcPr>
            <w:tcW w:w="5329" w:type="dxa"/>
            <w:tcBorders/>
            <w:vAlign w:val="center"/>
          </w:tcPr>
          <w:p>
            <w:pPr>
              <w:pStyle w:val="TableContents"/>
              <w:bidi w:val="0"/>
              <w:spacing w:before="0" w:after="283"/>
              <w:jc w:val="left"/>
              <w:rPr/>
            </w:pPr>
            <w:r>
              <w:rPr/>
              <w:t>Phone</w:t>
            </w:r>
          </w:p>
        </w:tc>
        <w:tc>
          <w:tcPr>
            <w:tcW w:w="4876" w:type="dxa"/>
            <w:tcBorders/>
            <w:vAlign w:val="center"/>
          </w:tcPr>
          <w:p>
            <w:pPr>
              <w:pStyle w:val="TableContents"/>
              <w:bidi w:val="0"/>
              <w:spacing w:before="0" w:after="0"/>
              <w:jc w:val="left"/>
              <w:rPr/>
            </w:pPr>
            <w:r>
              <w:rPr/>
              <w:t>86-10-5895-5500</w:t>
            </w:r>
          </w:p>
        </w:tc>
      </w:tr>
      <w:tr>
        <w:trPr/>
        <w:tc>
          <w:tcPr>
            <w:tcW w:w="5329" w:type="dxa"/>
            <w:tcBorders/>
            <w:vAlign w:val="center"/>
          </w:tcPr>
          <w:p>
            <w:pPr>
              <w:pStyle w:val="TableContents"/>
              <w:bidi w:val="0"/>
              <w:spacing w:before="0" w:after="283"/>
              <w:jc w:val="left"/>
              <w:rPr/>
            </w:pPr>
            <w:r>
              <w:rPr/>
              <w:t>Name of Person for Whose Account the Securities are To Be Sold</w:t>
            </w:r>
          </w:p>
        </w:tc>
        <w:tc>
          <w:tcPr>
            <w:tcW w:w="4876" w:type="dxa"/>
            <w:tcBorders/>
            <w:vAlign w:val="center"/>
          </w:tcPr>
          <w:p>
            <w:pPr>
              <w:pStyle w:val="TableContents"/>
              <w:bidi w:val="0"/>
              <w:spacing w:before="0" w:after="0"/>
              <w:jc w:val="left"/>
              <w:rPr/>
            </w:pPr>
            <w:r>
              <w:rPr/>
              <w:t>Fortune Rising Holdings Ltd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29" w:type="dxa"/>
            <w:tcBorders/>
            <w:vAlign w:val="center"/>
          </w:tcPr>
          <w:p>
            <w:pPr>
              <w:pStyle w:val="TableContents"/>
              <w:bidi w:val="0"/>
              <w:spacing w:before="0" w:after="283"/>
              <w:jc w:val="left"/>
              <w:rPr/>
            </w:pPr>
            <w:r>
              <w:rPr/>
              <w:t>Relationship to Issuer</w:t>
            </w:r>
          </w:p>
        </w:tc>
        <w:tc>
          <w:tcPr>
            <w:tcW w:w="4876"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9"/>
        <w:gridCol w:w="1449"/>
        <w:gridCol w:w="1146"/>
        <w:gridCol w:w="1439"/>
        <w:gridCol w:w="1532"/>
        <w:gridCol w:w="1554"/>
        <w:gridCol w:w="1386"/>
      </w:tblGrid>
      <w:tr>
        <w:trPr/>
        <w:tc>
          <w:tcPr>
            <w:tcW w:w="1699"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46" w:type="dxa"/>
            <w:tcBorders/>
            <w:vAlign w:val="center"/>
          </w:tcPr>
          <w:p>
            <w:pPr>
              <w:pStyle w:val="TableHeading"/>
              <w:suppressLineNumbers/>
              <w:bidi w:val="0"/>
              <w:spacing w:before="0" w:after="283"/>
              <w:jc w:val="center"/>
              <w:rPr/>
            </w:pPr>
            <w:r>
              <w:rPr/>
              <w:t>Number of Shares or Other Units To Be Sold</w:t>
            </w:r>
          </w:p>
        </w:tc>
        <w:tc>
          <w:tcPr>
            <w:tcW w:w="1439" w:type="dxa"/>
            <w:tcBorders/>
            <w:vAlign w:val="center"/>
          </w:tcPr>
          <w:p>
            <w:pPr>
              <w:pStyle w:val="TableHeading"/>
              <w:suppressLineNumbers/>
              <w:bidi w:val="0"/>
              <w:spacing w:before="0" w:after="283"/>
              <w:jc w:val="center"/>
              <w:rPr/>
            </w:pPr>
            <w:r>
              <w:rPr/>
              <w:t>Aggregate Market Value</w:t>
            </w:r>
          </w:p>
        </w:tc>
        <w:tc>
          <w:tcPr>
            <w:tcW w:w="1532" w:type="dxa"/>
            <w:tcBorders/>
            <w:vAlign w:val="center"/>
          </w:tcPr>
          <w:p>
            <w:pPr>
              <w:pStyle w:val="TableHeading"/>
              <w:suppressLineNumbers/>
              <w:bidi w:val="0"/>
              <w:spacing w:before="0" w:after="283"/>
              <w:jc w:val="center"/>
              <w:rPr/>
            </w:pPr>
            <w:r>
              <w:rPr/>
              <w:t>Number of Shares or Other Units Outstanding</w:t>
            </w:r>
          </w:p>
        </w:tc>
        <w:tc>
          <w:tcPr>
            <w:tcW w:w="1554"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699" w:type="dxa"/>
            <w:tcBorders/>
            <w:vAlign w:val="center"/>
          </w:tcPr>
          <w:p>
            <w:pPr>
              <w:pStyle w:val="TableContents"/>
              <w:bidi w:val="0"/>
              <w:spacing w:before="0" w:after="283"/>
              <w:jc w:val="left"/>
              <w:rPr/>
            </w:pPr>
            <w:r>
              <w:rPr/>
              <w:t>ADS (each representing two Class A ordinary shares)</w:t>
            </w:r>
          </w:p>
        </w:tc>
        <w:tc>
          <w:tcPr>
            <w:tcW w:w="1449" w:type="dxa"/>
            <w:tcBorders/>
            <w:vAlign w:val="center"/>
          </w:tcPr>
          <w:p>
            <w:pPr>
              <w:pStyle w:val="TableContents"/>
              <w:bidi w:val="0"/>
              <w:spacing w:before="0" w:after="0"/>
              <w:jc w:val="left"/>
              <w:rPr/>
            </w:pPr>
            <w:r>
              <w:rPr/>
              <w:t>The Core Securities Company Limited</w:t>
              <w:br/>
              <w:t>Suite C, 20/F, Standard Chartered Bank</w:t>
              <w:br/>
              <w:t>Building, 4-4A Des Voeux Road Central</w:t>
              <w:br/>
              <w:t>Central   K3   999077</w:t>
            </w:r>
          </w:p>
        </w:tc>
        <w:tc>
          <w:tcPr>
            <w:tcW w:w="1146" w:type="dxa"/>
            <w:tcBorders/>
            <w:vAlign w:val="center"/>
          </w:tcPr>
          <w:p>
            <w:pPr>
              <w:pStyle w:val="TableContents"/>
              <w:bidi w:val="0"/>
              <w:spacing w:before="0" w:after="283"/>
              <w:jc w:val="left"/>
              <w:rPr/>
            </w:pPr>
            <w:r>
              <w:rPr/>
              <w:t>140000</w:t>
            </w:r>
          </w:p>
        </w:tc>
        <w:tc>
          <w:tcPr>
            <w:tcW w:w="1439" w:type="dxa"/>
            <w:tcBorders/>
            <w:vAlign w:val="center"/>
          </w:tcPr>
          <w:p>
            <w:pPr>
              <w:pStyle w:val="TableContents"/>
              <w:bidi w:val="0"/>
              <w:spacing w:before="0" w:after="283"/>
              <w:jc w:val="left"/>
              <w:rPr/>
            </w:pPr>
            <w:r>
              <w:rPr/>
              <w:t>3729600.00</w:t>
            </w:r>
          </w:p>
        </w:tc>
        <w:tc>
          <w:tcPr>
            <w:tcW w:w="1532" w:type="dxa"/>
            <w:tcBorders/>
            <w:vAlign w:val="center"/>
          </w:tcPr>
          <w:p>
            <w:pPr>
              <w:pStyle w:val="TableContents"/>
              <w:bidi w:val="0"/>
              <w:spacing w:before="0" w:after="283"/>
              <w:jc w:val="left"/>
              <w:rPr/>
            </w:pPr>
            <w:r>
              <w:rPr/>
              <w:t>2694303539</w:t>
            </w:r>
          </w:p>
        </w:tc>
        <w:tc>
          <w:tcPr>
            <w:tcW w:w="1554" w:type="dxa"/>
            <w:tcBorders/>
            <w:vAlign w:val="center"/>
          </w:tcPr>
          <w:p>
            <w:pPr>
              <w:pStyle w:val="TableContents"/>
              <w:bidi w:val="0"/>
              <w:spacing w:before="0" w:after="283"/>
              <w:jc w:val="left"/>
              <w:rPr/>
            </w:pPr>
            <w:r>
              <w:rPr/>
              <w:t>09/18/2026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66"/>
        <w:gridCol w:w="1114"/>
        <w:gridCol w:w="1559"/>
        <w:gridCol w:w="1158"/>
        <w:gridCol w:w="520"/>
        <w:gridCol w:w="1114"/>
        <w:gridCol w:w="1158"/>
        <w:gridCol w:w="1054"/>
        <w:gridCol w:w="1162"/>
      </w:tblGrid>
      <w:tr>
        <w:trPr/>
        <w:tc>
          <w:tcPr>
            <w:tcW w:w="1366" w:type="dxa"/>
            <w:tcBorders/>
            <w:vAlign w:val="center"/>
          </w:tcPr>
          <w:p>
            <w:pPr>
              <w:pStyle w:val="TableHeading"/>
              <w:suppressLineNumbers/>
              <w:bidi w:val="0"/>
              <w:spacing w:before="0" w:after="283"/>
              <w:jc w:val="center"/>
              <w:rPr/>
            </w:pPr>
            <w:r>
              <w:rPr/>
              <w:t>Title of the Class</w:t>
            </w:r>
          </w:p>
        </w:tc>
        <w:tc>
          <w:tcPr>
            <w:tcW w:w="1114"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158" w:type="dxa"/>
            <w:tcBorders/>
            <w:vAlign w:val="center"/>
          </w:tcPr>
          <w:p>
            <w:pPr>
              <w:pStyle w:val="TableHeading"/>
              <w:suppressLineNumbers/>
              <w:bidi w:val="0"/>
              <w:spacing w:before="0" w:after="283"/>
              <w:jc w:val="center"/>
              <w:rPr/>
            </w:pPr>
            <w:r>
              <w:rPr/>
              <w:t>Name of Person from Whom Acquired</w:t>
            </w:r>
          </w:p>
        </w:tc>
        <w:tc>
          <w:tcPr>
            <w:tcW w:w="520" w:type="dxa"/>
            <w:tcBorders/>
            <w:vAlign w:val="center"/>
          </w:tcPr>
          <w:p>
            <w:pPr>
              <w:pStyle w:val="TableHeading"/>
              <w:suppressLineNumbers/>
              <w:bidi w:val="0"/>
              <w:spacing w:before="0" w:after="283"/>
              <w:jc w:val="center"/>
              <w:rPr/>
            </w:pPr>
            <w:r>
              <w:rPr/>
              <w:t>Is this a Gift?</w:t>
            </w:r>
          </w:p>
        </w:tc>
        <w:tc>
          <w:tcPr>
            <w:tcW w:w="1114" w:type="dxa"/>
            <w:tcBorders/>
            <w:vAlign w:val="center"/>
          </w:tcPr>
          <w:p>
            <w:pPr>
              <w:pStyle w:val="TableHeading"/>
              <w:suppressLineNumbers/>
              <w:bidi w:val="0"/>
              <w:spacing w:before="0" w:after="283"/>
              <w:jc w:val="center"/>
              <w:rPr/>
            </w:pPr>
            <w:r>
              <w:rPr/>
              <w:t>Date Donor Acquired</w:t>
            </w:r>
          </w:p>
        </w:tc>
        <w:tc>
          <w:tcPr>
            <w:tcW w:w="1158" w:type="dxa"/>
            <w:tcBorders/>
            <w:vAlign w:val="center"/>
          </w:tcPr>
          <w:p>
            <w:pPr>
              <w:pStyle w:val="TableHeading"/>
              <w:suppressLineNumbers/>
              <w:bidi w:val="0"/>
              <w:spacing w:before="0" w:after="283"/>
              <w:jc w:val="center"/>
              <w:rPr/>
            </w:pPr>
            <w:r>
              <w:rPr/>
              <w:t>Amount of Securities Acquired</w:t>
            </w:r>
          </w:p>
        </w:tc>
        <w:tc>
          <w:tcPr>
            <w:tcW w:w="1054" w:type="dxa"/>
            <w:tcBorders/>
            <w:vAlign w:val="center"/>
          </w:tcPr>
          <w:p>
            <w:pPr>
              <w:pStyle w:val="TableHeading"/>
              <w:suppressLineNumbers/>
              <w:bidi w:val="0"/>
              <w:spacing w:before="0" w:after="283"/>
              <w:jc w:val="center"/>
              <w:rPr/>
            </w:pPr>
            <w:r>
              <w:rPr/>
              <w:t>Date of Payment</w:t>
            </w:r>
          </w:p>
        </w:tc>
        <w:tc>
          <w:tcPr>
            <w:tcW w:w="116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66" w:type="dxa"/>
            <w:tcBorders/>
            <w:vAlign w:val="center"/>
          </w:tcPr>
          <w:p>
            <w:pPr>
              <w:pStyle w:val="TableContents"/>
              <w:bidi w:val="0"/>
              <w:spacing w:before="0" w:after="283"/>
              <w:jc w:val="left"/>
              <w:rPr/>
            </w:pPr>
            <w:r>
              <w:rPr/>
              <w:t>ADS (each representing two Class A ordinary shares)</w:t>
            </w:r>
          </w:p>
        </w:tc>
        <w:tc>
          <w:tcPr>
            <w:tcW w:w="1114" w:type="dxa"/>
            <w:tcBorders/>
            <w:vAlign w:val="center"/>
          </w:tcPr>
          <w:p>
            <w:pPr>
              <w:pStyle w:val="TableContents"/>
              <w:bidi w:val="0"/>
              <w:spacing w:before="0" w:after="283"/>
              <w:jc w:val="left"/>
              <w:rPr/>
            </w:pPr>
            <w:r>
              <w:rPr/>
              <w:t>05/09/2014</w:t>
            </w:r>
          </w:p>
        </w:tc>
        <w:tc>
          <w:tcPr>
            <w:tcW w:w="1559" w:type="dxa"/>
            <w:tcBorders/>
            <w:vAlign w:val="center"/>
          </w:tcPr>
          <w:p>
            <w:pPr>
              <w:pStyle w:val="TableContents"/>
              <w:bidi w:val="0"/>
              <w:spacing w:before="0" w:after="283"/>
              <w:jc w:val="left"/>
              <w:rPr/>
            </w:pPr>
            <w:r>
              <w:rPr/>
              <w:t>Redesignation of shares previously issued by the issuer for the benefit of its employees under Share Incentive Plan</w:t>
            </w:r>
          </w:p>
        </w:tc>
        <w:tc>
          <w:tcPr>
            <w:tcW w:w="1158" w:type="dxa"/>
            <w:tcBorders/>
            <w:vAlign w:val="center"/>
          </w:tcPr>
          <w:p>
            <w:pPr>
              <w:pStyle w:val="TableContents"/>
              <w:bidi w:val="0"/>
              <w:spacing w:before="0" w:after="283"/>
              <w:jc w:val="left"/>
              <w:rPr/>
            </w:pPr>
            <w:r>
              <w:rPr/>
              <w:t>JD.com, Inc.</w:t>
            </w:r>
          </w:p>
        </w:tc>
        <w:tc>
          <w:tcPr>
            <w:tcW w:w="52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4"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pPr>
            <w:r>
              <w:rPr/>
              <w:t>140000</w:t>
            </w:r>
          </w:p>
        </w:tc>
        <w:tc>
          <w:tcPr>
            <w:tcW w:w="1054" w:type="dxa"/>
            <w:tcBorders/>
            <w:vAlign w:val="center"/>
          </w:tcPr>
          <w:p>
            <w:pPr>
              <w:pStyle w:val="TableContents"/>
              <w:bidi w:val="0"/>
              <w:spacing w:before="0" w:after="283"/>
              <w:jc w:val="left"/>
              <w:rPr/>
            </w:pPr>
            <w:r>
              <w:rPr/>
              <w:t>05/09/2014</w:t>
            </w:r>
          </w:p>
        </w:tc>
        <w:tc>
          <w:tcPr>
            <w:tcW w:w="116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65"/>
        <w:gridCol w:w="2849"/>
        <w:gridCol w:w="926"/>
        <w:gridCol w:w="1536"/>
        <w:gridCol w:w="1729"/>
      </w:tblGrid>
      <w:tr>
        <w:trPr/>
        <w:tc>
          <w:tcPr>
            <w:tcW w:w="3165" w:type="dxa"/>
            <w:tcBorders/>
            <w:vAlign w:val="center"/>
          </w:tcPr>
          <w:p>
            <w:pPr>
              <w:pStyle w:val="TableHeading"/>
              <w:suppressLineNumbers/>
              <w:bidi w:val="0"/>
              <w:spacing w:before="0" w:after="283"/>
              <w:jc w:val="center"/>
              <w:rPr/>
            </w:pPr>
            <w:r>
              <w:rPr/>
              <w:t>Name and Address of Seller</w:t>
            </w:r>
          </w:p>
        </w:tc>
        <w:tc>
          <w:tcPr>
            <w:tcW w:w="2849" w:type="dxa"/>
            <w:tcBorders/>
            <w:vAlign w:val="center"/>
          </w:tcPr>
          <w:p>
            <w:pPr>
              <w:pStyle w:val="TableHeading"/>
              <w:suppressLineNumbers/>
              <w:bidi w:val="0"/>
              <w:spacing w:before="0" w:after="283"/>
              <w:jc w:val="center"/>
              <w:rPr/>
            </w:pPr>
            <w:r>
              <w:rPr/>
              <w:t>Title of Securities Sold</w:t>
            </w:r>
          </w:p>
        </w:tc>
        <w:tc>
          <w:tcPr>
            <w:tcW w:w="926" w:type="dxa"/>
            <w:tcBorders/>
            <w:vAlign w:val="center"/>
          </w:tcPr>
          <w:p>
            <w:pPr>
              <w:pStyle w:val="TableHeading"/>
              <w:suppressLineNumbers/>
              <w:bidi w:val="0"/>
              <w:spacing w:before="0" w:after="283"/>
              <w:jc w:val="center"/>
              <w:rPr/>
            </w:pPr>
            <w:r>
              <w:rPr/>
              <w:t>Date of Sale</w:t>
            </w:r>
          </w:p>
        </w:tc>
        <w:tc>
          <w:tcPr>
            <w:tcW w:w="1536" w:type="dxa"/>
            <w:tcBorders/>
            <w:vAlign w:val="center"/>
          </w:tcPr>
          <w:p>
            <w:pPr>
              <w:pStyle w:val="TableHeading"/>
              <w:suppressLineNumbers/>
              <w:bidi w:val="0"/>
              <w:spacing w:before="0" w:after="283"/>
              <w:jc w:val="center"/>
              <w:rPr/>
            </w:pPr>
            <w:r>
              <w:rPr/>
              <w:t>Amount of Securities Sold</w:t>
            </w:r>
          </w:p>
        </w:tc>
        <w:tc>
          <w:tcPr>
            <w:tcW w:w="1729" w:type="dxa"/>
            <w:tcBorders/>
            <w:vAlign w:val="center"/>
          </w:tcPr>
          <w:p>
            <w:pPr>
              <w:pStyle w:val="TableHeading"/>
              <w:suppressLineNumbers/>
              <w:bidi w:val="0"/>
              <w:spacing w:before="0" w:after="283"/>
              <w:jc w:val="center"/>
              <w:rPr/>
            </w:pPr>
            <w:r>
              <w:rPr/>
              <w:t>Gross Proceeds</w:t>
            </w:r>
          </w:p>
        </w:tc>
      </w:tr>
      <w:tr>
        <w:trPr/>
        <w:tc>
          <w:tcPr>
            <w:tcW w:w="3165" w:type="dxa"/>
            <w:tcBorders/>
            <w:vAlign w:val="center"/>
          </w:tcPr>
          <w:p>
            <w:pPr>
              <w:pStyle w:val="TableContents"/>
              <w:bidi w:val="0"/>
              <w:spacing w:before="0" w:after="283"/>
              <w:jc w:val="left"/>
              <w:rPr/>
            </w:pPr>
            <w:r>
              <w:rPr/>
              <w:t>Fortune Rising Holdings Ltd</w:t>
              <w:br/>
              <w:t>20TH FLOOR, BUILDING A, NO. 18 KECHUANG</w:t>
              <w:br/>
              <w:t>YIZHUANG BDA, DAXING DISTRICT,</w:t>
              <w:br/>
              <w:t>BEIJING   F4   101111</w:t>
            </w:r>
          </w:p>
        </w:tc>
        <w:tc>
          <w:tcPr>
            <w:tcW w:w="2849" w:type="dxa"/>
            <w:tcBorders/>
            <w:vAlign w:val="center"/>
          </w:tcPr>
          <w:p>
            <w:pPr>
              <w:pStyle w:val="TableContents"/>
              <w:bidi w:val="0"/>
              <w:spacing w:before="0" w:after="283"/>
              <w:jc w:val="left"/>
              <w:rPr/>
            </w:pPr>
            <w:r>
              <w:rPr/>
              <w:t>ADS of JD.com, Inc.</w:t>
            </w:r>
          </w:p>
        </w:tc>
        <w:tc>
          <w:tcPr>
            <w:tcW w:w="926" w:type="dxa"/>
            <w:tcBorders/>
            <w:vAlign w:val="center"/>
          </w:tcPr>
          <w:p>
            <w:pPr>
              <w:pStyle w:val="TableContents"/>
              <w:bidi w:val="0"/>
              <w:spacing w:before="0" w:after="283"/>
              <w:jc w:val="left"/>
              <w:rPr/>
            </w:pPr>
            <w:r>
              <w:rPr/>
              <w:t>06/30/2026</w:t>
            </w:r>
          </w:p>
        </w:tc>
        <w:tc>
          <w:tcPr>
            <w:tcW w:w="1536" w:type="dxa"/>
            <w:tcBorders/>
            <w:vAlign w:val="center"/>
          </w:tcPr>
          <w:p>
            <w:pPr>
              <w:pStyle w:val="TableContents"/>
              <w:bidi w:val="0"/>
              <w:spacing w:before="0" w:after="283"/>
              <w:jc w:val="left"/>
              <w:rPr/>
            </w:pPr>
            <w:r>
              <w:rPr/>
              <w:t>4632</w:t>
            </w:r>
          </w:p>
        </w:tc>
        <w:tc>
          <w:tcPr>
            <w:tcW w:w="1729" w:type="dxa"/>
            <w:tcBorders/>
            <w:vAlign w:val="center"/>
          </w:tcPr>
          <w:p>
            <w:pPr>
              <w:pStyle w:val="TableContents"/>
              <w:bidi w:val="0"/>
              <w:spacing w:before="0" w:after="283"/>
              <w:jc w:val="left"/>
              <w:rPr/>
            </w:pPr>
            <w:r>
              <w:rPr/>
              <w:t>117203.85</w:t>
            </w:r>
          </w:p>
        </w:tc>
      </w:tr>
      <w:tr>
        <w:trPr/>
        <w:tc>
          <w:tcPr>
            <w:tcW w:w="3165" w:type="dxa"/>
            <w:tcBorders/>
            <w:vAlign w:val="center"/>
          </w:tcPr>
          <w:p>
            <w:pPr>
              <w:pStyle w:val="TableContents"/>
              <w:bidi w:val="0"/>
              <w:spacing w:before="0" w:after="283"/>
              <w:jc w:val="left"/>
              <w:rPr/>
            </w:pPr>
            <w:r>
              <w:rPr/>
              <w:t>Fortune Rising Holdings Ltd</w:t>
              <w:br/>
              <w:t>20TH FLOOR, BUILDING A, NO. 18 KECHUANG</w:t>
              <w:br/>
              <w:t>YIZHUANG BDA, DAXING DISTRICT,</w:t>
              <w:br/>
              <w:t>BEIJING   F4   101111</w:t>
            </w:r>
          </w:p>
        </w:tc>
        <w:tc>
          <w:tcPr>
            <w:tcW w:w="2849" w:type="dxa"/>
            <w:tcBorders/>
            <w:vAlign w:val="center"/>
          </w:tcPr>
          <w:p>
            <w:pPr>
              <w:pStyle w:val="TableContents"/>
              <w:bidi w:val="0"/>
              <w:spacing w:before="0" w:after="283"/>
              <w:jc w:val="left"/>
              <w:rPr/>
            </w:pPr>
            <w:r>
              <w:rPr/>
              <w:t>ADS of JD.com, Inc.</w:t>
            </w:r>
          </w:p>
        </w:tc>
        <w:tc>
          <w:tcPr>
            <w:tcW w:w="926" w:type="dxa"/>
            <w:tcBorders/>
            <w:vAlign w:val="center"/>
          </w:tcPr>
          <w:p>
            <w:pPr>
              <w:pStyle w:val="TableContents"/>
              <w:bidi w:val="0"/>
              <w:spacing w:before="0" w:after="283"/>
              <w:jc w:val="left"/>
              <w:rPr/>
            </w:pPr>
            <w:r>
              <w:rPr/>
              <w:t>07/20/2026</w:t>
            </w:r>
          </w:p>
        </w:tc>
        <w:tc>
          <w:tcPr>
            <w:tcW w:w="1536" w:type="dxa"/>
            <w:tcBorders/>
            <w:vAlign w:val="center"/>
          </w:tcPr>
          <w:p>
            <w:pPr>
              <w:pStyle w:val="TableContents"/>
              <w:bidi w:val="0"/>
              <w:spacing w:before="0" w:after="283"/>
              <w:jc w:val="left"/>
              <w:rPr/>
            </w:pPr>
            <w:r>
              <w:rPr/>
              <w:t>100</w:t>
            </w:r>
          </w:p>
        </w:tc>
        <w:tc>
          <w:tcPr>
            <w:tcW w:w="1729" w:type="dxa"/>
            <w:tcBorders/>
            <w:vAlign w:val="center"/>
          </w:tcPr>
          <w:p>
            <w:pPr>
              <w:pStyle w:val="TableContents"/>
              <w:bidi w:val="0"/>
              <w:spacing w:before="0" w:after="283"/>
              <w:jc w:val="left"/>
              <w:rPr/>
            </w:pPr>
            <w:r>
              <w:rPr/>
              <w:t>3058.00</w:t>
            </w:r>
          </w:p>
        </w:tc>
      </w:tr>
      <w:tr>
        <w:trPr/>
        <w:tc>
          <w:tcPr>
            <w:tcW w:w="3165" w:type="dxa"/>
            <w:tcBorders/>
            <w:vAlign w:val="center"/>
          </w:tcPr>
          <w:p>
            <w:pPr>
              <w:pStyle w:val="TableContents"/>
              <w:bidi w:val="0"/>
              <w:spacing w:before="0" w:after="283"/>
              <w:jc w:val="left"/>
              <w:rPr/>
            </w:pPr>
            <w:r>
              <w:rPr/>
              <w:t>Fortune Rising Holdings Ltd</w:t>
              <w:br/>
              <w:t>20TH FLOOR, BUILDING A, NO. 18 KECHUANG</w:t>
              <w:br/>
              <w:t>YIZHUANG BDA, DAXING DISTRICT,</w:t>
              <w:br/>
              <w:t>BEIJING   F4   101111</w:t>
            </w:r>
          </w:p>
        </w:tc>
        <w:tc>
          <w:tcPr>
            <w:tcW w:w="2849" w:type="dxa"/>
            <w:tcBorders/>
            <w:vAlign w:val="center"/>
          </w:tcPr>
          <w:p>
            <w:pPr>
              <w:pStyle w:val="TableContents"/>
              <w:bidi w:val="0"/>
              <w:spacing w:before="0" w:after="283"/>
              <w:jc w:val="left"/>
              <w:rPr/>
            </w:pPr>
            <w:r>
              <w:rPr/>
              <w:t>ADS of JD.com, Inc.</w:t>
            </w:r>
          </w:p>
        </w:tc>
        <w:tc>
          <w:tcPr>
            <w:tcW w:w="926" w:type="dxa"/>
            <w:tcBorders/>
            <w:vAlign w:val="center"/>
          </w:tcPr>
          <w:p>
            <w:pPr>
              <w:pStyle w:val="TableContents"/>
              <w:bidi w:val="0"/>
              <w:spacing w:before="0" w:after="283"/>
              <w:jc w:val="left"/>
              <w:rPr/>
            </w:pPr>
            <w:r>
              <w:rPr/>
              <w:t>07/27/2026</w:t>
            </w:r>
          </w:p>
        </w:tc>
        <w:tc>
          <w:tcPr>
            <w:tcW w:w="1536" w:type="dxa"/>
            <w:tcBorders/>
            <w:vAlign w:val="center"/>
          </w:tcPr>
          <w:p>
            <w:pPr>
              <w:pStyle w:val="TableContents"/>
              <w:bidi w:val="0"/>
              <w:spacing w:before="0" w:after="283"/>
              <w:jc w:val="left"/>
              <w:rPr/>
            </w:pPr>
            <w:r>
              <w:rPr/>
              <w:t>600</w:t>
            </w:r>
          </w:p>
        </w:tc>
        <w:tc>
          <w:tcPr>
            <w:tcW w:w="1729" w:type="dxa"/>
            <w:tcBorders/>
            <w:vAlign w:val="center"/>
          </w:tcPr>
          <w:p>
            <w:pPr>
              <w:pStyle w:val="TableContents"/>
              <w:bidi w:val="0"/>
              <w:spacing w:before="0" w:after="283"/>
              <w:jc w:val="left"/>
              <w:rPr/>
            </w:pPr>
            <w:r>
              <w:rPr/>
              <w:t>18348.00</w:t>
            </w:r>
          </w:p>
        </w:tc>
      </w:tr>
      <w:tr>
        <w:trPr/>
        <w:tc>
          <w:tcPr>
            <w:tcW w:w="3165" w:type="dxa"/>
            <w:tcBorders/>
            <w:vAlign w:val="center"/>
          </w:tcPr>
          <w:p>
            <w:pPr>
              <w:pStyle w:val="TableContents"/>
              <w:bidi w:val="0"/>
              <w:spacing w:before="0" w:after="283"/>
              <w:jc w:val="left"/>
              <w:rPr/>
            </w:pPr>
            <w:r>
              <w:rPr/>
              <w:t>Fortune Rising Holdings Ltd</w:t>
              <w:br/>
              <w:t>20TH FLOOR, BUILDING A, NO. 18 KECHUANG</w:t>
              <w:br/>
              <w:t>YIZHUANG BDA, DAXING DISTRICT,</w:t>
              <w:br/>
              <w:t>BEIJING   F4   101111</w:t>
            </w:r>
          </w:p>
        </w:tc>
        <w:tc>
          <w:tcPr>
            <w:tcW w:w="2849" w:type="dxa"/>
            <w:tcBorders/>
            <w:vAlign w:val="center"/>
          </w:tcPr>
          <w:p>
            <w:pPr>
              <w:pStyle w:val="TableContents"/>
              <w:bidi w:val="0"/>
              <w:spacing w:before="0" w:after="283"/>
              <w:jc w:val="left"/>
              <w:rPr/>
            </w:pPr>
            <w:r>
              <w:rPr/>
              <w:t>ADS of JD.com, Inc.</w:t>
            </w:r>
          </w:p>
        </w:tc>
        <w:tc>
          <w:tcPr>
            <w:tcW w:w="926" w:type="dxa"/>
            <w:tcBorders/>
            <w:vAlign w:val="center"/>
          </w:tcPr>
          <w:p>
            <w:pPr>
              <w:pStyle w:val="TableContents"/>
              <w:bidi w:val="0"/>
              <w:spacing w:before="0" w:after="283"/>
              <w:jc w:val="left"/>
              <w:rPr/>
            </w:pPr>
            <w:r>
              <w:rPr/>
              <w:t>07/28/2026</w:t>
            </w:r>
          </w:p>
        </w:tc>
        <w:tc>
          <w:tcPr>
            <w:tcW w:w="1536" w:type="dxa"/>
            <w:tcBorders/>
            <w:vAlign w:val="center"/>
          </w:tcPr>
          <w:p>
            <w:pPr>
              <w:pStyle w:val="TableContents"/>
              <w:bidi w:val="0"/>
              <w:spacing w:before="0" w:after="283"/>
              <w:jc w:val="left"/>
              <w:rPr/>
            </w:pPr>
            <w:r>
              <w:rPr/>
              <w:t>2100</w:t>
            </w:r>
          </w:p>
        </w:tc>
        <w:tc>
          <w:tcPr>
            <w:tcW w:w="1729" w:type="dxa"/>
            <w:tcBorders/>
            <w:vAlign w:val="center"/>
          </w:tcPr>
          <w:p>
            <w:pPr>
              <w:pStyle w:val="TableContents"/>
              <w:bidi w:val="0"/>
              <w:spacing w:before="0" w:after="283"/>
              <w:jc w:val="left"/>
              <w:rPr/>
            </w:pPr>
            <w:r>
              <w:rPr/>
              <w:t>66838.00</w:t>
            </w:r>
          </w:p>
        </w:tc>
      </w:tr>
      <w:tr>
        <w:trPr/>
        <w:tc>
          <w:tcPr>
            <w:tcW w:w="3165" w:type="dxa"/>
            <w:tcBorders/>
            <w:vAlign w:val="center"/>
          </w:tcPr>
          <w:p>
            <w:pPr>
              <w:pStyle w:val="TableContents"/>
              <w:bidi w:val="0"/>
              <w:spacing w:before="0" w:after="283"/>
              <w:jc w:val="left"/>
              <w:rPr/>
            </w:pPr>
            <w:r>
              <w:rPr/>
              <w:t>Fortune Rising Holdings Ltd</w:t>
              <w:br/>
              <w:t>20TH FLOOR, BUILDING A, NO. 18 KECHUANG</w:t>
              <w:br/>
              <w:t>YIZHUANG BDA, DAXING DISTRICT,</w:t>
              <w:br/>
              <w:t>BEIJING   F4   101111</w:t>
            </w:r>
          </w:p>
        </w:tc>
        <w:tc>
          <w:tcPr>
            <w:tcW w:w="2849" w:type="dxa"/>
            <w:tcBorders/>
            <w:vAlign w:val="center"/>
          </w:tcPr>
          <w:p>
            <w:pPr>
              <w:pStyle w:val="TableContents"/>
              <w:bidi w:val="0"/>
              <w:spacing w:before="0" w:after="283"/>
              <w:jc w:val="left"/>
              <w:rPr/>
            </w:pPr>
            <w:r>
              <w:rPr/>
              <w:t>ADS of JD.com, Inc.</w:t>
            </w:r>
          </w:p>
        </w:tc>
        <w:tc>
          <w:tcPr>
            <w:tcW w:w="926" w:type="dxa"/>
            <w:tcBorders/>
            <w:vAlign w:val="center"/>
          </w:tcPr>
          <w:p>
            <w:pPr>
              <w:pStyle w:val="TableContents"/>
              <w:bidi w:val="0"/>
              <w:spacing w:before="0" w:after="283"/>
              <w:jc w:val="left"/>
              <w:rPr/>
            </w:pPr>
            <w:r>
              <w:rPr/>
              <w:t>07/31/2026</w:t>
            </w:r>
          </w:p>
        </w:tc>
        <w:tc>
          <w:tcPr>
            <w:tcW w:w="1536" w:type="dxa"/>
            <w:tcBorders/>
            <w:vAlign w:val="center"/>
          </w:tcPr>
          <w:p>
            <w:pPr>
              <w:pStyle w:val="TableContents"/>
              <w:bidi w:val="0"/>
              <w:spacing w:before="0" w:after="283"/>
              <w:jc w:val="left"/>
              <w:rPr/>
            </w:pPr>
            <w:r>
              <w:rPr/>
              <w:t>1240</w:t>
            </w:r>
          </w:p>
        </w:tc>
        <w:tc>
          <w:tcPr>
            <w:tcW w:w="1729" w:type="dxa"/>
            <w:tcBorders/>
            <w:vAlign w:val="center"/>
          </w:tcPr>
          <w:p>
            <w:pPr>
              <w:pStyle w:val="TableContents"/>
              <w:bidi w:val="0"/>
              <w:spacing w:before="0" w:after="283"/>
              <w:jc w:val="left"/>
              <w:rPr/>
            </w:pPr>
            <w:r>
              <w:rPr/>
              <w:t>40846.80</w:t>
            </w:r>
          </w:p>
        </w:tc>
      </w:tr>
      <w:tr>
        <w:trPr/>
        <w:tc>
          <w:tcPr>
            <w:tcW w:w="3165" w:type="dxa"/>
            <w:tcBorders/>
            <w:vAlign w:val="center"/>
          </w:tcPr>
          <w:p>
            <w:pPr>
              <w:pStyle w:val="TableContents"/>
              <w:bidi w:val="0"/>
              <w:spacing w:before="0" w:after="283"/>
              <w:jc w:val="left"/>
              <w:rPr/>
            </w:pPr>
            <w:r>
              <w:rPr/>
              <w:t>Fortune Rising Holdings Ltd</w:t>
              <w:br/>
              <w:t>20TH FLOOR, BUILDING A, NO. 18 KECHUANG</w:t>
              <w:br/>
              <w:t>YIZHUANG BDA, DAXING DISTRICT,</w:t>
              <w:br/>
              <w:t>BEIJING   F4   101111</w:t>
            </w:r>
          </w:p>
        </w:tc>
        <w:tc>
          <w:tcPr>
            <w:tcW w:w="2849" w:type="dxa"/>
            <w:tcBorders/>
            <w:vAlign w:val="center"/>
          </w:tcPr>
          <w:p>
            <w:pPr>
              <w:pStyle w:val="TableContents"/>
              <w:bidi w:val="0"/>
              <w:spacing w:before="0" w:after="283"/>
              <w:jc w:val="left"/>
              <w:rPr/>
            </w:pPr>
            <w:r>
              <w:rPr/>
              <w:t>ADS of JD.com, Inc.</w:t>
            </w:r>
          </w:p>
        </w:tc>
        <w:tc>
          <w:tcPr>
            <w:tcW w:w="926" w:type="dxa"/>
            <w:tcBorders/>
            <w:vAlign w:val="center"/>
          </w:tcPr>
          <w:p>
            <w:pPr>
              <w:pStyle w:val="TableContents"/>
              <w:bidi w:val="0"/>
              <w:spacing w:before="0" w:after="283"/>
              <w:jc w:val="left"/>
              <w:rPr/>
            </w:pPr>
            <w:r>
              <w:rPr/>
              <w:t>08/10/2026</w:t>
            </w:r>
          </w:p>
        </w:tc>
        <w:tc>
          <w:tcPr>
            <w:tcW w:w="1536" w:type="dxa"/>
            <w:tcBorders/>
            <w:vAlign w:val="center"/>
          </w:tcPr>
          <w:p>
            <w:pPr>
              <w:pStyle w:val="TableContents"/>
              <w:bidi w:val="0"/>
              <w:spacing w:before="0" w:after="283"/>
              <w:jc w:val="left"/>
              <w:rPr/>
            </w:pPr>
            <w:r>
              <w:rPr/>
              <w:t>300</w:t>
            </w:r>
          </w:p>
        </w:tc>
        <w:tc>
          <w:tcPr>
            <w:tcW w:w="1729" w:type="dxa"/>
            <w:tcBorders/>
            <w:vAlign w:val="center"/>
          </w:tcPr>
          <w:p>
            <w:pPr>
              <w:pStyle w:val="TableContents"/>
              <w:bidi w:val="0"/>
              <w:spacing w:before="0" w:after="283"/>
              <w:jc w:val="left"/>
              <w:rPr/>
            </w:pPr>
            <w:r>
              <w:rPr/>
              <w:t>9943.79</w:t>
            </w:r>
          </w:p>
        </w:tc>
      </w:tr>
      <w:tr>
        <w:trPr/>
        <w:tc>
          <w:tcPr>
            <w:tcW w:w="3165" w:type="dxa"/>
            <w:tcBorders/>
            <w:vAlign w:val="center"/>
          </w:tcPr>
          <w:p>
            <w:pPr>
              <w:pStyle w:val="TableContents"/>
              <w:bidi w:val="0"/>
              <w:spacing w:before="0" w:after="283"/>
              <w:jc w:val="left"/>
              <w:rPr/>
            </w:pPr>
            <w:r>
              <w:rPr/>
              <w:t>Fortune Rising Holdings Ltd</w:t>
              <w:br/>
              <w:t>20TH FLOOR, BUILDING A, NO. 18 KECHUANG</w:t>
              <w:br/>
              <w:t>YIZHUANG BDA, DAXING DISTRICT,</w:t>
              <w:br/>
              <w:t>BEIJING   F4   101111</w:t>
            </w:r>
          </w:p>
        </w:tc>
        <w:tc>
          <w:tcPr>
            <w:tcW w:w="2849" w:type="dxa"/>
            <w:tcBorders/>
            <w:vAlign w:val="center"/>
          </w:tcPr>
          <w:p>
            <w:pPr>
              <w:pStyle w:val="TableContents"/>
              <w:bidi w:val="0"/>
              <w:spacing w:before="0" w:after="283"/>
              <w:jc w:val="left"/>
              <w:rPr/>
            </w:pPr>
            <w:r>
              <w:rPr/>
              <w:t>ADS of JD.com, Inc.</w:t>
            </w:r>
          </w:p>
        </w:tc>
        <w:tc>
          <w:tcPr>
            <w:tcW w:w="926" w:type="dxa"/>
            <w:tcBorders/>
            <w:vAlign w:val="center"/>
          </w:tcPr>
          <w:p>
            <w:pPr>
              <w:pStyle w:val="TableContents"/>
              <w:bidi w:val="0"/>
              <w:spacing w:before="0" w:after="283"/>
              <w:jc w:val="left"/>
              <w:rPr/>
            </w:pPr>
            <w:r>
              <w:rPr/>
              <w:t>08/14/2026</w:t>
            </w:r>
          </w:p>
        </w:tc>
        <w:tc>
          <w:tcPr>
            <w:tcW w:w="1536" w:type="dxa"/>
            <w:tcBorders/>
            <w:vAlign w:val="center"/>
          </w:tcPr>
          <w:p>
            <w:pPr>
              <w:pStyle w:val="TableContents"/>
              <w:bidi w:val="0"/>
              <w:spacing w:before="0" w:after="283"/>
              <w:jc w:val="left"/>
              <w:rPr/>
            </w:pPr>
            <w:r>
              <w:rPr/>
              <w:t>1000</w:t>
            </w:r>
          </w:p>
        </w:tc>
        <w:tc>
          <w:tcPr>
            <w:tcW w:w="1729" w:type="dxa"/>
            <w:tcBorders/>
            <w:vAlign w:val="center"/>
          </w:tcPr>
          <w:p>
            <w:pPr>
              <w:pStyle w:val="TableContents"/>
              <w:bidi w:val="0"/>
              <w:spacing w:before="0" w:after="283"/>
              <w:jc w:val="left"/>
              <w:rPr/>
            </w:pPr>
            <w:r>
              <w:rPr/>
              <w:t>29000.00</w:t>
            </w:r>
          </w:p>
        </w:tc>
      </w:tr>
      <w:tr>
        <w:trPr/>
        <w:tc>
          <w:tcPr>
            <w:tcW w:w="3165" w:type="dxa"/>
            <w:tcBorders/>
            <w:vAlign w:val="center"/>
          </w:tcPr>
          <w:p>
            <w:pPr>
              <w:pStyle w:val="TableContents"/>
              <w:bidi w:val="0"/>
              <w:spacing w:before="0" w:after="283"/>
              <w:jc w:val="left"/>
              <w:rPr/>
            </w:pPr>
            <w:r>
              <w:rPr/>
              <w:t>Fortune Rising Holdings Ltd</w:t>
              <w:br/>
              <w:t>20TH FLOOR, BUILDING A, NO. 18 KECHUANG</w:t>
              <w:br/>
              <w:t>YIZHUANG BDA, DAXING DISTRICT,</w:t>
              <w:br/>
              <w:t>BEIJING   F4   101111</w:t>
            </w:r>
          </w:p>
        </w:tc>
        <w:tc>
          <w:tcPr>
            <w:tcW w:w="2849" w:type="dxa"/>
            <w:tcBorders/>
            <w:vAlign w:val="center"/>
          </w:tcPr>
          <w:p>
            <w:pPr>
              <w:pStyle w:val="TableContents"/>
              <w:bidi w:val="0"/>
              <w:spacing w:before="0" w:after="283"/>
              <w:jc w:val="left"/>
              <w:rPr/>
            </w:pPr>
            <w:r>
              <w:rPr/>
              <w:t>ADS of JD.com, Inc.</w:t>
            </w:r>
          </w:p>
        </w:tc>
        <w:tc>
          <w:tcPr>
            <w:tcW w:w="926" w:type="dxa"/>
            <w:tcBorders/>
            <w:vAlign w:val="center"/>
          </w:tcPr>
          <w:p>
            <w:pPr>
              <w:pStyle w:val="TableContents"/>
              <w:bidi w:val="0"/>
              <w:spacing w:before="0" w:after="283"/>
              <w:jc w:val="left"/>
              <w:rPr/>
            </w:pPr>
            <w:r>
              <w:rPr/>
              <w:t>08/20/2026</w:t>
            </w:r>
          </w:p>
        </w:tc>
        <w:tc>
          <w:tcPr>
            <w:tcW w:w="1536" w:type="dxa"/>
            <w:tcBorders/>
            <w:vAlign w:val="center"/>
          </w:tcPr>
          <w:p>
            <w:pPr>
              <w:pStyle w:val="TableContents"/>
              <w:bidi w:val="0"/>
              <w:spacing w:before="0" w:after="283"/>
              <w:jc w:val="left"/>
              <w:rPr/>
            </w:pPr>
            <w:r>
              <w:rPr/>
              <w:t>437</w:t>
            </w:r>
          </w:p>
        </w:tc>
        <w:tc>
          <w:tcPr>
            <w:tcW w:w="1729" w:type="dxa"/>
            <w:tcBorders/>
            <w:vAlign w:val="center"/>
          </w:tcPr>
          <w:p>
            <w:pPr>
              <w:pStyle w:val="TableContents"/>
              <w:bidi w:val="0"/>
              <w:spacing w:before="0" w:after="283"/>
              <w:jc w:val="left"/>
              <w:rPr/>
            </w:pPr>
            <w:r>
              <w:rPr/>
              <w:t>12947.17</w:t>
            </w:r>
          </w:p>
        </w:tc>
      </w:tr>
      <w:tr>
        <w:trPr/>
        <w:tc>
          <w:tcPr>
            <w:tcW w:w="3165" w:type="dxa"/>
            <w:tcBorders/>
            <w:vAlign w:val="center"/>
          </w:tcPr>
          <w:p>
            <w:pPr>
              <w:pStyle w:val="TableContents"/>
              <w:bidi w:val="0"/>
              <w:spacing w:before="0" w:after="283"/>
              <w:jc w:val="left"/>
              <w:rPr/>
            </w:pPr>
            <w:r>
              <w:rPr/>
              <w:t>Fortune Rising Holdings Ltd</w:t>
              <w:br/>
              <w:t>20TH FLOOR, BUILDING A, NO. 18 KECHUANG</w:t>
              <w:br/>
              <w:t>YIZHUANG BDA, DAXING DISTRICT</w:t>
              <w:br/>
              <w:t>BEIJING   F4   101111</w:t>
            </w:r>
          </w:p>
        </w:tc>
        <w:tc>
          <w:tcPr>
            <w:tcW w:w="2849" w:type="dxa"/>
            <w:tcBorders/>
            <w:vAlign w:val="center"/>
          </w:tcPr>
          <w:p>
            <w:pPr>
              <w:pStyle w:val="TableContents"/>
              <w:bidi w:val="0"/>
              <w:spacing w:before="0" w:after="283"/>
              <w:jc w:val="left"/>
              <w:rPr/>
            </w:pPr>
            <w:r>
              <w:rPr/>
              <w:t>ADS of JD.com, Inc.</w:t>
            </w:r>
          </w:p>
        </w:tc>
        <w:tc>
          <w:tcPr>
            <w:tcW w:w="926" w:type="dxa"/>
            <w:tcBorders/>
            <w:vAlign w:val="center"/>
          </w:tcPr>
          <w:p>
            <w:pPr>
              <w:pStyle w:val="TableContents"/>
              <w:bidi w:val="0"/>
              <w:spacing w:before="0" w:after="283"/>
              <w:jc w:val="left"/>
              <w:rPr/>
            </w:pPr>
            <w:r>
              <w:rPr/>
              <w:t>08/28/2026</w:t>
            </w:r>
          </w:p>
        </w:tc>
        <w:tc>
          <w:tcPr>
            <w:tcW w:w="1536" w:type="dxa"/>
            <w:tcBorders/>
            <w:vAlign w:val="center"/>
          </w:tcPr>
          <w:p>
            <w:pPr>
              <w:pStyle w:val="TableContents"/>
              <w:bidi w:val="0"/>
              <w:spacing w:before="0" w:after="283"/>
              <w:jc w:val="left"/>
              <w:rPr/>
            </w:pPr>
            <w:r>
              <w:rPr/>
              <w:t>1257</w:t>
            </w:r>
          </w:p>
        </w:tc>
        <w:tc>
          <w:tcPr>
            <w:tcW w:w="1729" w:type="dxa"/>
            <w:tcBorders/>
            <w:vAlign w:val="center"/>
          </w:tcPr>
          <w:p>
            <w:pPr>
              <w:pStyle w:val="TableContents"/>
              <w:bidi w:val="0"/>
              <w:spacing w:before="0" w:after="283"/>
              <w:jc w:val="left"/>
              <w:rPr/>
            </w:pPr>
            <w:r>
              <w:rPr/>
              <w:t>35824.50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591"/>
        <w:gridCol w:w="8614"/>
      </w:tblGrid>
      <w:tr>
        <w:trPr/>
        <w:tc>
          <w:tcPr>
            <w:tcW w:w="1591" w:type="dxa"/>
            <w:tcBorders/>
            <w:vAlign w:val="center"/>
          </w:tcPr>
          <w:p>
            <w:pPr>
              <w:pStyle w:val="TableContents"/>
              <w:bidi w:val="0"/>
              <w:spacing w:before="0" w:after="283"/>
              <w:jc w:val="left"/>
              <w:rPr/>
            </w:pPr>
            <w:r>
              <w:rPr/>
              <w:t>Remarks</w:t>
            </w:r>
          </w:p>
        </w:tc>
        <w:tc>
          <w:tcPr>
            <w:tcW w:w="8614" w:type="dxa"/>
            <w:tcBorders/>
            <w:vAlign w:val="center"/>
          </w:tcPr>
          <w:p>
            <w:pPr>
              <w:pStyle w:val="TableContents"/>
              <w:bidi w:val="0"/>
              <w:spacing w:before="0" w:after="0"/>
              <w:jc w:val="left"/>
              <w:rPr/>
            </w:pPr>
            <w:r>
              <w:rPr/>
              <w:t>1. The Number of Shares or Other Units Outstanding is ordinary shares. 2. This form is for employees ESOP with estimated selling period of 9/18/2026 to 12/18/2026</w:t>
            </w:r>
          </w:p>
        </w:tc>
      </w:tr>
      <w:tr>
        <w:trPr/>
        <w:tc>
          <w:tcPr>
            <w:tcW w:w="1591" w:type="dxa"/>
            <w:tcBorders/>
            <w:vAlign w:val="center"/>
          </w:tcPr>
          <w:p>
            <w:pPr>
              <w:pStyle w:val="TableContents"/>
              <w:bidi w:val="0"/>
              <w:spacing w:before="0" w:after="283"/>
              <w:jc w:val="left"/>
              <w:rPr/>
            </w:pPr>
            <w:r>
              <w:rPr/>
              <w:t>Date of Notice</w:t>
            </w:r>
          </w:p>
        </w:tc>
        <w:tc>
          <w:tcPr>
            <w:tcW w:w="8614" w:type="dxa"/>
            <w:tcBorders/>
            <w:vAlign w:val="center"/>
          </w:tcPr>
          <w:p>
            <w:pPr>
              <w:pStyle w:val="TableContents"/>
              <w:bidi w:val="0"/>
              <w:spacing w:before="0" w:after="0"/>
              <w:jc w:val="left"/>
              <w:rPr/>
            </w:pPr>
            <w:r>
              <w:rPr/>
              <w:t>09/18/2026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591" w:type="dxa"/>
            <w:tcBorders/>
            <w:vAlign w:val="center"/>
          </w:tcPr>
          <w:p>
            <w:pPr>
              <w:pStyle w:val="TableContents"/>
              <w:bidi w:val="0"/>
              <w:spacing w:before="0" w:after="283"/>
              <w:jc w:val="left"/>
              <w:rPr/>
            </w:pPr>
            <w:r>
              <w:rPr/>
              <w:t>Signature</w:t>
            </w:r>
          </w:p>
        </w:tc>
        <w:tc>
          <w:tcPr>
            <w:tcW w:w="8614" w:type="dxa"/>
            <w:tcBorders/>
            <w:vAlign w:val="center"/>
          </w:tcPr>
          <w:p>
            <w:pPr>
              <w:pStyle w:val="TableContents"/>
              <w:bidi w:val="0"/>
              <w:spacing w:before="0" w:after="0"/>
              <w:jc w:val="left"/>
              <w:rPr/>
            </w:pPr>
            <w:r>
              <w:rPr/>
              <w:t>/S/ Fortune Rising Holdings Ltd-Liu Qiangdong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887</Words>
  <Characters>4597</Characters>
  <CharactersWithSpaces>5416</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