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217170</wp:posOffset>
            </wp:positionV>
            <wp:extent cx="6849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259080</wp:posOffset>
            </wp:positionV>
            <wp:extent cx="6849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218440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249555</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660" w:right="1200" w:hanging="430"/>
        <w:spacing w:after="0" w:line="247" w:lineRule="auto"/>
        <w:tabs>
          <w:tab w:leader="none" w:pos="6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REGISTRATION STATEMENT PURSUANT TO SECTION 12(b) OR 12(g) OF 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1" w:lineRule="exact"/>
        <w:rPr>
          <w:sz w:val="24"/>
          <w:szCs w:val="24"/>
          <w:color w:val="auto"/>
        </w:rPr>
      </w:pPr>
    </w:p>
    <w:p>
      <w:pPr>
        <w:ind w:left="660" w:hanging="430"/>
        <w:spacing w:after="0"/>
        <w:tabs>
          <w:tab w:leader="none" w:pos="6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23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1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1" w:lineRule="exact"/>
        <w:rPr>
          <w:sz w:val="24"/>
          <w:szCs w:val="24"/>
          <w:color w:val="auto"/>
        </w:rPr>
      </w:pPr>
    </w:p>
    <w:p>
      <w:pPr>
        <w:ind w:left="660" w:right="40" w:hanging="430"/>
        <w:spacing w:after="0" w:line="275" w:lineRule="auto"/>
        <w:tabs>
          <w:tab w:leader="none" w:pos="660" w:val="left"/>
        </w:tabs>
        <w:numPr>
          <w:ilvl w:val="0"/>
          <w:numId w:val="3"/>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145" w:lineRule="exact"/>
        <w:rPr>
          <w:sz w:val="24"/>
          <w:szCs w:val="24"/>
          <w:color w:val="auto"/>
        </w:rPr>
      </w:pPr>
    </w:p>
    <w:p>
      <w:pPr>
        <w:jc w:val="center"/>
        <w:ind w:right="-1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3674110</wp:posOffset>
            </wp:positionH>
            <wp:positionV relativeFrom="paragraph">
              <wp:posOffset>-8890</wp:posOffset>
            </wp:positionV>
            <wp:extent cx="1268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9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1" w:lineRule="exact"/>
        <w:rPr>
          <w:sz w:val="24"/>
          <w:szCs w:val="24"/>
          <w:color w:val="auto"/>
        </w:rPr>
      </w:pPr>
    </w:p>
    <w:p>
      <w:pPr>
        <w:ind w:left="660" w:right="380" w:hanging="430"/>
        <w:spacing w:after="0" w:line="275" w:lineRule="auto"/>
        <w:tabs>
          <w:tab w:leader="none" w:pos="660" w:val="left"/>
        </w:tabs>
        <w:numPr>
          <w:ilvl w:val="0"/>
          <w:numId w:val="4"/>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SHELL COMPANY REPORT PURSUANT TO SECTION 13 OR 15(d) OF THE SECURITIES EXCHANGE ACT OF 1934</w:t>
      </w:r>
    </w:p>
    <w:p>
      <w:pPr>
        <w:spacing w:after="0" w:line="1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Date of event requiring this shell company report</w:t>
      </w:r>
    </w:p>
    <w:p>
      <w:pPr>
        <w:spacing w:after="0" w:line="21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001-36450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234315</wp:posOffset>
            </wp:positionV>
            <wp:extent cx="1443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42"/>
          <w:szCs w:val="42"/>
          <w:b w:val="1"/>
          <w:bCs w:val="1"/>
          <w:color w:val="auto"/>
        </w:rPr>
        <w:t>JD.com, Inc.</w:t>
      </w:r>
    </w:p>
    <w:p>
      <w:pPr>
        <w:spacing w:after="0" w:line="5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220345</wp:posOffset>
            </wp:positionV>
            <wp:extent cx="1443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220980</wp:posOffset>
            </wp:positionV>
            <wp:extent cx="1443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Ian Su Shan, Chief Financial Officer</w:t>
      </w:r>
    </w:p>
    <w:p>
      <w:pPr>
        <w:spacing w:after="0" w:line="2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Telephone: +86 10 8911-8888</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Email: ir@jd.com</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20th Floor, Building A, No. 18 Kechuang 11 Street</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Yizhuang Economic and Technological Development Zone</w:t>
      </w:r>
    </w:p>
    <w:p>
      <w:pPr>
        <w:spacing w:after="0" w:line="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Daxing District, Beijing 101111</w:t>
      </w:r>
    </w:p>
    <w:p>
      <w:pPr>
        <w:spacing w:after="0" w:line="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212725</wp:posOffset>
            </wp:positionV>
            <wp:extent cx="1443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ectPr>
          <w:pgSz w:w="11900" w:h="16838" w:orient="portrait"/>
          <w:cols w:equalWidth="0" w:num="1">
            <w:col w:w="10980"/>
          </w:cols>
          <w:pgMar w:left="320" w:top="225" w:right="599" w:bottom="2" w:gutter="0" w:footer="0" w:header="0"/>
        </w:sectPr>
      </w:pPr>
    </w:p>
    <w:p>
      <w:pPr>
        <w:spacing w:after="0" w:line="238" w:lineRule="exact"/>
        <w:rPr>
          <w:sz w:val="24"/>
          <w:szCs w:val="24"/>
          <w:color w:val="auto"/>
        </w:rPr>
      </w:pPr>
    </w:p>
    <w:p>
      <w:pPr>
        <w:ind w:left="1500"/>
        <w:spacing w:after="0"/>
        <w:tabs>
          <w:tab w:leader="none" w:pos="5160" w:val="left"/>
          <w:tab w:leader="none" w:pos="788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13970</wp:posOffset>
            </wp:positionV>
            <wp:extent cx="6849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ectPr>
          <w:pgSz w:w="11900" w:h="16838" w:orient="portrait"/>
          <w:cols w:equalWidth="0" w:num="1">
            <w:col w:w="10980"/>
          </w:cols>
          <w:pgMar w:left="320" w:top="225" w:right="599" w:bottom="2"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4"/>
        </w:trPr>
        <w:tc>
          <w:tcPr>
            <w:tcW w:w="366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American depositary shares</w:t>
            </w:r>
          </w:p>
        </w:tc>
        <w:tc>
          <w:tcPr>
            <w:tcW w:w="120" w:type="dxa"/>
            <w:vAlign w:val="bottom"/>
          </w:tcPr>
          <w:p>
            <w:pPr>
              <w:spacing w:after="0"/>
              <w:rPr>
                <w:sz w:val="17"/>
                <w:szCs w:val="17"/>
                <w:color w:val="auto"/>
              </w:rPr>
            </w:pPr>
          </w:p>
        </w:tc>
        <w:tc>
          <w:tcPr>
            <w:tcW w:w="344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9"/>
              </w:rPr>
              <w:t>JD</w:t>
            </w:r>
          </w:p>
        </w:tc>
        <w:tc>
          <w:tcPr>
            <w:tcW w:w="10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auto"/>
                <w:w w:val="97"/>
              </w:rPr>
              <w:t>The Nasdaq Stock Market LLC</w:t>
            </w:r>
          </w:p>
        </w:tc>
      </w:tr>
      <w:tr>
        <w:trPr>
          <w:trHeight w:val="212"/>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(one American depositary share representing</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Nasdaq Global Select Market)</w:t>
            </w:r>
          </w:p>
        </w:tc>
      </w:tr>
      <w:tr>
        <w:trPr>
          <w:trHeight w:val="212"/>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two</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2"/>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Class A ordinary shares, par value US$0.00002</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25"/>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per share)</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12"/>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Class A ordinary shares, par value US$0.00002</w:t>
            </w:r>
          </w:p>
        </w:tc>
        <w:tc>
          <w:tcPr>
            <w:tcW w:w="3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9618 (HKD Counter)</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The Stock Exchange of Hong Kong Limited</w:t>
            </w:r>
          </w:p>
        </w:tc>
      </w:tr>
      <w:tr>
        <w:trPr>
          <w:trHeight w:val="231"/>
        </w:trPr>
        <w:tc>
          <w:tcPr>
            <w:tcW w:w="3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3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89618 (RMB Counter)</w:t>
            </w:r>
          </w:p>
        </w:tc>
        <w:tc>
          <w:tcPr>
            <w:tcW w:w="3460" w:type="dxa"/>
            <w:vAlign w:val="bottom"/>
          </w:tcPr>
          <w:p>
            <w:pPr>
              <w:spacing w:after="0"/>
              <w:rPr>
                <w:sz w:val="20"/>
                <w:szCs w:val="20"/>
                <w:color w:val="auto"/>
              </w:rPr>
            </w:pPr>
          </w:p>
        </w:tc>
      </w:tr>
    </w:tbl>
    <w:p>
      <w:pPr>
        <w:spacing w:after="0" w:line="20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1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212725</wp:posOffset>
            </wp:positionV>
            <wp:extent cx="1443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0" w:right="160"/>
        <w:spacing w:after="0" w:line="270"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9" w:lineRule="exact"/>
        <w:rPr>
          <w:sz w:val="20"/>
          <w:szCs w:val="20"/>
          <w:color w:val="auto"/>
        </w:rPr>
      </w:pPr>
    </w:p>
    <w:p>
      <w:pPr>
        <w:ind w:left="1410" w:right="60"/>
        <w:spacing w:after="0" w:line="253" w:lineRule="auto"/>
        <w:rPr>
          <w:sz w:val="20"/>
          <w:szCs w:val="20"/>
          <w:color w:val="auto"/>
        </w:rPr>
      </w:pPr>
      <w:r>
        <w:rPr>
          <w:rFonts w:ascii="Times New Roman" w:cs="Times New Roman" w:eastAsia="Times New Roman" w:hAnsi="Times New Roman"/>
          <w:sz w:val="18"/>
          <w:szCs w:val="18"/>
          <w:color w:val="auto"/>
        </w:rPr>
        <w:t>2,426,357,703 Class A ordinary shares (excluding 70,161,302 Class A ordinary shares, which consisted of shares issued to the depositary bank for bulk issuance of ADSs reserved for future issuances upon the exercise or vesting of awards granted under our share incentive plans and shares repurchased but not yet cancelled) and 321,776,028 Class B ordinary shares, par value US$0.00002 per share, as of December 31, 2025.</w:t>
      </w:r>
    </w:p>
    <w:p>
      <w:pPr>
        <w:spacing w:after="0" w:line="146" w:lineRule="exact"/>
        <w:rPr>
          <w:sz w:val="20"/>
          <w:szCs w:val="20"/>
          <w:color w:val="auto"/>
        </w:rPr>
      </w:pPr>
    </w:p>
    <w:p>
      <w:pPr>
        <w:ind w:left="1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5" w:lineRule="exact"/>
        <w:rPr>
          <w:sz w:val="20"/>
          <w:szCs w:val="20"/>
          <w:color w:val="auto"/>
        </w:rPr>
      </w:pPr>
    </w:p>
    <w:p>
      <w:pPr>
        <w:ind w:left="10" w:right="60"/>
        <w:spacing w:after="0" w:line="234" w:lineRule="exact"/>
        <w:rPr>
          <w:sz w:val="20"/>
          <w:szCs w:val="20"/>
          <w:color w:val="auto"/>
        </w:rPr>
      </w:pPr>
      <w:r>
        <w:rPr>
          <w:rFonts w:ascii="Times New Roman" w:cs="Times New Roman" w:eastAsia="Times New Roman" w:hAnsi="Times New Roman"/>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7" w:lineRule="exact"/>
        <w:rPr>
          <w:sz w:val="20"/>
          <w:szCs w:val="20"/>
          <w:color w:val="auto"/>
        </w:rPr>
      </w:pPr>
    </w:p>
    <w:p>
      <w:pPr>
        <w:ind w:left="10" w:right="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0"/>
          <w:szCs w:val="20"/>
          <w:color w:val="auto"/>
        </w:rPr>
      </w:pPr>
    </w:p>
    <w:p>
      <w:pPr>
        <w:ind w:left="10" w:right="1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an emerging growth company.</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“emerging growth company” in Rule 12b-2 of the Exchange Act.</w:t>
      </w:r>
    </w:p>
    <w:p>
      <w:pPr>
        <w:sectPr>
          <w:pgSz w:w="11900" w:h="16838" w:orient="portrait"/>
          <w:cols w:equalWidth="0" w:num="1">
            <w:col w:w="10790"/>
          </w:cols>
          <w:pgMar w:left="550" w:top="133" w:right="559" w:bottom="42" w:gutter="0" w:footer="0" w:header="0"/>
        </w:sectPr>
      </w:pP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67" w:lineRule="exact"/>
        <w:rPr>
          <w:sz w:val="20"/>
          <w:szCs w:val="20"/>
          <w:color w:val="auto"/>
        </w:rPr>
      </w:pPr>
    </w:p>
    <w:p>
      <w:pPr>
        <w:sectPr>
          <w:pgSz w:w="11900" w:h="16838" w:orient="portrait"/>
          <w:cols w:equalWidth="0" w:num="6">
            <w:col w:w="1590" w:space="700"/>
            <w:col w:w="1760" w:space="720"/>
            <w:col w:w="1180" w:space="100"/>
            <w:col w:w="1540" w:space="720"/>
            <w:col w:w="1540" w:space="720"/>
            <w:col w:w="220"/>
          </w:cols>
          <w:pgMar w:left="550" w:top="133" w:right="559" w:bottom="42" w:gutter="0" w:footer="0" w:header="0"/>
          <w:type w:val="continuous"/>
        </w:sectPr>
      </w:pPr>
    </w:p>
    <w:p>
      <w:pPr>
        <w:spacing w:after="0" w:line="39" w:lineRule="exact"/>
        <w:rPr>
          <w:sz w:val="20"/>
          <w:szCs w:val="20"/>
          <w:color w:val="auto"/>
        </w:rPr>
      </w:pPr>
    </w:p>
    <w:p>
      <w:pPr>
        <w:ind w:left="831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84" w:lineRule="exact"/>
        <w:rPr>
          <w:sz w:val="20"/>
          <w:szCs w:val="20"/>
          <w:color w:val="auto"/>
        </w:rPr>
      </w:pPr>
    </w:p>
    <w:p>
      <w:pPr>
        <w:sectPr>
          <w:pgSz w:w="11900" w:h="16838" w:orient="portrait"/>
          <w:cols w:equalWidth="0" w:num="2">
            <w:col w:w="10250" w:space="320"/>
            <w:col w:w="220"/>
          </w:cols>
          <w:pgMar w:left="550" w:top="133" w:right="559" w:bottom="42" w:gutter="0" w:footer="0" w:header="0"/>
          <w:type w:val="continuous"/>
        </w:sectPr>
      </w:pPr>
    </w:p>
    <w:p>
      <w:pPr>
        <w:spacing w:after="0" w:line="28" w:lineRule="exact"/>
        <w:rPr>
          <w:sz w:val="20"/>
          <w:szCs w:val="20"/>
          <w:color w:val="auto"/>
        </w:rPr>
      </w:pPr>
    </w:p>
    <w:p>
      <w:pPr>
        <w:ind w:left="1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8"/>
          <w:szCs w:val="18"/>
          <w:color w:val="auto"/>
        </w:rPr>
        <w:t>☐</w:t>
      </w:r>
    </w:p>
    <w:p>
      <w:pPr>
        <w:spacing w:after="0" w:line="195" w:lineRule="exact"/>
        <w:rPr>
          <w:sz w:val="20"/>
          <w:szCs w:val="20"/>
          <w:color w:val="auto"/>
        </w:rPr>
      </w:pPr>
    </w:p>
    <w:p>
      <w:pPr>
        <w:ind w:left="210" w:right="140" w:hanging="210"/>
        <w:spacing w:after="0" w:line="270" w:lineRule="auto"/>
        <w:tabs>
          <w:tab w:leader="none" w:pos="2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69" w:lineRule="exact"/>
        <w:rPr>
          <w:sz w:val="20"/>
          <w:szCs w:val="20"/>
          <w:color w:val="auto"/>
        </w:rPr>
      </w:pPr>
    </w:p>
    <w:p>
      <w:pPr>
        <w:ind w:left="10" w:right="3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8" w:lineRule="exact"/>
        <w:rPr>
          <w:sz w:val="20"/>
          <w:szCs w:val="20"/>
          <w:color w:val="auto"/>
        </w:rPr>
      </w:pPr>
    </w:p>
    <w:p>
      <w:pPr>
        <w:ind w:left="10" w:right="80"/>
        <w:spacing w:after="0" w:line="234"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7" w:lineRule="exact"/>
        <w:rPr>
          <w:sz w:val="20"/>
          <w:szCs w:val="20"/>
          <w:color w:val="auto"/>
        </w:rPr>
      </w:pPr>
    </w:p>
    <w:p>
      <w:pPr>
        <w:ind w:left="10" w:right="540"/>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ectPr>
          <w:pgSz w:w="11900" w:h="16838" w:orient="portrait"/>
          <w:cols w:equalWidth="0" w:num="1">
            <w:col w:w="10790"/>
          </w:cols>
          <w:pgMar w:left="550" w:top="133" w:right="559" w:bottom="42" w:gutter="0" w:footer="0" w:header="0"/>
          <w:type w:val="continuous"/>
        </w:sectPr>
      </w:pPr>
    </w:p>
    <w:p>
      <w:pPr>
        <w:spacing w:after="0" w:line="204" w:lineRule="exact"/>
        <w:rPr>
          <w:sz w:val="20"/>
          <w:szCs w:val="20"/>
          <w:color w:val="auto"/>
        </w:rPr>
      </w:pPr>
    </w:p>
    <w:p>
      <w:pPr>
        <w:ind w:left="1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International Financial Reporting Standards as issued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111" w:lineRule="exact"/>
        <w:rPr>
          <w:sz w:val="20"/>
          <w:szCs w:val="20"/>
          <w:color w:val="auto"/>
        </w:rPr>
      </w:pPr>
    </w:p>
    <w:p>
      <w:pPr>
        <w:sectPr>
          <w:pgSz w:w="11900" w:h="16838" w:orient="portrait"/>
          <w:cols w:equalWidth="0" w:num="3">
            <w:col w:w="1570" w:space="720"/>
            <w:col w:w="7120" w:space="720"/>
            <w:col w:w="660"/>
          </w:cols>
          <w:pgMar w:left="550" w:top="133" w:right="559" w:bottom="42" w:gutter="0" w:footer="0" w:header="0"/>
          <w:type w:val="continuous"/>
        </w:sectPr>
      </w:pPr>
    </w:p>
    <w:p>
      <w:pPr>
        <w:ind w:left="2290"/>
        <w:spacing w:after="0"/>
        <w:rPr>
          <w:sz w:val="20"/>
          <w:szCs w:val="20"/>
          <w:color w:val="auto"/>
        </w:rPr>
      </w:pPr>
      <w:r>
        <w:rPr>
          <w:rFonts w:ascii="Times New Roman" w:cs="Times New Roman" w:eastAsia="Times New Roman" w:hAnsi="Times New Roman"/>
          <w:sz w:val="17"/>
          <w:szCs w:val="17"/>
          <w:color w:val="auto"/>
        </w:rPr>
        <w:t>      by the International Accounting Standards Board</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r>
        <w:rPr>
          <w:rFonts w:ascii="MS PGothic" w:cs="MS PGothic" w:eastAsia="MS PGothic" w:hAnsi="MS PGothic"/>
          <w:sz w:val="14"/>
          <w:szCs w:val="14"/>
          <w:color w:val="auto"/>
        </w:rPr>
        <w:t>☐</w:t>
      </w:r>
    </w:p>
    <w:p>
      <w:pPr>
        <w:spacing w:after="0" w:line="237" w:lineRule="exact"/>
        <w:rPr>
          <w:sz w:val="20"/>
          <w:szCs w:val="20"/>
          <w:color w:val="auto"/>
        </w:rPr>
      </w:pPr>
    </w:p>
    <w:p>
      <w:pPr>
        <w:sectPr>
          <w:pgSz w:w="11900" w:h="16838" w:orient="portrait"/>
          <w:cols w:equalWidth="0" w:num="2">
            <w:col w:w="6970" w:space="720"/>
            <w:col w:w="3100"/>
          </w:cols>
          <w:pgMar w:left="550" w:top="133" w:right="559" w:bottom="42" w:gutter="0" w:footer="0" w:header="0"/>
          <w:type w:val="continuous"/>
        </w:sectPr>
      </w:pPr>
    </w:p>
    <w:p>
      <w:pPr>
        <w:ind w:left="10" w:right="300"/>
        <w:spacing w:after="0" w:line="234" w:lineRule="exact"/>
        <w:rPr>
          <w:sz w:val="20"/>
          <w:szCs w:val="20"/>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w:t>
      </w:r>
    </w:p>
    <w:p>
      <w:pPr>
        <w:spacing w:after="0" w:line="129" w:lineRule="exact"/>
        <w:rPr>
          <w:sz w:val="20"/>
          <w:szCs w:val="20"/>
          <w:color w:val="auto"/>
        </w:rPr>
      </w:pPr>
    </w:p>
    <w:p>
      <w:pPr>
        <w:ind w:left="10" w:right="260"/>
        <w:spacing w:after="0" w:line="253"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(APPLICABLE ONLY TO ISSUERS INVOLVED IN BANKRUPTCY PROCEEDINGS DURING THE PAST FIVE YEARS)</w:t>
      </w:r>
    </w:p>
    <w:p>
      <w:pPr>
        <w:sectPr>
          <w:pgSz w:w="11900" w:h="16838" w:orient="portrait"/>
          <w:cols w:equalWidth="0" w:num="1">
            <w:col w:w="10790"/>
          </w:cols>
          <w:pgMar w:left="550" w:top="133" w:right="559" w:bottom="42" w:gutter="0" w:footer="0" w:header="0"/>
          <w:type w:val="continuous"/>
        </w:sectPr>
      </w:pPr>
    </w:p>
    <w:bookmarkStart w:id="2" w:name="page3"/>
    <w:bookmarkEnd w:id="2"/>
    <w:p>
      <w:pPr>
        <w:spacing w:after="0" w:line="23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6849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193040</wp:posOffset>
            </wp:positionV>
            <wp:extent cx="6849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ectPr>
          <w:pgSz w:w="11900" w:h="16838" w:orient="portrait"/>
          <w:cols w:equalWidth="0" w:num="1">
            <w:col w:w="10260"/>
          </w:cols>
          <w:pgMar w:left="560" w:top="121" w:right="10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534"/>
        </w:trPr>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TABLE OF CONTENT</w:t>
            </w:r>
          </w:p>
        </w:tc>
        <w:tc>
          <w:tcPr>
            <w:tcW w:w="212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86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8600" w:type="dxa"/>
            <w:vAlign w:val="bottom"/>
            <w:gridSpan w:val="35"/>
          </w:tcPr>
          <w:p>
            <w:pPr>
              <w:spacing w:after="0" w:line="192" w:lineRule="exact"/>
              <w:rPr>
                <w:sz w:val="20"/>
                <w:szCs w:val="20"/>
                <w:color w:val="auto"/>
              </w:rPr>
            </w:pPr>
            <w:r>
              <w:rPr>
                <w:rFonts w:ascii="Times New Roman" w:cs="Times New Roman" w:eastAsia="Times New Roman" w:hAnsi="Times New Roman"/>
                <w:sz w:val="18"/>
                <w:szCs w:val="18"/>
                <w:color w:val="0000EE"/>
              </w:rPr>
              <w:t>FORWARD-LOOKING INFORMATION</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7</w:t>
            </w:r>
          </w:p>
        </w:tc>
      </w:tr>
      <w:tr>
        <w:trPr>
          <w:trHeight w:val="192"/>
        </w:trPr>
        <w:tc>
          <w:tcPr>
            <w:tcW w:w="240" w:type="dxa"/>
            <w:vAlign w:val="bottom"/>
          </w:tcPr>
          <w:p>
            <w:pPr>
              <w:spacing w:after="0"/>
              <w:rPr>
                <w:sz w:val="16"/>
                <w:szCs w:val="16"/>
                <w:color w:val="auto"/>
              </w:rPr>
            </w:pPr>
          </w:p>
        </w:tc>
        <w:tc>
          <w:tcPr>
            <w:tcW w:w="500" w:type="dxa"/>
            <w:vAlign w:val="bottom"/>
            <w:tcBorders>
              <w:top w:val="single" w:sz="8" w:color="0000EE"/>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rPr>
              <w:t>Part I</w:t>
            </w:r>
          </w:p>
        </w:tc>
        <w:tc>
          <w:tcPr>
            <w:tcW w:w="820" w:type="dxa"/>
            <w:vAlign w:val="bottom"/>
            <w:tcBorders>
              <w:top w:val="single" w:sz="8" w:color="0000EE"/>
            </w:tcBorders>
            <w:gridSpan w:val="9"/>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2.</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3.</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Key Information</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4.</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4A.</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w w:val="74"/>
              </w:rPr>
              <w:t>Item 5.</w:t>
            </w:r>
          </w:p>
        </w:tc>
        <w:tc>
          <w:tcPr>
            <w:tcW w:w="400" w:type="dxa"/>
            <w:vAlign w:val="bottom"/>
            <w:gridSpan w:val="7"/>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133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6.</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7.</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8.</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Financial Information</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169</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9.</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The Offer and Listing</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170</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5"/>
              </w:rPr>
              <w:t>Item 10.</w:t>
            </w:r>
          </w:p>
        </w:tc>
        <w:tc>
          <w:tcPr>
            <w:tcW w:w="400" w:type="dxa"/>
            <w:vAlign w:val="bottom"/>
            <w:gridSpan w:val="7"/>
          </w:tcPr>
          <w:p>
            <w:pPr>
              <w:spacing w:after="0"/>
              <w:rPr>
                <w:sz w:val="16"/>
                <w:szCs w:val="16"/>
                <w:color w:val="auto"/>
              </w:rPr>
            </w:pPr>
          </w:p>
        </w:tc>
        <w:tc>
          <w:tcPr>
            <w:tcW w:w="1580" w:type="dxa"/>
            <w:vAlign w:val="bottom"/>
            <w:tcBorders>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3"/>
              </w:rPr>
              <w:t>Additional Information</w:t>
            </w:r>
          </w:p>
        </w:tc>
        <w:tc>
          <w:tcPr>
            <w:tcW w:w="5700" w:type="dxa"/>
            <w:vAlign w:val="bottom"/>
            <w:gridSpan w:val="19"/>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171</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9"/>
          </w:tcPr>
          <w:p>
            <w:pPr>
              <w:spacing w:after="0" w:line="192" w:lineRule="exact"/>
              <w:rPr>
                <w:sz w:val="20"/>
                <w:szCs w:val="20"/>
                <w:color w:val="auto"/>
              </w:rPr>
            </w:pPr>
            <w:r>
              <w:rPr>
                <w:rFonts w:ascii="Times New Roman" w:cs="Times New Roman" w:eastAsia="Times New Roman" w:hAnsi="Times New Roman"/>
                <w:sz w:val="18"/>
                <w:szCs w:val="18"/>
                <w:color w:val="0000EE"/>
              </w:rPr>
              <w:t>Item 11.</w:t>
            </w: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5"/>
              </w:rPr>
              <w:t>Item 12.</w:t>
            </w:r>
          </w:p>
        </w:tc>
        <w:tc>
          <w:tcPr>
            <w:tcW w:w="400" w:type="dxa"/>
            <w:vAlign w:val="bottom"/>
            <w:gridSpan w:val="7"/>
          </w:tcPr>
          <w:p>
            <w:pPr>
              <w:spacing w:after="0"/>
              <w:rPr>
                <w:sz w:val="16"/>
                <w:szCs w:val="16"/>
                <w:color w:val="auto"/>
              </w:rPr>
            </w:pPr>
          </w:p>
        </w:tc>
        <w:tc>
          <w:tcPr>
            <w:tcW w:w="3740" w:type="dxa"/>
            <w:vAlign w:val="bottom"/>
            <w:tcBorders>
              <w:bottom w:val="single" w:sz="8" w:color="0000EE"/>
            </w:tcBorders>
            <w:gridSpan w:val="18"/>
          </w:tcPr>
          <w:p>
            <w:pPr>
              <w:spacing w:after="0" w:line="192" w:lineRule="exact"/>
              <w:rPr>
                <w:sz w:val="20"/>
                <w:szCs w:val="20"/>
                <w:color w:val="auto"/>
              </w:rPr>
            </w:pPr>
            <w:r>
              <w:rPr>
                <w:rFonts w:ascii="Times New Roman" w:cs="Times New Roman" w:eastAsia="Times New Roman" w:hAnsi="Times New Roman"/>
                <w:sz w:val="18"/>
                <w:szCs w:val="18"/>
                <w:color w:val="0000EE"/>
                <w:w w:val="95"/>
              </w:rPr>
              <w:t>Description of Securities Other than Equity Securities</w:t>
            </w:r>
          </w:p>
        </w:tc>
        <w:tc>
          <w:tcPr>
            <w:tcW w:w="3540" w:type="dxa"/>
            <w:vAlign w:val="bottom"/>
            <w:gridSpan w:val="7"/>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183</w:t>
            </w:r>
          </w:p>
        </w:tc>
      </w:tr>
      <w:tr>
        <w:trPr>
          <w:trHeight w:val="192"/>
        </w:trPr>
        <w:tc>
          <w:tcPr>
            <w:tcW w:w="240" w:type="dxa"/>
            <w:vAlign w:val="bottom"/>
          </w:tcPr>
          <w:p>
            <w:pPr>
              <w:spacing w:after="0"/>
              <w:rPr>
                <w:sz w:val="16"/>
                <w:szCs w:val="16"/>
                <w:color w:val="auto"/>
              </w:rPr>
            </w:pPr>
          </w:p>
        </w:tc>
        <w:tc>
          <w:tcPr>
            <w:tcW w:w="50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rPr>
              <w:t>Part II</w:t>
            </w:r>
          </w:p>
        </w:tc>
        <w:tc>
          <w:tcPr>
            <w:tcW w:w="820" w:type="dxa"/>
            <w:vAlign w:val="bottom"/>
            <w:gridSpan w:val="9"/>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188</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5"/>
              </w:rPr>
              <w:t>Item 13.</w:t>
            </w:r>
          </w:p>
        </w:tc>
        <w:tc>
          <w:tcPr>
            <w:tcW w:w="400" w:type="dxa"/>
            <w:vAlign w:val="bottom"/>
            <w:gridSpan w:val="7"/>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188</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5"/>
              </w:rPr>
              <w:t>Item 14.</w:t>
            </w:r>
          </w:p>
        </w:tc>
        <w:tc>
          <w:tcPr>
            <w:tcW w:w="400" w:type="dxa"/>
            <w:vAlign w:val="bottom"/>
            <w:gridSpan w:val="7"/>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188</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5"/>
              </w:rPr>
              <w:t>Item 15.</w:t>
            </w:r>
          </w:p>
        </w:tc>
        <w:tc>
          <w:tcPr>
            <w:tcW w:w="400" w:type="dxa"/>
            <w:vAlign w:val="bottom"/>
            <w:gridSpan w:val="7"/>
          </w:tcPr>
          <w:p>
            <w:pPr>
              <w:spacing w:after="0"/>
              <w:rPr>
                <w:sz w:val="16"/>
                <w:szCs w:val="16"/>
                <w:color w:val="auto"/>
              </w:rPr>
            </w:pPr>
          </w:p>
        </w:tc>
        <w:tc>
          <w:tcPr>
            <w:tcW w:w="1680" w:type="dxa"/>
            <w:vAlign w:val="bottom"/>
            <w:tcBorders>
              <w:top w:val="single" w:sz="8" w:color="0000EE"/>
              <w:bottom w:val="single" w:sz="8" w:color="0000EE"/>
            </w:tcBorders>
            <w:gridSpan w:val="10"/>
          </w:tcPr>
          <w:p>
            <w:pPr>
              <w:spacing w:after="0" w:line="192" w:lineRule="exact"/>
              <w:rPr>
                <w:sz w:val="20"/>
                <w:szCs w:val="20"/>
                <w:color w:val="auto"/>
              </w:rPr>
            </w:pPr>
            <w:r>
              <w:rPr>
                <w:rFonts w:ascii="Times New Roman" w:cs="Times New Roman" w:eastAsia="Times New Roman" w:hAnsi="Times New Roman"/>
                <w:sz w:val="18"/>
                <w:szCs w:val="18"/>
                <w:color w:val="0000EE"/>
                <w:w w:val="93"/>
              </w:rPr>
              <w:t>Controls and Procedures</w:t>
            </w:r>
          </w:p>
        </w:tc>
        <w:tc>
          <w:tcPr>
            <w:tcW w:w="3740" w:type="dxa"/>
            <w:vAlign w:val="bottom"/>
            <w:tcBorders>
              <w:top w:val="single" w:sz="8" w:color="0000EE"/>
            </w:tcBorders>
            <w:gridSpan w:val="14"/>
          </w:tcPr>
          <w:p>
            <w:pPr>
              <w:spacing w:after="0"/>
              <w:rPr>
                <w:sz w:val="16"/>
                <w:szCs w:val="16"/>
                <w:color w:val="auto"/>
              </w:rPr>
            </w:pPr>
          </w:p>
        </w:tc>
        <w:tc>
          <w:tcPr>
            <w:tcW w:w="1860" w:type="dxa"/>
            <w:vAlign w:val="bottom"/>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188</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73"/>
              </w:rPr>
              <w:t>Item 16A.</w:t>
            </w:r>
          </w:p>
        </w:tc>
        <w:tc>
          <w:tcPr>
            <w:tcW w:w="260" w:type="dxa"/>
            <w:vAlign w:val="bottom"/>
            <w:gridSpan w:val="3"/>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189</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top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74"/>
              </w:rPr>
              <w:t>Item 16B.</w:t>
            </w:r>
          </w:p>
        </w:tc>
        <w:tc>
          <w:tcPr>
            <w:tcW w:w="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380" w:type="dxa"/>
            <w:vAlign w:val="bottom"/>
            <w:tcBorders>
              <w:top w:val="single" w:sz="8" w:color="0000EE"/>
            </w:tcBorders>
            <w:gridSpan w:val="12"/>
          </w:tcPr>
          <w:p>
            <w:pPr>
              <w:spacing w:after="0" w:line="192" w:lineRule="exact"/>
              <w:rPr>
                <w:sz w:val="20"/>
                <w:szCs w:val="20"/>
                <w:color w:val="auto"/>
              </w:rPr>
            </w:pPr>
            <w:r>
              <w:rPr>
                <w:rFonts w:ascii="Times New Roman" w:cs="Times New Roman" w:eastAsia="Times New Roman" w:hAnsi="Times New Roman"/>
                <w:sz w:val="18"/>
                <w:szCs w:val="18"/>
                <w:color w:val="0000EE"/>
              </w:rPr>
              <w:t>Code of Ethics</w:t>
            </w:r>
          </w:p>
        </w:tc>
        <w:tc>
          <w:tcPr>
            <w:tcW w:w="4900" w:type="dxa"/>
            <w:vAlign w:val="bottom"/>
            <w:gridSpan w:val="13"/>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189</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77"/>
              </w:rPr>
              <w:t>Item 16C.</w:t>
            </w:r>
          </w:p>
        </w:tc>
        <w:tc>
          <w:tcPr>
            <w:tcW w:w="240" w:type="dxa"/>
            <w:vAlign w:val="bottom"/>
            <w:gridSpan w:val="2"/>
          </w:tcPr>
          <w:p>
            <w:pPr>
              <w:spacing w:after="0"/>
              <w:rPr>
                <w:sz w:val="16"/>
                <w:szCs w:val="16"/>
                <w:color w:val="auto"/>
              </w:rPr>
            </w:pPr>
          </w:p>
        </w:tc>
        <w:tc>
          <w:tcPr>
            <w:tcW w:w="2760" w:type="dxa"/>
            <w:vAlign w:val="bottom"/>
            <w:tcBorders>
              <w:bottom w:val="single" w:sz="8" w:color="0000EE"/>
            </w:tcBorders>
            <w:gridSpan w:val="13"/>
          </w:tcPr>
          <w:p>
            <w:pPr>
              <w:spacing w:after="0" w:line="192" w:lineRule="exact"/>
              <w:rPr>
                <w:sz w:val="20"/>
                <w:szCs w:val="20"/>
                <w:color w:val="auto"/>
              </w:rPr>
            </w:pPr>
            <w:r>
              <w:rPr>
                <w:rFonts w:ascii="Times New Roman" w:cs="Times New Roman" w:eastAsia="Times New Roman" w:hAnsi="Times New Roman"/>
                <w:sz w:val="18"/>
                <w:szCs w:val="18"/>
                <w:color w:val="0000EE"/>
                <w:w w:val="95"/>
              </w:rPr>
              <w:t>Principal Accountant Fees and Services</w:t>
            </w:r>
          </w:p>
        </w:tc>
        <w:tc>
          <w:tcPr>
            <w:tcW w:w="4520" w:type="dxa"/>
            <w:vAlign w:val="bottom"/>
            <w:gridSpan w:val="12"/>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190</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73"/>
              </w:rPr>
              <w:t>Item 16D.</w:t>
            </w:r>
          </w:p>
        </w:tc>
        <w:tc>
          <w:tcPr>
            <w:tcW w:w="260" w:type="dxa"/>
            <w:vAlign w:val="bottom"/>
            <w:gridSpan w:val="3"/>
          </w:tcPr>
          <w:p>
            <w:pPr>
              <w:spacing w:after="0"/>
              <w:rPr>
                <w:sz w:val="16"/>
                <w:szCs w:val="16"/>
                <w:color w:val="auto"/>
              </w:rPr>
            </w:pPr>
          </w:p>
        </w:tc>
        <w:tc>
          <w:tcPr>
            <w:tcW w:w="4300" w:type="dxa"/>
            <w:vAlign w:val="bottom"/>
            <w:tcBorders>
              <w:bottom w:val="single" w:sz="8" w:color="0000EE"/>
            </w:tcBorders>
            <w:gridSpan w:val="21"/>
          </w:tcPr>
          <w:p>
            <w:pPr>
              <w:spacing w:after="0" w:line="192" w:lineRule="exact"/>
              <w:rPr>
                <w:sz w:val="20"/>
                <w:szCs w:val="20"/>
                <w:color w:val="auto"/>
              </w:rPr>
            </w:pPr>
            <w:r>
              <w:rPr>
                <w:rFonts w:ascii="Times New Roman" w:cs="Times New Roman" w:eastAsia="Times New Roman" w:hAnsi="Times New Roman"/>
                <w:sz w:val="18"/>
                <w:szCs w:val="18"/>
                <w:color w:val="0000EE"/>
                <w:w w:val="96"/>
              </w:rPr>
              <w:t>Exemptions from the Listing Standards for Audit Committees</w:t>
            </w:r>
          </w:p>
        </w:tc>
        <w:tc>
          <w:tcPr>
            <w:tcW w:w="2980" w:type="dxa"/>
            <w:vAlign w:val="bottom"/>
            <w:gridSpan w:val="4"/>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191</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73"/>
              </w:rPr>
              <w:t>Item 16E.</w:t>
            </w:r>
          </w:p>
        </w:tc>
        <w:tc>
          <w:tcPr>
            <w:tcW w:w="280" w:type="dxa"/>
            <w:vAlign w:val="bottom"/>
            <w:gridSpan w:val="4"/>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191</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5"/>
                <w:szCs w:val="15"/>
                <w:color w:val="0000EE"/>
                <w:w w:val="78"/>
              </w:rPr>
              <w:t>Item 16F.</w:t>
            </w:r>
          </w:p>
        </w:tc>
        <w:tc>
          <w:tcPr>
            <w:tcW w:w="40" w:type="dxa"/>
            <w:vAlign w:val="bottom"/>
            <w:tcBorders>
              <w:top w:val="single" w:sz="8" w:color="0000EE"/>
            </w:tcBorders>
          </w:tcPr>
          <w:p>
            <w:pPr>
              <w:spacing w:after="0"/>
              <w:rPr>
                <w:sz w:val="16"/>
                <w:szCs w:val="16"/>
                <w:color w:val="auto"/>
              </w:rPr>
            </w:pPr>
          </w:p>
        </w:tc>
        <w:tc>
          <w:tcPr>
            <w:tcW w:w="280" w:type="dxa"/>
            <w:vAlign w:val="bottom"/>
            <w:gridSpan w:val="4"/>
          </w:tcPr>
          <w:p>
            <w:pPr>
              <w:spacing w:after="0"/>
              <w:rPr>
                <w:sz w:val="16"/>
                <w:szCs w:val="16"/>
                <w:color w:val="auto"/>
              </w:rPr>
            </w:pPr>
          </w:p>
        </w:tc>
        <w:tc>
          <w:tcPr>
            <w:tcW w:w="4860" w:type="dxa"/>
            <w:vAlign w:val="bottom"/>
            <w:tcBorders>
              <w:top w:val="single" w:sz="8" w:color="0000EE"/>
            </w:tcBorders>
            <w:gridSpan w:val="23"/>
          </w:tcPr>
          <w:p>
            <w:pPr>
              <w:spacing w:after="0" w:line="192"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2420" w:type="dxa"/>
            <w:vAlign w:val="bottom"/>
            <w:gridSpan w:val="2"/>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3"/>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w w:val="76"/>
              </w:rPr>
              <w:t>Item 16G.</w:t>
            </w:r>
          </w:p>
        </w:tc>
        <w:tc>
          <w:tcPr>
            <w:tcW w:w="240" w:type="dxa"/>
            <w:vAlign w:val="bottom"/>
            <w:gridSpan w:val="2"/>
          </w:tcPr>
          <w:p>
            <w:pPr>
              <w:spacing w:after="0"/>
              <w:rPr>
                <w:sz w:val="16"/>
                <w:szCs w:val="16"/>
                <w:color w:val="auto"/>
              </w:rPr>
            </w:pPr>
          </w:p>
        </w:tc>
        <w:tc>
          <w:tcPr>
            <w:tcW w:w="154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w w:val="92"/>
              </w:rPr>
              <w:t>Corporate Governance</w:t>
            </w:r>
          </w:p>
        </w:tc>
        <w:tc>
          <w:tcPr>
            <w:tcW w:w="5740" w:type="dxa"/>
            <w:vAlign w:val="bottom"/>
            <w:gridSpan w:val="20"/>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192</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73"/>
              </w:rPr>
              <w:t>Item 16H.</w:t>
            </w:r>
          </w:p>
        </w:tc>
        <w:tc>
          <w:tcPr>
            <w:tcW w:w="260" w:type="dxa"/>
            <w:vAlign w:val="bottom"/>
            <w:gridSpan w:val="3"/>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Mine Safety Disclosure</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gridSpan w:val="1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81"/>
              </w:rPr>
              <w:t>Item 16I.</w:t>
            </w:r>
          </w:p>
        </w:tc>
        <w:tc>
          <w:tcPr>
            <w:tcW w:w="260" w:type="dxa"/>
            <w:vAlign w:val="bottom"/>
            <w:gridSpan w:val="3"/>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192</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5"/>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3120" w:type="dxa"/>
            <w:vAlign w:val="bottom"/>
            <w:gridSpan w:val="14"/>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gridSpan w:val="4"/>
          </w:tcPr>
          <w:p>
            <w:pPr>
              <w:spacing w:after="0" w:line="192" w:lineRule="exact"/>
              <w:rPr>
                <w:sz w:val="20"/>
                <w:szCs w:val="20"/>
                <w:color w:val="auto"/>
              </w:rPr>
            </w:pPr>
            <w:r>
              <w:rPr>
                <w:rFonts w:ascii="Times New Roman" w:cs="Times New Roman" w:eastAsia="Times New Roman" w:hAnsi="Times New Roman"/>
                <w:sz w:val="17"/>
                <w:szCs w:val="17"/>
                <w:color w:val="0000EE"/>
                <w:w w:val="72"/>
              </w:rPr>
              <w:t>Item 16J.</w:t>
            </w:r>
          </w:p>
        </w:tc>
        <w:tc>
          <w:tcPr>
            <w:tcW w:w="320" w:type="dxa"/>
            <w:vAlign w:val="bottom"/>
            <w:gridSpan w:val="5"/>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Insider Trading Policies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20" w:type="dxa"/>
            <w:vAlign w:val="bottom"/>
            <w:tcBorders>
              <w:right w:val="single" w:sz="8" w:color="0000EE"/>
            </w:tcBorders>
            <w:gridSpan w:val="5"/>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5660" w:type="dxa"/>
            <w:vAlign w:val="bottom"/>
            <w:gridSpan w:val="17"/>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73"/>
              </w:rPr>
              <w:t>Item 16K.</w:t>
            </w:r>
          </w:p>
        </w:tc>
        <w:tc>
          <w:tcPr>
            <w:tcW w:w="260" w:type="dxa"/>
            <w:vAlign w:val="bottom"/>
            <w:gridSpan w:val="3"/>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Cybersecurity</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193</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260" w:type="dxa"/>
            <w:vAlign w:val="bottom"/>
            <w:tcBorders>
              <w:right w:val="single" w:sz="8" w:color="0000EE"/>
            </w:tcBorders>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2"/>
        </w:trPr>
        <w:tc>
          <w:tcPr>
            <w:tcW w:w="240" w:type="dxa"/>
            <w:vAlign w:val="bottom"/>
          </w:tcPr>
          <w:p>
            <w:pPr>
              <w:spacing w:after="0"/>
              <w:rPr>
                <w:sz w:val="16"/>
                <w:szCs w:val="16"/>
                <w:color w:val="auto"/>
              </w:rPr>
            </w:pPr>
          </w:p>
        </w:tc>
        <w:tc>
          <w:tcPr>
            <w:tcW w:w="50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89"/>
              </w:rPr>
              <w:t>Part III</w:t>
            </w:r>
          </w:p>
        </w:tc>
        <w:tc>
          <w:tcPr>
            <w:tcW w:w="820" w:type="dxa"/>
            <w:vAlign w:val="bottom"/>
            <w:gridSpan w:val="9"/>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194</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5"/>
              </w:rPr>
              <w:t>Item 17.</w:t>
            </w:r>
          </w:p>
        </w:tc>
        <w:tc>
          <w:tcPr>
            <w:tcW w:w="400" w:type="dxa"/>
            <w:vAlign w:val="bottom"/>
            <w:gridSpan w:val="7"/>
          </w:tcPr>
          <w:p>
            <w:pPr>
              <w:spacing w:after="0"/>
              <w:rPr>
                <w:sz w:val="16"/>
                <w:szCs w:val="16"/>
                <w:color w:val="auto"/>
              </w:rPr>
            </w:pPr>
          </w:p>
        </w:tc>
        <w:tc>
          <w:tcPr>
            <w:tcW w:w="1480" w:type="dxa"/>
            <w:vAlign w:val="bottom"/>
            <w:tcBorders>
              <w:bottom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5"/>
              </w:rPr>
              <w:t>Financial Statements</w:t>
            </w:r>
          </w:p>
        </w:tc>
        <w:tc>
          <w:tcPr>
            <w:tcW w:w="5800" w:type="dxa"/>
            <w:vAlign w:val="bottom"/>
            <w:gridSpan w:val="21"/>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194</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5"/>
              </w:rPr>
              <w:t>Item 18.</w:t>
            </w:r>
          </w:p>
        </w:tc>
        <w:tc>
          <w:tcPr>
            <w:tcW w:w="400" w:type="dxa"/>
            <w:vAlign w:val="bottom"/>
            <w:gridSpan w:val="7"/>
          </w:tcPr>
          <w:p>
            <w:pPr>
              <w:spacing w:after="0"/>
              <w:rPr>
                <w:sz w:val="16"/>
                <w:szCs w:val="16"/>
                <w:color w:val="auto"/>
              </w:rPr>
            </w:pPr>
          </w:p>
        </w:tc>
        <w:tc>
          <w:tcPr>
            <w:tcW w:w="1480" w:type="dxa"/>
            <w:vAlign w:val="bottom"/>
            <w:tcBorders>
              <w:bottom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color w:val="0000EE"/>
                <w:w w:val="95"/>
              </w:rPr>
              <w:t>Financial Statements</w:t>
            </w:r>
          </w:p>
        </w:tc>
        <w:tc>
          <w:tcPr>
            <w:tcW w:w="5800" w:type="dxa"/>
            <w:vAlign w:val="bottom"/>
            <w:gridSpan w:val="21"/>
          </w:tcPr>
          <w:p>
            <w:pPr>
              <w:spacing w:after="0"/>
              <w:rPr>
                <w:sz w:val="16"/>
                <w:szCs w:val="16"/>
                <w:color w:val="auto"/>
              </w:rPr>
            </w:pP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194</w:t>
            </w:r>
          </w:p>
        </w:tc>
      </w:tr>
      <w:tr>
        <w:trPr>
          <w:trHeight w:val="192"/>
        </w:trPr>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5"/>
              </w:rPr>
              <w:t>Item 19.</w:t>
            </w:r>
          </w:p>
        </w:tc>
        <w:tc>
          <w:tcPr>
            <w:tcW w:w="400" w:type="dxa"/>
            <w:vAlign w:val="bottom"/>
            <w:gridSpan w:val="7"/>
          </w:tcPr>
          <w:p>
            <w:pPr>
              <w:spacing w:after="0"/>
              <w:rPr>
                <w:sz w:val="16"/>
                <w:szCs w:val="16"/>
                <w:color w:val="auto"/>
              </w:rPr>
            </w:pPr>
          </w:p>
        </w:tc>
        <w:tc>
          <w:tcPr>
            <w:tcW w:w="7280" w:type="dxa"/>
            <w:vAlign w:val="bottom"/>
            <w:gridSpan w:val="25"/>
          </w:tcPr>
          <w:p>
            <w:pPr>
              <w:spacing w:after="0" w:line="192" w:lineRule="exact"/>
              <w:rPr>
                <w:sz w:val="20"/>
                <w:szCs w:val="20"/>
                <w:color w:val="auto"/>
              </w:rPr>
            </w:pPr>
            <w:r>
              <w:rPr>
                <w:rFonts w:ascii="Times New Roman" w:cs="Times New Roman" w:eastAsia="Times New Roman" w:hAnsi="Times New Roman"/>
                <w:sz w:val="18"/>
                <w:szCs w:val="18"/>
                <w:color w:val="0000EE"/>
              </w:rPr>
              <w:t>Exhibits</w:t>
            </w:r>
          </w:p>
        </w:tc>
        <w:tc>
          <w:tcPr>
            <w:tcW w:w="21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194</w:t>
            </w:r>
          </w:p>
        </w:tc>
      </w:tr>
      <w:tr>
        <w:trPr>
          <w:trHeight w:val="20"/>
        </w:trPr>
        <w:tc>
          <w:tcPr>
            <w:tcW w:w="2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r>
    </w:p>
    <w:p>
      <w:pPr>
        <w:jc w:val="center"/>
        <w:ind w:right="-2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320" w:top="461"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annual report to:</w:t>
      </w:r>
    </w:p>
    <w:p>
      <w:pPr>
        <w:spacing w:after="0" w:line="124" w:lineRule="exact"/>
        <w:rPr>
          <w:sz w:val="20"/>
          <w:szCs w:val="20"/>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our American depositary shares, each of which represents two Class A ordinary shares;</w:t>
      </w:r>
    </w:p>
    <w:p>
      <w:pPr>
        <w:spacing w:after="0" w:line="123" w:lineRule="exact"/>
        <w:rPr>
          <w:rFonts w:ascii="Times New Roman" w:cs="Times New Roman" w:eastAsia="Times New Roman" w:hAnsi="Times New Roman"/>
          <w:sz w:val="18"/>
          <w:szCs w:val="18"/>
          <w:color w:val="auto"/>
        </w:rPr>
      </w:pPr>
    </w:p>
    <w:p>
      <w:pPr>
        <w:ind w:left="1180" w:right="480" w:hanging="421"/>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“CCASS” are to the Central Clearing and Settlement System established and operated by Hong Kong Securities Clearing Company Limited, a wholly-owned subsidiary of Hong Kong Exchange and Clearing Limited;</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the China Securities Regulatory Commission;</w:t>
      </w:r>
    </w:p>
    <w:p>
      <w:pPr>
        <w:spacing w:after="0" w:line="123" w:lineRule="exact"/>
        <w:rPr>
          <w:rFonts w:ascii="Times New Roman" w:cs="Times New Roman" w:eastAsia="Times New Roman" w:hAnsi="Times New Roman"/>
          <w:sz w:val="18"/>
          <w:szCs w:val="18"/>
          <w:color w:val="auto"/>
        </w:rPr>
      </w:pPr>
    </w:p>
    <w:p>
      <w:pPr>
        <w:ind w:left="1180" w:right="560" w:hanging="421"/>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“HFCAA” are to the Holding Foreign Companies Accountable Act, which was enacted on December 18, 2020, signed into law on December 29, 2022 and amended by the Consolidated Appropriations Act, 2023;</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or “HK dollars” are to Hong Kong dollars, the lawful currency of Hong Kong;</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or “HK” or “Hong Kong S.A.R.” are to the Hong Kong Special Administrative Region of the PRC;</w:t>
      </w:r>
    </w:p>
    <w:p>
      <w:pPr>
        <w:spacing w:after="0" w:line="123" w:lineRule="exact"/>
        <w:rPr>
          <w:rFonts w:ascii="Times New Roman" w:cs="Times New Roman" w:eastAsia="Times New Roman" w:hAnsi="Times New Roman"/>
          <w:sz w:val="18"/>
          <w:szCs w:val="18"/>
          <w:color w:val="auto"/>
        </w:rPr>
      </w:pPr>
    </w:p>
    <w:p>
      <w:pPr>
        <w:ind w:left="1180" w:right="480" w:hanging="421"/>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Listing Rules” are to the Rules Governing the Listing of Securities on The Stock Exchange of Hong Kong Limited, as amended or supplemented from time to time;</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Share Registrar” are to Computershare Hong Kong Investor Services Limited;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are to The Stock Exchange of Hong Kong Limited;</w:t>
      </w:r>
    </w:p>
    <w:p>
      <w:pPr>
        <w:spacing w:after="0" w:line="123" w:lineRule="exact"/>
        <w:rPr>
          <w:rFonts w:ascii="Times New Roman" w:cs="Times New Roman" w:eastAsia="Times New Roman" w:hAnsi="Times New Roman"/>
          <w:sz w:val="18"/>
          <w:szCs w:val="18"/>
          <w:color w:val="auto"/>
        </w:rPr>
      </w:pPr>
    </w:p>
    <w:p>
      <w:pPr>
        <w:ind w:left="1180" w:right="120" w:hanging="421"/>
        <w:spacing w:after="0" w:line="25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Health” are to JD Health International Inc., a consolidated subsidiary of our company and the shares of which are listed on the Main Board of the Hong Kong Stock Exchange (Stock Code: 6618 (HKD counter) and 86618 (RMB counter)), and, except where the context otherwise requires, its subsidiaries and the consolidated variable interest entities and their subsidiaries;</w:t>
      </w:r>
    </w:p>
    <w:p>
      <w:pPr>
        <w:spacing w:after="0" w:line="85" w:lineRule="exact"/>
        <w:rPr>
          <w:rFonts w:ascii="Times New Roman" w:cs="Times New Roman" w:eastAsia="Times New Roman" w:hAnsi="Times New Roman"/>
          <w:sz w:val="18"/>
          <w:szCs w:val="18"/>
          <w:color w:val="auto"/>
        </w:rPr>
      </w:pPr>
    </w:p>
    <w:p>
      <w:pPr>
        <w:ind w:left="1180" w:right="80" w:hanging="421"/>
        <w:spacing w:after="0" w:line="253"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Industrials” are to JINGDONG Industrials, Inc. (formerly known as JD Industrial Technology Inc. and renamed as in March 2023), a consolidated subsidiary of our company and, the shares of which are listed on the Main Board of the Hong Kong Stock Exchange (Stock Code: 7618), and, except where the context otherwise requires, its subsidiaries and the consolidated variable interest entities and their subsidiaries;</w:t>
      </w:r>
    </w:p>
    <w:p>
      <w:pPr>
        <w:spacing w:after="0" w:line="92" w:lineRule="exact"/>
        <w:rPr>
          <w:rFonts w:ascii="Times New Roman" w:cs="Times New Roman" w:eastAsia="Times New Roman" w:hAnsi="Times New Roman"/>
          <w:sz w:val="18"/>
          <w:szCs w:val="18"/>
          <w:color w:val="auto"/>
        </w:rPr>
      </w:pPr>
    </w:p>
    <w:p>
      <w:pPr>
        <w:ind w:left="1180" w:hanging="421"/>
        <w:spacing w:after="0" w:line="25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Logistics” are to JD Logistics, Inc., a consolidated subsidiary of our company and the shares of which are listed on the Main Board of the Hong Kong Stock Exchange (Stock Code: 2618), and, except where the context otherwise requires, its subsidiaries and the consolidated variable interest entities and their subsidiaries;</w:t>
      </w:r>
    </w:p>
    <w:p>
      <w:pPr>
        <w:spacing w:after="0" w:line="85" w:lineRule="exact"/>
        <w:rPr>
          <w:rFonts w:ascii="Times New Roman" w:cs="Times New Roman" w:eastAsia="Times New Roman" w:hAnsi="Times New Roman"/>
          <w:sz w:val="18"/>
          <w:szCs w:val="18"/>
          <w:color w:val="auto"/>
        </w:rPr>
      </w:pPr>
    </w:p>
    <w:p>
      <w:pPr>
        <w:jc w:val="both"/>
        <w:ind w:left="1180" w:right="220" w:hanging="421"/>
        <w:spacing w:after="0" w:line="25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Property” are to JINGDONG Property, Inc. (formerly known as JD Property Group Corporation and renamed as in March 2023), a consolidated subsidiary of our company and, except where the context otherwise requires, its subsidiaries and the consolidated variable interest entities and their subsidiaries;</w:t>
      </w:r>
    </w:p>
    <w:p>
      <w:pPr>
        <w:spacing w:after="0" w:line="85" w:lineRule="exact"/>
        <w:rPr>
          <w:rFonts w:ascii="Times New Roman" w:cs="Times New Roman" w:eastAsia="Times New Roman" w:hAnsi="Times New Roman"/>
          <w:sz w:val="18"/>
          <w:szCs w:val="18"/>
          <w:color w:val="auto"/>
        </w:rPr>
      </w:pPr>
    </w:p>
    <w:p>
      <w:pPr>
        <w:ind w:left="1180" w:right="240" w:hanging="421"/>
        <w:spacing w:after="0" w:line="270"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Board” are to the stock market (excluding the option market) operated by the Hong Kong Stock Exchange which is independent from and operated in parallel with the GEM of the Hong Kong Stock Exchange;</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Class A and Class B ordinary shares, par value US$0.00002 per share;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Public Company Accounting Oversight Board of the United States;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United States Securities and Exchange Commission;</w:t>
      </w:r>
    </w:p>
    <w:p>
      <w:pPr>
        <w:spacing w:after="0" w:line="1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76"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right="220" w:hanging="421"/>
        <w:spacing w:after="0" w:line="270"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“SFO” are to the Securities and Futures Ordinance (Chapter 571 of the Laws of Hong Kong), as amended or supplemented from time to time; and</w:t>
      </w:r>
    </w:p>
    <w:p>
      <w:pPr>
        <w:spacing w:after="0" w:line="76" w:lineRule="exact"/>
        <w:rPr>
          <w:rFonts w:ascii="Times New Roman" w:cs="Times New Roman" w:eastAsia="Times New Roman" w:hAnsi="Times New Roman"/>
          <w:sz w:val="18"/>
          <w:szCs w:val="18"/>
          <w:color w:val="auto"/>
        </w:rPr>
      </w:pPr>
    </w:p>
    <w:p>
      <w:pPr>
        <w:ind w:left="1180" w:hanging="421"/>
        <w:spacing w:after="0" w:line="265" w:lineRule="auto"/>
        <w:tabs>
          <w:tab w:leader="none" w:pos="11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company” or “our” are to JD.com, Inc., its subsidiaries, and, in the context of describing our operations and consolidated financial information, the consolidated variable interest entities and their subsidiaries. The consolidated variable interest entities include, among others, Beijing Jingdong 360 Degree E-Commerce Co., Ltd., Jiangsu Yuanzhou E-Commerce Co., Ltd., Xi’an Jingdong Xincheng Information Technology Co., Ltd., Jiangsu Jingdong Bangneng Investment Management Co., Ltd. and Suqian Hanyu Technology Co., Ltd. References to the consolidated variable interest entities may include their subsidiaries, depending on the context as appropriate. The consolidated variable interest entities are PRC companies conducting operations in the Chinese mainland, and their financial results have been consolidated into our consolidated financial statements under U.S. GAAP for accounting purposes. JD.com, Inc. is a holding company with no operations of its own. We do not have any equity ownership in the consolidated variable interest entities.</w:t>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2"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An investment in our ADSs or Class A ordinary shares involves significant risks. Below is a summary of material risks we face, organized under relevant headings. The operational risks associated with being based in and having operations in the Chinese mainland also apply to operations in Hong Kong and Macau. While entities and businesses in Hong Kong and Macau operate under different sets of laws from the Chinese mainland, the legal risks associated with being based in and having operations in the Chinese mainland could apply to our operations in Hong Kong and Macau, if the laws applicable to the Chinese mainland become applicable to entities and businesses in Hong Kong and Macau in the future. These risks are discussed more fully in “Item 3.D. Key Information—Risk Factors.”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Risks and uncertainties relating to our business include, but are not limited to, the following:</w:t>
      </w:r>
    </w:p>
    <w:p>
      <w:pPr>
        <w:spacing w:after="0" w:line="124" w:lineRule="exact"/>
        <w:rPr>
          <w:sz w:val="20"/>
          <w:szCs w:val="20"/>
          <w:color w:val="auto"/>
        </w:rPr>
      </w:pPr>
    </w:p>
    <w:p>
      <w:pPr>
        <w:ind w:left="1180" w:right="220" w:hanging="421"/>
        <w:spacing w:after="0" w:line="280"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manage our growth or execute our strategies effectively, our business and prospects may be materially and adversely affected. See “Item 3.D. Key Information—Risk Factors—Risks Related to Our Business—If we are unable to manage our growth or execute our strategies effectively, our business and prospects may be materially and adversely affected” on page 23 for details;</w:t>
      </w:r>
    </w:p>
    <w:p>
      <w:pPr>
        <w:spacing w:after="0" w:line="69" w:lineRule="exact"/>
        <w:rPr>
          <w:rFonts w:ascii="Times New Roman" w:cs="Times New Roman" w:eastAsia="Times New Roman" w:hAnsi="Times New Roman"/>
          <w:sz w:val="17"/>
          <w:szCs w:val="17"/>
          <w:color w:val="auto"/>
        </w:rPr>
      </w:pPr>
    </w:p>
    <w:p>
      <w:pPr>
        <w:ind w:left="1180" w:right="20" w:hanging="421"/>
        <w:spacing w:after="0" w:line="258"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provide superior customer experience, our business and reputation may be materially and adversely affected. See “Item 3.D. Key Information—Risk Factors—Risks Related to Our Business—If we are unable to provide superior customer experience, our business and reputation may be materially and adversely affected” on page 24 for details;</w:t>
      </w:r>
    </w:p>
    <w:p>
      <w:pPr>
        <w:spacing w:after="0" w:line="85" w:lineRule="exact"/>
        <w:rPr>
          <w:rFonts w:ascii="Times New Roman" w:cs="Times New Roman" w:eastAsia="Times New Roman" w:hAnsi="Times New Roman"/>
          <w:sz w:val="18"/>
          <w:szCs w:val="18"/>
          <w:color w:val="auto"/>
        </w:rPr>
      </w:pPr>
    </w:p>
    <w:p>
      <w:pPr>
        <w:ind w:left="1180" w:hanging="421"/>
        <w:spacing w:after="0" w:line="253"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growth and profitability of the retail industry in China in general, and the online retail industry in particular, could adversely affect our business, prospects and results of operations. See “Item 3.D. Key Information—Risk Factors—Risks Related to Our Business—Uncertainties relating to the growth and profitability of the retail industry in China in general, and the online retail industry in particular, could adversely affect our business, prospects and results of operations” on page 24 for details;</w:t>
      </w:r>
    </w:p>
    <w:p>
      <w:pPr>
        <w:spacing w:after="0" w:line="92" w:lineRule="exact"/>
        <w:rPr>
          <w:rFonts w:ascii="Times New Roman" w:cs="Times New Roman" w:eastAsia="Times New Roman" w:hAnsi="Times New Roman"/>
          <w:sz w:val="18"/>
          <w:szCs w:val="18"/>
          <w:color w:val="auto"/>
        </w:rPr>
      </w:pPr>
    </w:p>
    <w:p>
      <w:pPr>
        <w:ind w:left="1180" w:right="20" w:hanging="421"/>
        <w:spacing w:after="0" w:line="258"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harm to our JD brand or reputation may materially and adversely affect our business and results of operations. See “Item 3.D. Key Information—Risk Factors—Risks Related to Our Business—Any harm to our JD brand or reputation may materially and adversely affect our business and results of operations” on page 25 for details;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320" w:top="476" w:right="5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right="100" w:hanging="421"/>
        <w:spacing w:after="0" w:line="253"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offer products that attract purchases from new and existing customers, our business, financial condition and results of operations may be materially and adversely affected. See “Item 3.D. Key Information—Risk Factors—Risks Related to Our Business—If we are unable to offer products that attract purchases from new and existing customers, our business, financial condition and results of operations may be materially and adversely affected” on page 26 for details;</w:t>
      </w:r>
    </w:p>
    <w:p>
      <w:pPr>
        <w:spacing w:after="0" w:line="92" w:lineRule="exact"/>
        <w:rPr>
          <w:rFonts w:ascii="Times New Roman" w:cs="Times New Roman" w:eastAsia="Times New Roman" w:hAnsi="Times New Roman"/>
          <w:sz w:val="18"/>
          <w:szCs w:val="18"/>
          <w:color w:val="auto"/>
        </w:rPr>
      </w:pPr>
    </w:p>
    <w:p>
      <w:pPr>
        <w:ind w:left="1180" w:right="100" w:hanging="421"/>
        <w:spacing w:after="0" w:line="253"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nationwide fulfillment infrastructure efficiently and effectively, our business prospects and results of operations may be materially and adversely affected. See “Item 3.D. Key Information—Risk Factors—Risks Related to Our Business—If we are unable to manage our nationwide fulfillment infrastructure efficiently and effectively, our business prospects and results of operations may be materially and adversely affected” on page 26 for details;</w:t>
      </w:r>
    </w:p>
    <w:p>
      <w:pPr>
        <w:spacing w:after="0" w:line="92" w:lineRule="exact"/>
        <w:rPr>
          <w:rFonts w:ascii="Times New Roman" w:cs="Times New Roman" w:eastAsia="Times New Roman" w:hAnsi="Times New Roman"/>
          <w:sz w:val="18"/>
          <w:szCs w:val="18"/>
          <w:color w:val="auto"/>
        </w:rPr>
      </w:pPr>
    </w:p>
    <w:p>
      <w:pPr>
        <w:jc w:val="both"/>
        <w:ind w:left="1180" w:hanging="421"/>
        <w:spacing w:after="0" w:line="258"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We may not be able to maintain or may lose market share and customers if we fail to compete effectively. See “Item 3.D. Key Information—Risk Factors—Risks Related to Our Business—We face intense competition. We may lose market share and customers if we fail to compete effectively” on page 26 for details;</w:t>
      </w:r>
    </w:p>
    <w:p>
      <w:pPr>
        <w:spacing w:after="0" w:line="85" w:lineRule="exact"/>
        <w:rPr>
          <w:rFonts w:ascii="Times New Roman" w:cs="Times New Roman" w:eastAsia="Times New Roman" w:hAnsi="Times New Roman"/>
          <w:sz w:val="18"/>
          <w:szCs w:val="18"/>
          <w:color w:val="auto"/>
        </w:rPr>
      </w:pPr>
    </w:p>
    <w:p>
      <w:pPr>
        <w:ind w:left="1180" w:right="120" w:hanging="421"/>
        <w:spacing w:after="0" w:line="258"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product categories and substantial increase in the number of products may expose us to new challenges and more risks. See “Item 3.D. Key Information—Risk Factors—Risks Related to Our Business—Our expansion into new product categories and substantial increase in the number of products may expose us to new challenges and more risks” on page 27 for details;</w:t>
      </w:r>
    </w:p>
    <w:p>
      <w:pPr>
        <w:spacing w:after="0" w:line="85" w:lineRule="exact"/>
        <w:rPr>
          <w:rFonts w:ascii="Times New Roman" w:cs="Times New Roman" w:eastAsia="Times New Roman" w:hAnsi="Times New Roman"/>
          <w:sz w:val="18"/>
          <w:szCs w:val="18"/>
          <w:color w:val="auto"/>
        </w:rPr>
      </w:pPr>
    </w:p>
    <w:p>
      <w:pPr>
        <w:jc w:val="both"/>
        <w:ind w:left="1180" w:right="100" w:hanging="421"/>
        <w:spacing w:after="0" w:line="280"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manage our inventory effectively, our results of operations, financial condition and liquidity may be materially and adversely affected. See “Item 3.D. Key Information—Risk Factors—Risks Related to Our Business—If we fail to manage our inventory effectively, our results of operations, financial condition and liquidity may be materially and adversely affected” on page 27 for details;</w:t>
      </w:r>
    </w:p>
    <w:p>
      <w:pPr>
        <w:spacing w:after="0" w:line="69" w:lineRule="exact"/>
        <w:rPr>
          <w:rFonts w:ascii="Times New Roman" w:cs="Times New Roman" w:eastAsia="Times New Roman" w:hAnsi="Times New Roman"/>
          <w:sz w:val="17"/>
          <w:szCs w:val="17"/>
          <w:color w:val="auto"/>
        </w:rPr>
      </w:pPr>
    </w:p>
    <w:p>
      <w:pPr>
        <w:ind w:left="1180" w:right="60" w:hanging="421"/>
        <w:spacing w:after="0" w:line="270"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profitability in the future. See “Item 3.D. Key Information—Risk Factors—Risks Related to Our Business —We may not be able to maintain profitability in the future” on page 28 for details;</w:t>
      </w:r>
    </w:p>
    <w:p>
      <w:pPr>
        <w:spacing w:after="0" w:line="76" w:lineRule="exact"/>
        <w:rPr>
          <w:rFonts w:ascii="Times New Roman" w:cs="Times New Roman" w:eastAsia="Times New Roman" w:hAnsi="Times New Roman"/>
          <w:sz w:val="18"/>
          <w:szCs w:val="18"/>
          <w:color w:val="auto"/>
        </w:rPr>
      </w:pPr>
    </w:p>
    <w:p>
      <w:pPr>
        <w:ind w:left="1180" w:right="20" w:hanging="421"/>
        <w:spacing w:after="0" w:line="253"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confidential information of our customers and network against security breaches could damage our reputation and brand and substantially harm our business and results of operations. See “Item 3.D. Key Information—Risk Factors—Risks Related to Our Business—Failure to protect confidential information of our customers and network against security breaches could damage our reputation and brand and substantially harm our business and results of operations” on page 38 for details;</w:t>
      </w:r>
    </w:p>
    <w:p>
      <w:pPr>
        <w:spacing w:after="0" w:line="92" w:lineRule="exact"/>
        <w:rPr>
          <w:rFonts w:ascii="Times New Roman" w:cs="Times New Roman" w:eastAsia="Times New Roman" w:hAnsi="Times New Roman"/>
          <w:sz w:val="18"/>
          <w:szCs w:val="18"/>
          <w:color w:val="auto"/>
        </w:rPr>
      </w:pPr>
    </w:p>
    <w:p>
      <w:pPr>
        <w:ind w:left="1180" w:right="120" w:hanging="421"/>
        <w:spacing w:after="0" w:line="258"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Chinese and international laws and regulations regarding data privacy and cybersecurity. See “Item 3.D. Key Information—Risk Factors—Risks Related to Our Business—Our business is subject to complex and evolving Chinese and international laws and regulations regarding data privacy and cybersecurity.” on page 39 for details;</w:t>
      </w:r>
    </w:p>
    <w:p>
      <w:pPr>
        <w:spacing w:after="0" w:line="85" w:lineRule="exact"/>
        <w:rPr>
          <w:rFonts w:ascii="Times New Roman" w:cs="Times New Roman" w:eastAsia="Times New Roman" w:hAnsi="Times New Roman"/>
          <w:sz w:val="18"/>
          <w:szCs w:val="18"/>
          <w:color w:val="auto"/>
        </w:rPr>
      </w:pPr>
    </w:p>
    <w:p>
      <w:pPr>
        <w:ind w:left="1180" w:hanging="421"/>
        <w:spacing w:after="0" w:line="269"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and/or filing with the CSRC or other PRC government authorities may be required in connection with our offshore offerings under PRC law, and, if required, we cannot predict whether or for how long we will be able to obtain such approval or complete such filing. See “Item 3.D. Key Information—Risk Factors—Risks Related to Our Business—The approval of and/or filing with the CSRC or other PRC government authorities may be required in connection with our offshore offerings under PRC law, and, if required, we cannot predict whether or for how long we will be able to obtain such approval or complete such filing” on page 54 for details;</w:t>
      </w:r>
    </w:p>
    <w:p>
      <w:pPr>
        <w:spacing w:after="0" w:line="81" w:lineRule="exact"/>
        <w:rPr>
          <w:rFonts w:ascii="Times New Roman" w:cs="Times New Roman" w:eastAsia="Times New Roman" w:hAnsi="Times New Roman"/>
          <w:sz w:val="17"/>
          <w:szCs w:val="17"/>
          <w:color w:val="auto"/>
        </w:rPr>
      </w:pPr>
    </w:p>
    <w:p>
      <w:pPr>
        <w:ind w:left="1180" w:hanging="421"/>
        <w:spacing w:after="0" w:line="269"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See “Item 3.D. Key Information—Risk Factors—Risks Related to Our Business—The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55 for details; and</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320" w:top="476"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line="250"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3.D. Key Information—Risk Factors—Risks Related to Our Business—Our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 55 for details.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Risks and uncertainties relating to our corporate structure include, but are not limited to, the following:</w:t>
      </w:r>
    </w:p>
    <w:p>
      <w:pPr>
        <w:spacing w:after="0" w:line="124" w:lineRule="exact"/>
        <w:rPr>
          <w:sz w:val="20"/>
          <w:szCs w:val="20"/>
          <w:color w:val="auto"/>
        </w:rPr>
      </w:pPr>
    </w:p>
    <w:p>
      <w:pPr>
        <w:ind w:left="1180" w:hanging="421"/>
        <w:spacing w:after="0" w:line="247"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consolidated variable interest entities and we conduct certain of our operations through the consolidated variable interest entities, with which we have maintained contractual arrangements. Investors in our ADSs or Class A ordinary shares thus are not purchasing equity interest in the consolidated variable interest entities in China but instead are purchasing equity interest in a Cayman Islands holding company. 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 Our holding company,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whole. The PRC regulatory authorities could disallow the variable interest entities structure, which would likely result in a material adverse change in our operations, and our ADSs or Class A ordinary shares may decline significantly in value. See “Item 3.D. Key Information—Risk Factors—Risks Related to Our Corporate Structure—If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 on page 57 for details;</w:t>
      </w:r>
    </w:p>
    <w:p>
      <w:pPr>
        <w:spacing w:after="0" w:line="96" w:lineRule="exact"/>
        <w:rPr>
          <w:rFonts w:ascii="Times New Roman" w:cs="Times New Roman" w:eastAsia="Times New Roman" w:hAnsi="Times New Roman"/>
          <w:sz w:val="18"/>
          <w:szCs w:val="18"/>
          <w:color w:val="auto"/>
        </w:rPr>
      </w:pPr>
    </w:p>
    <w:p>
      <w:pPr>
        <w:ind w:left="1180" w:right="80" w:hanging="421"/>
        <w:spacing w:after="0" w:line="251"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consolidated variable interest entities or their shareholders to perform their obligations under our contractual arrangements with them would have a material and adverse effect on our business. See “Item 3.D. Key Information—Risk Factors—Risks Related to Our Corporate Structure—Any failure by the consolidated variable interest entities or their shareholders to perform their obligations under our contractual arrangements with them would have a material and adverse effect on our business” on page 60 for details; and</w:t>
      </w:r>
    </w:p>
    <w:p>
      <w:pPr>
        <w:spacing w:after="0" w:line="94" w:lineRule="exact"/>
        <w:rPr>
          <w:rFonts w:ascii="Times New Roman" w:cs="Times New Roman" w:eastAsia="Times New Roman" w:hAnsi="Times New Roman"/>
          <w:sz w:val="18"/>
          <w:szCs w:val="18"/>
          <w:color w:val="auto"/>
        </w:rPr>
      </w:pPr>
    </w:p>
    <w:p>
      <w:pPr>
        <w:ind w:left="1180" w:right="240" w:hanging="421"/>
        <w:spacing w:after="0" w:line="253"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consolidated variable interest entities may have potential conflicts of interest with us, which may materially and adversely affect our business and financial condition. See “Item 3.D. Key Information—Risk Factors—Risks Related to Our Corporate Structure—The shareholders of the consolidated variable interest entities may have potential conflicts of interest with us, which may materially and adversely affect our business and financial condition” on page 60 for details.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We are also subject to risks and uncertainties relating to doing business in China in general, including, but are not limited to, the following:</w:t>
      </w:r>
    </w:p>
    <w:p>
      <w:pPr>
        <w:spacing w:after="0" w:line="135" w:lineRule="exact"/>
        <w:rPr>
          <w:sz w:val="20"/>
          <w:szCs w:val="20"/>
          <w:color w:val="auto"/>
        </w:rPr>
      </w:pPr>
    </w:p>
    <w:p>
      <w:pPr>
        <w:ind w:left="1180" w:right="120" w:hanging="421"/>
        <w:spacing w:after="0" w:line="253"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or global economic, political or social conditions or government policies could have a material and adverse effect on our business and operations. See “Item 3.D. Key Information—Risk Factors—Risks Related to Doing Business in China—Changes in China’s or global economic, political or social conditions or government policies could have a material and adverse effect on our business and operations” on page 63 for details;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320" w:top="476"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line="250"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legal system in the Chinese mainland could adversely affect us. Certain laws and regulations in the Chinese mainland can evolve quickly, which bring risks and uncertainties to their interpretation and enforcement. Administrative and court proceedings in the Chinese mainland may be protracted. Some government policies and internal rules may not be published on a timely manner. These risks and uncertainties may make it difficult for us to meet or comply with requirements under the applicable laws and regulations. See “Item 3.D. Key Information—Risk Factors—Risks Related to Doing Business in China—Uncertainties with respect to the legal system in the Chinese mainland could adversely affect us” on page 64 for details;</w:t>
      </w:r>
    </w:p>
    <w:p>
      <w:pPr>
        <w:spacing w:after="0" w:line="94" w:lineRule="exact"/>
        <w:rPr>
          <w:rFonts w:ascii="Times New Roman" w:cs="Times New Roman" w:eastAsia="Times New Roman" w:hAnsi="Times New Roman"/>
          <w:sz w:val="18"/>
          <w:szCs w:val="18"/>
          <w:color w:val="auto"/>
        </w:rPr>
      </w:pPr>
    </w:p>
    <w:p>
      <w:pPr>
        <w:ind w:left="1180" w:right="80" w:hanging="421"/>
        <w:spacing w:after="0" w:line="258"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consumer protection laws that could require us to modify our current business practices and incur increased costs. See “Item 3.D. Key Information—Risk Factors—Risks Related to Doing Business in China—We are subject to consumer protection laws that could require us to modify our current business practices and incur increased costs” on page 64 for details;</w:t>
      </w:r>
    </w:p>
    <w:p>
      <w:pPr>
        <w:spacing w:after="0" w:line="85" w:lineRule="exact"/>
        <w:rPr>
          <w:rFonts w:ascii="Times New Roman" w:cs="Times New Roman" w:eastAsia="Times New Roman" w:hAnsi="Times New Roman"/>
          <w:sz w:val="18"/>
          <w:szCs w:val="18"/>
          <w:color w:val="auto"/>
        </w:rPr>
      </w:pPr>
    </w:p>
    <w:p>
      <w:pPr>
        <w:ind w:left="1180" w:right="20" w:hanging="421"/>
        <w:spacing w:after="0" w:line="251"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complexity, uncertainties and changes in PRC regulation of internet-related business and companies such as e-commerce business and internet platforms. Rules and regulations in the Chinese mainland can change quickly with little advance notice. See “Item 3.D. Key Information—Risk Factors—Risks Related to Doing Business in China—We may be adversely affected by the complexity, uncertainties and changes in PRC regulation of internet-related business and companies such as e-commerce business and internet platforms” on page 65 for details;</w:t>
      </w:r>
    </w:p>
    <w:p>
      <w:pPr>
        <w:spacing w:after="0" w:line="94" w:lineRule="exact"/>
        <w:rPr>
          <w:rFonts w:ascii="Times New Roman" w:cs="Times New Roman" w:eastAsia="Times New Roman" w:hAnsi="Times New Roman"/>
          <w:sz w:val="18"/>
          <w:szCs w:val="18"/>
          <w:color w:val="auto"/>
        </w:rPr>
      </w:pPr>
    </w:p>
    <w:p>
      <w:pPr>
        <w:ind w:left="1180" w:right="60" w:hanging="421"/>
        <w:spacing w:after="0" w:line="267"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government has significant authority in regulating our operations and may intervene or influence our operations at any time.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See “Item 3.D. Key Information—Risk Factors— Risks Related to Doing Business in China—The PRC government’s significant oversight over our business operation could result in a material adverse change in our operations and the value of our ADSs and Class A ordinary shares” on page 67 for details; and</w:t>
      </w:r>
    </w:p>
    <w:p>
      <w:pPr>
        <w:spacing w:after="0" w:line="83" w:lineRule="exact"/>
        <w:rPr>
          <w:rFonts w:ascii="Times New Roman" w:cs="Times New Roman" w:eastAsia="Times New Roman" w:hAnsi="Times New Roman"/>
          <w:sz w:val="17"/>
          <w:szCs w:val="17"/>
          <w:color w:val="auto"/>
        </w:rPr>
      </w:pPr>
    </w:p>
    <w:p>
      <w:pPr>
        <w:ind w:left="1180" w:right="20" w:hanging="421"/>
        <w:spacing w:after="0" w:line="247"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in our PRC subsidiaries or the consolidated variable interest entities in the Chinese mainland may not be available to fund operations or for other use outside of the Chinese mainland due to interventions in or the imposition of restrictions and limitations on the ability of our holding company, our subsidiaries, or the consolidated variable interest entities by the PRC government on cash transfers. Although currently there are not equivalent or similar restrictions or limitations in Hong Kong on cash transfers in, or out of, our Hong Kong entities, if certain restrictions or limitations in the Chinese mainland were to become applicable to cash transfers in and out of Hong Kong entities in the future, the funds in our Hong Kong entities, likewise, may not be available to fund operations or for other use outside of Hong Kong. See “Item 3.D. Key Information—Risk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on page 60 and “Item 3.D. Key Information—Risk Factors—Risks Related to Doing Business in China—Governmental control of currency conversion may limit our ability to utilize our revenues effectively and affect the value of your investment” on page 69 for details.</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Class A Ordinary Shares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relating to our ADSs and Class A ordinary shares, including the</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following:</w:t>
      </w:r>
    </w:p>
    <w:p>
      <w:pPr>
        <w:spacing w:after="0" w:line="106" w:lineRule="exact"/>
        <w:rPr>
          <w:sz w:val="20"/>
          <w:szCs w:val="20"/>
          <w:color w:val="auto"/>
        </w:rPr>
      </w:pPr>
    </w:p>
    <w:p>
      <w:pPr>
        <w:ind w:left="1180" w:right="120" w:hanging="421"/>
        <w:spacing w:after="0" w:line="251" w:lineRule="auto"/>
        <w:tabs>
          <w:tab w:leader="none" w:pos="1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and Class A ordinary shares have been and are likely to continue to be volatile, which could result in substantial losses to holders of our Class A ordinary shares and/or ADSs. See “Item 3.D. Key Information—Risk Factors—Risks Related to Our ADSs and Class A Ordinary Shares—The trading price of our ADSs and Class A ordinary shares have been and are likely to continue to be volatile, which could result in substantial losses to holders of our Class A ordinary shares and/or ADSs” on page 74 for details;</w:t>
      </w:r>
    </w:p>
    <w:p>
      <w:pPr>
        <w:spacing w:after="0" w:line="94" w:lineRule="exact"/>
        <w:rPr>
          <w:rFonts w:ascii="Times New Roman" w:cs="Times New Roman" w:eastAsia="Times New Roman" w:hAnsi="Times New Roman"/>
          <w:sz w:val="18"/>
          <w:szCs w:val="18"/>
          <w:color w:val="auto"/>
        </w:rPr>
      </w:pPr>
    </w:p>
    <w:p>
      <w:pPr>
        <w:ind w:left="1180" w:right="40" w:hanging="421"/>
        <w:spacing w:after="0" w:line="280"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adopt different practices as to certain matters as compared with many other companies listed on the Hong Kong Stock Exchange. See “Item 3.D. Key Information—Risk Factors—Risks Related to Our ADSs and Class A Ordinary Shares—We adopt different practices as to certain matters as compared with many other companies listed on the Hong Kong Stock Exchange” on page 75 for details;</w:t>
      </w:r>
    </w:p>
    <w:p>
      <w:pPr>
        <w:spacing w:after="0" w:line="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320" w:top="476"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line="250"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 See “Item 3.D. Key Information—Risk Factors—Risks Related to Our ADSs and Class A Ordinary Shares—We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 on page 75 for details; and</w:t>
      </w:r>
    </w:p>
    <w:p>
      <w:pPr>
        <w:spacing w:after="0" w:line="94" w:lineRule="exact"/>
        <w:rPr>
          <w:rFonts w:ascii="Times New Roman" w:cs="Times New Roman" w:eastAsia="Times New Roman" w:hAnsi="Times New Roman"/>
          <w:sz w:val="18"/>
          <w:szCs w:val="18"/>
          <w:color w:val="auto"/>
        </w:rPr>
      </w:pPr>
    </w:p>
    <w:p>
      <w:pPr>
        <w:ind w:left="1180" w:hanging="421"/>
        <w:spacing w:after="0" w:line="251" w:lineRule="auto"/>
        <w:tabs>
          <w:tab w:leader="none" w:pos="1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the market price for our Class A ordinary shares and/or ADSs and trading volume could decline. See “Item 3.D. Key Information—Risk Factors—Risks Related to Our ADSs and Class A Ordinary Shares—If securities or industry analysts do not publish research or publish inaccurate or unfavorable research about our business, the market price for our Class A ordinary shares and/or ADSs and trading volume could decline” on page 75 for details.</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76"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18" w:lineRule="exact"/>
        <w:rPr>
          <w:sz w:val="20"/>
          <w:szCs w:val="20"/>
          <w:color w:val="auto"/>
        </w:rPr>
      </w:pPr>
    </w:p>
    <w:p>
      <w:pPr>
        <w:ind w:left="240" w:right="160" w:firstLine="971"/>
        <w:spacing w:after="0" w:line="250"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reflect our current expectations and views of future events. These statements are made under the “safe harbor” provisions of the U.S. Private Securities Litigation Reform Act of 1995. You can identify these forward-looking statements by terminology such as “may,” “will,” “expect,” “anticipate,” “aim,” “estimate,” “intend,” “plan,” “believe,” “is/are likely to,” “future,”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relating to, among other things:</w:t>
      </w:r>
    </w:p>
    <w:p>
      <w:pPr>
        <w:spacing w:after="0" w:line="94" w:lineRule="exact"/>
        <w:rPr>
          <w:sz w:val="20"/>
          <w:szCs w:val="20"/>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retail and online retail markets in China;</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customers, suppliers and third-party merchants;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fulfillment infrastructure and technology platform as well as new business initiatives;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216"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We would like to caution you not to place undue reliance on these forward-looking statements and you should read these statements in conjunction with the risk factors disclosed in “Item 3.D. Key Information—Risk Factors.” Those risks are not exhaustive. We operate in a rapidly evolving environment. New risks emerge from time to time and it is impossible for our management to predict all risk factors, nor can we assess the impact of all factors on our business or the extent to which any factor, or combination of factors, may cause actual results to differ from those contained in any forward-looking statement. We do not undertake any obligation to update or revise the forward-looking statements except as required under applicable law. You should read this annual report and the documents that we reference in this annual report completely and with the understanding that our actual future results may be materially different from what we expect.</w:t>
      </w:r>
    </w:p>
    <w:p>
      <w:pPr>
        <w:spacing w:after="0" w:line="189"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Our reporting currency is the Renminbi, or RMB. This annual report contains translations of RMB and Hong Kong dollar amounts into U.S. dollars at specific rates solely for the convenience of the reader. Unless otherwise stated, all translations of RMB and Hong Kong dollars into U.S. dollars and from U.S. dollars into RMB in this annual report were made at a rate of RMB6.9931 to US$1.00 and HK$7.7833 to US$1.00, the respective exchange rates on December 31, 2025 set forth in the H.10 statistical release of the Federal Reserve Board. We make no representation that any RMB, Hong Kong dollar or U.S. dollar amounts referred to in this annual report could have been, or could be, converted into U.S. dollars, RMB or Hong Kong dollars, as the case may be, at any particular rate or at all.</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476" w:right="5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PART I</w:t>
      </w:r>
    </w:p>
    <w:p>
      <w:pPr>
        <w:sectPr>
          <w:pgSz w:w="11900" w:h="16838" w:orient="portrait"/>
          <w:cols w:equalWidth="0" w:num="1">
            <w:col w:w="10139"/>
          </w:cols>
          <w:pgMar w:left="320" w:top="476" w:right="1440" w:bottom="1440" w:gutter="0" w:footer="0" w:header="0"/>
        </w:sectPr>
      </w:pP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Identity of Directors, Senior Management and Advisers</w:t>
      </w:r>
    </w:p>
    <w:p>
      <w:pPr>
        <w:spacing w:after="0" w:line="124" w:lineRule="exact"/>
        <w:rPr>
          <w:sz w:val="20"/>
          <w:szCs w:val="20"/>
          <w:color w:val="auto"/>
        </w:rPr>
      </w:pPr>
    </w:p>
    <w:p>
      <w:pPr>
        <w:sectPr>
          <w:pgSz w:w="11900" w:h="16838" w:orient="portrait"/>
          <w:cols w:equalWidth="0" w:num="2">
            <w:col w:w="760" w:space="440"/>
            <w:col w:w="8939"/>
          </w:cols>
          <w:pgMar w:left="320" w:top="476"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139"/>
          </w:cols>
          <w:pgMar w:left="320" w:top="476" w:right="1440" w:bottom="1440" w:gutter="0" w:footer="0" w:header="0"/>
          <w:type w:val="continuous"/>
        </w:sectPr>
      </w:pP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Statistics and Expected Timetable</w:t>
      </w:r>
    </w:p>
    <w:p>
      <w:pPr>
        <w:spacing w:after="0" w:line="124" w:lineRule="exact"/>
        <w:rPr>
          <w:sz w:val="20"/>
          <w:szCs w:val="20"/>
          <w:color w:val="auto"/>
        </w:rPr>
      </w:pPr>
    </w:p>
    <w:p>
      <w:pPr>
        <w:sectPr>
          <w:pgSz w:w="11900" w:h="16838" w:orient="portrait"/>
          <w:cols w:equalWidth="0" w:num="2">
            <w:col w:w="760" w:space="440"/>
            <w:col w:w="8939"/>
          </w:cols>
          <w:pgMar w:left="320" w:top="476" w:right="144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0139"/>
          </w:cols>
          <w:pgMar w:left="320" w:top="476"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95" w:lineRule="exact"/>
        <w:rPr>
          <w:sz w:val="20"/>
          <w:szCs w:val="20"/>
          <w:color w:val="auto"/>
        </w:rPr>
      </w:pPr>
    </w:p>
    <w:p>
      <w:pPr>
        <w:ind w:left="24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Key Information</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33" w:lineRule="exact"/>
        <w:rPr>
          <w:sz w:val="20"/>
          <w:szCs w:val="20"/>
          <w:color w:val="auto"/>
        </w:rPr>
      </w:pPr>
    </w:p>
    <w:p>
      <w:pPr>
        <w:ind w:left="240" w:firstLine="971"/>
        <w:spacing w:after="0" w:line="255"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consolidated variable interest entities as of February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1270</wp:posOffset>
            </wp:positionV>
            <wp:extent cx="6816090" cy="765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16090" cy="7655560"/>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1000"/>
          </w:cols>
          <w:pgMar w:left="320" w:top="476" w:right="5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292735</wp:posOffset>
            </wp:positionV>
            <wp:extent cx="755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w:t>
      </w:r>
    </w:p>
    <w:p>
      <w:pPr>
        <w:spacing w:after="0" w:line="97" w:lineRule="exact"/>
        <w:rPr>
          <w:sz w:val="20"/>
          <w:szCs w:val="20"/>
          <w:color w:val="auto"/>
        </w:rPr>
      </w:pPr>
    </w:p>
    <w:p>
      <w:pPr>
        <w:ind w:left="660" w:hanging="4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Assets Holding Limited has 81 subsidiaries holding, directly or indirectly, non-logistics properties.</w:t>
      </w:r>
    </w:p>
    <w:p>
      <w:pPr>
        <w:spacing w:after="0" w:line="22"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Asia Development Limited has 530 subsidiaries holding, directly or indirectly, logistics properties.</w:t>
      </w:r>
    </w:p>
    <w:p>
      <w:pPr>
        <w:spacing w:after="0" w:line="4" w:lineRule="exact"/>
        <w:rPr>
          <w:rFonts w:ascii="Times New Roman" w:cs="Times New Roman" w:eastAsia="Times New Roman" w:hAnsi="Times New Roman"/>
          <w:sz w:val="18"/>
          <w:szCs w:val="18"/>
          <w:color w:val="auto"/>
        </w:rPr>
      </w:pPr>
    </w:p>
    <w:p>
      <w:pPr>
        <w:ind w:left="660" w:right="40" w:hanging="430"/>
        <w:spacing w:after="0" w:line="24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360, Jiangsu Yuanzhou, Xi’an Jingdong Xincheng, Jiangsu Jingdong Bangneng, and Suqian Hanyu are the significant consolidated variable interest entities with which we have contractual arrangements. Each of Jingdong 360, Jiangsu Yuanzhou, Xi’an Jingdong Xincheng and Jiangsu Jingdong Bangneng is 45% owned by Mr. Qin Miao, 30% owned by Ms. Yayun Li and 25% owned by Ms. Pang Zhang. Suqian Hanyu is 45% owned by Mr. Qin Miao, 30% owned by Ms. Tingting Sui and 25% owned by Ms. Pang Zhang. Mr. Qin Miao is a vice president of our company, Ms. Yayun Li was a senior vice president of our company, Ms. Pang Zhang is our chief human resources officer, and Ms. Tingting Sui is a vice president of our company. We are in the process of replacing Ms. Li with Ms. Sui as the shareholders of the consolidated variable interest entities.</w:t>
      </w:r>
    </w:p>
    <w:p>
      <w:pPr>
        <w:spacing w:after="0" w:line="1"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Century has 457 subsidiaries that engage in retail business.</w:t>
      </w:r>
    </w:p>
    <w:p>
      <w:pPr>
        <w:spacing w:after="0" w:line="4"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JD.com Investment Limited has 136 subsidiaries that hold, directly or indirectly, the companies invested by us.</w:t>
      </w:r>
    </w:p>
    <w:p>
      <w:pPr>
        <w:spacing w:after="0" w:line="5" w:lineRule="exact"/>
        <w:rPr>
          <w:sz w:val="20"/>
          <w:szCs w:val="20"/>
          <w:color w:val="auto"/>
        </w:rPr>
      </w:pPr>
    </w:p>
    <w:p>
      <w:pPr>
        <w:ind w:left="660" w:hanging="430"/>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diagram above omits our equity investees that are insignificant individually and in the aggregate.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Holding Company Structure and Contractual Arrangements with the Consolidated Variable Interest Entities</w:t>
      </w:r>
    </w:p>
    <w:p>
      <w:pPr>
        <w:spacing w:after="0" w:line="99"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JD.com, Inc. is not an operating company but a Cayman Islands holding company with no equity ownership in the consolidated variable interest entities, but maintains contractual arrangements with the consolidated variable interest entities and is considered the primary beneficiary of these entities, whose financial results are consolidated in JD.com, Inc.’s consolidated financial statements under the U.S. GAAP for accounting purposes. The contractual arrangements may not be as effective as direct equity ownership in the consolidated variable interest entities, and the government authorities may challenge the enforceability of these contractual arrangements. We conduct our operations in the Chinese mainland through (i) our PRC subsidiaries and (ii) the consolidated variable interest entities with which we have maintained contractual arrangements. The laws and regulations in the Chinese mainland restrict and impose conditions on foreign investment in certain value-added telecommunication services and certain other restricted services related to our businesses, such as domestic document delivery services. Accordingly, we operate these businesses in the Chinese mainland through the consolidated variable interest entities, and such structure is used to provide investors with exposure to foreign investment in China-based companies where laws and regulations in the Chinese mainland prohibit or restrict direct foreign investment in certain operating companies, and rely on contractual arrangements among our PRC subsidiaries, the consolidated variable interest entities and their shareholders to control the business operations of the consolidated variable interest entities. The external revenues contributed by the consolidated variable interest entities accounted for 7.8%, 8.7% and</w:t>
      </w:r>
    </w:p>
    <w:p>
      <w:pPr>
        <w:spacing w:after="0" w:line="5" w:lineRule="exact"/>
        <w:rPr>
          <w:sz w:val="20"/>
          <w:szCs w:val="20"/>
          <w:color w:val="auto"/>
        </w:rPr>
      </w:pPr>
    </w:p>
    <w:p>
      <w:pPr>
        <w:ind w:left="240" w:right="40"/>
        <w:spacing w:after="0" w:line="261" w:lineRule="auto"/>
        <w:rPr>
          <w:sz w:val="20"/>
          <w:szCs w:val="20"/>
          <w:color w:val="auto"/>
        </w:rPr>
      </w:pPr>
      <w:r>
        <w:rPr>
          <w:rFonts w:ascii="Times New Roman" w:cs="Times New Roman" w:eastAsia="Times New Roman" w:hAnsi="Times New Roman"/>
          <w:sz w:val="17"/>
          <w:szCs w:val="17"/>
          <w:color w:val="auto"/>
        </w:rPr>
        <w:t>6.8% of our total revenues for the years of 2023, 2024 and 2025, respectively. As used in this annual report, “we,” “us,” “our company” and “our” refers to JD.com, Inc., its subsidiaries, and, in the context of describing our operations and consolidated financial information, the consolidated variable interest entities in China, including Beijing Jingdong 360 Degree E-Commerce Co., Ltd., or Jingdong 360, which was established in April 2007 and holds our ICP license as an internet information provider and operates our www.jd.com website; Jiangsu Yuanzhou E-Commerce Co., Ltd., or Jiangsu Yuanzhou, which was established in September 2010 and primarily engages in the business of selling books, audio and video products; Xi’an Jingdong Xincheng Information Technology Co., Ltd., or Xi’an Jingdong Xincheng, which was established in June 2017 and primarily provides technology and consulting services relating to logistics services; Jiangsu Jingdong Bangneng Investment Management Co., Ltd., or Jiangsu Jingdong Bangneng, which was established in August 2015 and primarily engages in business of investment management; and Suqian Hanyu Technology Co., Ltd., or Suqian Hanyu, which was established in December 2024 and primarily provides technology services. The consolidated variable interest entities are PRC companies conducting operations in the Chinese mainland, and their financial results have been consolidated into our consolidated financial statements under U.S. GAAP for accounting purposes. JD.com, Inc. is a holding company with no operations of its own. We do not have any equity ownership in the consolidated variable interest entities. Investors in our ADSs or Class A ordinary shares are not purchasing equity interest in the consolidated variable interest entities in the Chinese mainland but instead are purchasing equity interest in a holding company incorporated in the Cayman Islands, and may never directly hold equity interests in the consolidated variable interest entities in the Chinese mainland.</w:t>
      </w:r>
    </w:p>
    <w:p>
      <w:pPr>
        <w:spacing w:after="0" w:line="139"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A series of contractual agreements, including loan agreements, exclusive purchase option agreements, exclusive technology consulting and services agreements or exclusive business cooperation agreements, as applicable, intellectual property rights license agreement, equity pledge agreements, powers of attorney, business cooperation agreement and business operations agreements, have been entered into by and among our subsidiaries, the consolidated variable interest entities and their respective shareholders. Terms contained in each set of contractual arrangements with the consolidated variable interest entities and their respective shareholders are substantially similar. As a result of the contractual arrangements, we are considered the primary beneficiary of these companies and have consolidated the financial results of these companies in our consolidated financial statements under the U.S. GAAP for accounting purposes. Neither JD.com, Inc. nor its investors have an equity ownership in, direct foreign investment in, or control through such ownership or investment of, the consolidated variable interest entities, and the contractual arrangements are not equivalent to an equity ownership in the business of the consolidated variable interest entities. For more details of these contractual arrangements, see “Item 4.C. Information on the Company—Organizational Structure—The Consolidated Variable Interest Entities.”</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76" w:right="5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However, the contractual arrangements may not be as effective as direct ownership in providing us with control over the consolidated variable interest entities and we may incur substantial costs to enforce the terms of the arrangements. In addition, these agreements have not been tested in courts of the Chinese mainland. See “Item 3.D. Key Information—Risk Factors—Risks Related to Our Corporate Structure—We rely on contractual arrangements with the consolidated variable interest entities and their owners for a portion of our business operations, which may not be as effective as direct ownership in providing operational control” and “Item 3.D. Key Information—Risk Factors—Risks Related to Our Corporate Structure—The shareholders of the consolidated variable interest entities may have potential conflicts of interest with us, which may materially and adversely affect our business and financial condition.”</w:t>
      </w:r>
    </w:p>
    <w:p>
      <w:pPr>
        <w:spacing w:after="0" w:line="189"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Our corporate structure is subject to risks associated with the contractual arrangements with the consolidated variable interest entities. 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 The PRC regulatory authorities could disallow the variable interest entities structure, which would likely result in a material adverse change in our operations, and our ADSs or Class A ordinary shares may decline significantly in value or become worthless. Our holding company, our PRC subsidiaries and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whole. For a detailed description of the risks associated with our corporate structure, please refer to risks disclosed under “Item 3.D. Key Information—Risk Factors—Risks Related to Our Corporate Structure.” Specifically, there are also substantial uncertainties regarding the interpretation and application of current and future PRC laws, regulations and rules regarding the status of the rights of our Cayman Islands holding company with respect to its contractual arrangements with the consolidated variable interest entities and their shareholders. It is uncertain whether any new PRC laws or regulations relating to variable interest entity structures will be adopted or if adopted, what they would provide. If we or any of the consolidated variable interest entities is found to be in violation of any existing or future PRC laws or regulations, or fail to obtain or maintain any of the required permits or approvals, the PRC regulatory authorities would have broad discretion to take action in dealing with such violations or failures. See “Item 3.D. Key Information—Risk Factors—Risks Related to Our Corporate Structure—If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 and “—Our current corporate structure and business operations may be affected by the PRC Foreign Investment Law.”</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Relating to Doing Business in China</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the Chinese mainland. Our business operations are primarily conducted in the Chinese mainland, and we are subject to complex and evolving laws and regulations in the Chinese mainland. For example, we face risks associated with regulatory approvals on offshore offerings, anti-monopoly regulatory actions, and oversight on cybersecurity and data privacy, as well as the lack of inspection by the PCAOB, on our auditor, which may impact our ability to conduct certain businesses, accept foreign investments, or list on a United States stock exchange. These risks could result in a material adverse change in our operations and the value of our ADSs and Class A ordinary shares, significantly limit or completely hinder our ability to continue to offer securities to investors, or cause the value of such securities to significantly decline. As of the date of this annual report, regulatory actions related to data security or anti-monopoly concerns in Hong Kong do not have a material impact on our ability to conduct business, accept foreign investment in the future, continue to list on a United States stock exchange or maintain our listing status on the Hong Kong Stock Exchange. However, new regulatory actions related to data security or anti-monopoly concerns in Hong Kong may be taken in the future, and such regulatory actions may have a material impact on our ability to conduct business, accept foreign investment, continue to list on a United States stock exchange or maintain our listing status on the Hong Kong Stock Exchange. For a detailed description of risks related to doing business in China, please refer to risks disclosed under “Item 3.D. Key Information—Risk Factors—Risks Related to Doing Business in China.”</w:t>
      </w:r>
    </w:p>
    <w:p>
      <w:pPr>
        <w:spacing w:after="0" w:line="192"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PRC government has significant authority in regulating our operations and may intervene or influence our operations at any time.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3.D. Key Information—Risk Factors—Risks Related to Doing Business in China—The PRC government’s significant oversight over our business operation could result in a material adverse change in our operations and the value of our ADSs and Class A ordinary shares.”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476"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20" w:firstLine="971"/>
        <w:spacing w:after="0" w:line="250" w:lineRule="auto"/>
        <w:rPr>
          <w:sz w:val="20"/>
          <w:szCs w:val="20"/>
          <w:color w:val="auto"/>
        </w:rPr>
      </w:pPr>
      <w:r>
        <w:rPr>
          <w:rFonts w:ascii="Times New Roman" w:cs="Times New Roman" w:eastAsia="Times New Roman" w:hAnsi="Times New Roman"/>
          <w:sz w:val="18"/>
          <w:szCs w:val="18"/>
          <w:color w:val="auto"/>
        </w:rPr>
        <w:t>Risks and uncertainties arising from the PRC legal system, including risks and uncertainties regarding the enforcement of laws and that rules and regulations in the Chinese mainland can change quickly with little advance notice and could result in a material adverse change in our operations and the value of our ADSs and Class A ordinary shares. For more details, see “Item 3.D. Key Information—Risk Factors—Risks Related to Doing Business in China—Uncertainties with respect to the legal system in the Chinese mainland could adversely affect us” and “—We may be adversely affected by the complexity, uncertainties and changes in PRC regulation of internet-related business and companies such as e-commerce business and internet platforms.”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12"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the Chinese mainland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the Chinese mainland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2023 or 2024 and do not expect to be identified so after we file this annual report on Form 20-F. Each year, the PCAOB will determine whether it can inspect and investigate completely audit firms in the Chinese mainland and Hong Kong, among other jurisdictions. If PCAOB determines in the future that it no longer has full access to inspect and investigate completely accounting firms in the Chinese mainland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3.D. Key Information—Risk Factors—Risks Related to Our Business—The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3.D. Key Information—Risk Factors—Risks Related to Our Business—Our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12"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consolidated variable interest entities in China. Our operations in China are governed by PRC laws and regulations. As of the date of this annual report, our PRC subsidiaries and the consolidated variable interest entities have obtained the necessary licenses and permits from the PRC government authorities, including, among others, ICP licenses, Courier Service Operation Permits and Practicing License for Medical Institutions, except as disclosed in “Item 3.D. Key Information—Risk Factors—Risks Related to Doing Business in China—We may be adversely affected by the complexity, uncertainties and changes in PRC regulation of internet-related business and companies such as e-commerce business and internet platforms.” Given the uncertainties of interpretation and implementation of laws and regulations and the enforcement practice by government authorities, we may be required to obtain additional licenses, permits, filings or approvals for our business and operations in the future.</w:t>
      </w: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320" w:top="476" w:right="5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Furthermore, in connection with our previous issuance of securities to foreign investors, under current PRC laws, regulations and regulatory rules, as of the date of this annual report, we, our PRC subsidiaries and the consolidated variable interest entities, (i) are not required to obtain prior permissions from the China Securities Regulatory Commission, or the CSRC, (ii) are not required to file an application for cybersecurity review by the Cyberspace Administration of China, or the CAC, as advised by Shihui Partners, our PRC legal counsel, and (iii) have not been asked to obtain or were denied such permissions by any PRC authority.</w:t>
      </w:r>
    </w:p>
    <w:p>
      <w:pPr>
        <w:spacing w:after="0" w:line="187" w:lineRule="exact"/>
        <w:rPr>
          <w:sz w:val="20"/>
          <w:szCs w:val="20"/>
          <w:color w:val="auto"/>
        </w:rPr>
      </w:pPr>
    </w:p>
    <w:p>
      <w:pPr>
        <w:ind w:left="240" w:right="160" w:firstLine="971"/>
        <w:spacing w:after="0" w:line="250" w:lineRule="auto"/>
        <w:rPr>
          <w:sz w:val="20"/>
          <w:szCs w:val="20"/>
          <w:color w:val="auto"/>
        </w:rPr>
      </w:pPr>
      <w:r>
        <w:rPr>
          <w:rFonts w:ascii="Times New Roman" w:cs="Times New Roman" w:eastAsia="Times New Roman" w:hAnsi="Times New Roman"/>
          <w:sz w:val="18"/>
          <w:szCs w:val="18"/>
          <w:color w:val="auto"/>
        </w:rPr>
        <w:t>If (i) we do not receive or maintain any permissions or approvals, (ii) we inadvertently concluded that certain permissions or approvals have been acquired or are not required, or (iii) applicable laws, regulations or interpretations thereof change and we become subject to the requirement of additional permissions or approvals in the future, we cannot assure you that we will be able to obtain such permissions or approvals in a timely manner, or at all, and such approvals may be rescinded even if obtained. Any such circumstance could subject us to penalties, including fines, suspension of business and revocation of required licenses, which could materially and adversely affect our business, financial condition and results of operations.</w:t>
      </w:r>
    </w:p>
    <w:p>
      <w:pPr>
        <w:spacing w:after="0" w:line="187"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However, the PRC government has promulgated certain regulations and rules to exert more oversight and control over offerings that are conducted overseas and/or foreign investment in China-based issuers. On February 17, 2023, the CSRC released the Trial Administrative Measures of Overseas Securities Offering and Listing by Domestic Companies and five supporting guidelines, or, collectively, the Trial Measures, which came into effect on March 31, 2023. According to the Trial Measures, domestic companies in the Chinese mainland that directly or indirectly offer or list their securities in an overseas market are required to file with the CSRC. In addition, an overseas-listed company must also submit the filing with respect to its follow-on offerings, issuance of convertible corporate bonds and exchangeable bonds, and other equivalent offering activities, within a specific time frame requested under the Trial Measures. Therefore, we will be required to file with the CSRC for our overseas offering of equity and equity linked securities in the future within the applicable scope of the Trial Measures. We completed the filing with the CSRC in May 2024 in relation to the issuance of convertible senior notes in an aggregate principal amount of US$2.0 billion due 2029. For more detailed information, see “Item 3.D. Key Information —Risk Factors—Risks Related to Doing Business in China—The approval of and/or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Cash and Asset Flows through Our Organization</w:t>
      </w:r>
    </w:p>
    <w:p>
      <w:pPr>
        <w:spacing w:after="0" w:line="11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JD.com, Inc. is a holding company with no operations of its own. We conduct our operations in the Chinese mainland primarily through our subsidiaries and the consolidated variable interest entities in the Chinese mainland. As a result, although other means are available for us to obtain financing at the holding company level, JD.com, Inc.’s ability to pay dividends to the shareholders and investors of the ADSs and to service any debt it may incur may depend upon dividends paid by our PRC subsidiaries and license and service fees paid by the consolidated variable interest entities. If any of our subsidiaries incurs debt on its own behalf in the future, the instruments governing such debt may restrict its ability to pay dividends to JD.com, Inc. In addition, our PRC subsidiaries are permitted to pay dividends to JD.com, Inc. only out of their retained earnings, if any, as determined in accordance with PRC accounting standards and regulations. Further, our PRC subsidiaries and the consolidated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5.B. Operating and Financial Review and Prospects —Liquidity and Capital Resources—Holding Company Structure.”</w:t>
      </w:r>
    </w:p>
    <w:p>
      <w:pPr>
        <w:spacing w:after="0" w:line="188"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our current memorandum and articles of association and certain restrictions under Cayman Islands law. In addition, our shareholders may, by ordinary resolution, declare dividends, but no dividend shall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See “Item 8.A. Financial Information—Consolidated Statements and Other Financial Information—Dividend Policy” for details.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320" w:top="476" w:right="5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wholly foreign-owned subsidiaries in the Chinese mainland only through loans or capital contributions, subject to the approval of government authorities and limits on the amount of capital contributions and loans. In addition, our wholly foreign-owned subsidiaries in the Chinese mainland may provide RMB funding to their respective subsidiaries only through capital contributions and entrusted loans, and to the consolidated variable interest entities only through entrusted loans. See “Introduction—Summary of Risk Factors—Risks Related to Our Corporate Structure,” “Item 5.B. Operating and Financial Review and Prospects—Liquidity and Capital Resources” and “Item 3.D. Key Information—Risk Factors—Risks Related to Our Corporate Structure—PRC regulation of loans to and direct investment in PRC entities by offshore holding companies and governmental control of currency conversion may delay or prevent us from making loans to our PRC subsidiaries and the consolidated variable interest entities or making additional capital contributions to our wholly foreign-owned subsidiaries in the Chinese mainland, which could materially and adversely affect our liquidity and our ability to fund and expand our business.”</w:t>
      </w:r>
    </w:p>
    <w:p>
      <w:pPr>
        <w:spacing w:after="0" w:line="188" w:lineRule="exact"/>
        <w:rPr>
          <w:sz w:val="20"/>
          <w:szCs w:val="20"/>
          <w:color w:val="auto"/>
        </w:rPr>
      </w:pPr>
    </w:p>
    <w:p>
      <w:pPr>
        <w:ind w:left="240" w:firstLine="971"/>
        <w:spacing w:after="0" w:line="262" w:lineRule="auto"/>
        <w:rPr>
          <w:sz w:val="20"/>
          <w:szCs w:val="20"/>
          <w:color w:val="auto"/>
        </w:rPr>
      </w:pPr>
      <w:r>
        <w:rPr>
          <w:rFonts w:ascii="Times New Roman" w:cs="Times New Roman" w:eastAsia="Times New Roman" w:hAnsi="Times New Roman"/>
          <w:sz w:val="17"/>
          <w:szCs w:val="17"/>
          <w:color w:val="auto"/>
        </w:rPr>
        <w:t>Under PRC laws and regulations, our PRC subsidiaries and the consolidated variable interest entities are subject to certain restrictions with respect to paying dividends or otherwise transferring any of their net assets to us. Remittance of dividends by a wholly foreign-owned enterprise out of the Chinese mainland is also subject to examination by the banks designated by State Administration of Foreign Exchange, or SAFE. The amounts restricted include the paid-in capital and the statutory reserve funds of our PRC subsidiaries and the net assets of the consolidated variable interest entities in which we have no legal ownership, totaling RMB67.6 billion, RMB71.5 billion and RMB78.2 billion (US$11.2 billion) as of December 31, 2023, 2024 and 2025, respectively. Furthermore, cash transfers from our PRC subsidiaries and the consolidated variable interest entities to entities outside of the Chinese mainland are subject to PRC governmental control on currency conversion. As a result, the funds in our PRC subsidiaries or the consolidated variable interest entities in the Chinese mainland may not be available to fund operations or for other use outside of the Chinese mainland due to interventions in or the imposition of restrictions and limitations on the ability of our holding company, our subsidiaries, or the consolidated variable interest entities by the PRC government on such currency conversion. As of the date of this annual report, there are not equivalent or similar restrictions or limitations in Hong Kong on cash transfers in, or out of, our Hong Kong entities. However, if certain restrictions or limitations were to become applicable to cash transfers in and out of Hong Kong entities in the future, the funds in our Hong Kong entities may not be available to fund operations or for other use outside of Hong Kong. For risks relating to the fund flows of our operations in China, see “Item 3.D. Key Information—Risk Factors—Risks Related to Doing Business in China—We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and “Item 3.D. Key Information—Risk Factors—Risks Related to Doing Business in China—Governmental control of currency conversion may limit our ability to utilize our revenues effectively and affect the value of your investment.”</w:t>
      </w:r>
    </w:p>
    <w:p>
      <w:pPr>
        <w:spacing w:after="0" w:line="179"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Under PRC law, JD.com, Inc. may provide funding to our PRC subsidiaries only through capital contributions or loans, and to the PRC consolidated variable interest entities only through loans, subject to satisfaction of applicable government registration that we are not able to make direct capital contribution.</w:t>
      </w:r>
    </w:p>
    <w:p>
      <w:pPr>
        <w:spacing w:after="0" w:line="179"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Our company has established a centralized cash management policy to direct how funds are transferred between JD.com, Inc., our subsidiaries and the consolidated variable interest entities and their subsidiaries to improve the efficiency and ensure the security of cash management. Our management has established a series of manuals and policies on funds management, bank accounts management, financing activities and safe handling of cash and assets, which apply to all of our subsidiaries and the consolidated variable interest entities and their subsidiaries. We and our consolidated subsidiaries that are listed on the Hong Kong Stock Exchange have also established respective centralized cash management accounts within certain entities, under which funds are transferred and dispatched to each subsidiary or consolidated variable interest entity under central command. The major offshore entities outside of the Chinese mainland with the function of centralized cash management are JD.com, Inc. (our holding company), JD.com International Limited (our intermediate holding company), JD Logistics, Inc., JD Health International Inc., and JINGDONG Industrials, Inc. (all of which are our subsidiaries). In addition, the major entities within the Chinese mainland with similar functions are Beijing Jingdong Century Trade Co., Ltd. (a primary beneficiary of the consolidated variable interest entities), Beijing Jingbangda Trade Co., Ltd. (a subsidiary of consolidated variable interest entity), Jingdong Logistics Transportation Co., Ltd. (our subsidiary), Beijing Jingdong Jiankang Co., Ltd. (a primary beneficiary of the consolidated variable interest entities), and Beijing JINGDONG Digital Intelligence Industrial Technology Co., Ltd. (our subsidiary). The centralized cash management function in these entities lead to high-volume and high-frequency cash transferred and dispatched to the remaining consolidated subsidiaries and consolidated variable interest entities. We have complied with the applicable laws and regulations for the operation of such cash centralized management accounts and completed necessary registration and approval procedures with governmental authorities. Every fund transfer within our group goes through an appropriate review and approval process depending on the nature and amount of the transfer under our cash management policy.</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76" w:right="5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For the years ended December 31, 2023, 2024 and 2025, JD.com, Inc. received repayment of RMB12.6 billion, RMB18.8 billion and RMB32.9 billion (US$4.7 billion) from our intermediate holding companies through our day-to-day centralized cash management activities. Please refer to the line item “Cash received from internal companies” in the “Parent” column of the tables titled “Financial Information Related to the Consolidated Variable Interest Entities—Selected Condensed Consolidated Cash Flows Information” for the years ended December 31, 2023, 2024 and 2025 on pages 20-22 for the detail figures.</w:t>
      </w:r>
    </w:p>
    <w:p>
      <w:pPr>
        <w:spacing w:after="0" w:line="187"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Our day-to-day centralized cash management activities also cover the cash flow of the consolidated variable interest entities. For the years ended December 31, 2023, 2024 and 2025, the consolidated variable interest entities repaid RMB3.3 billion, RMB8.4 billion and RMB8.9 billion (US$1.3 billion) to our intermediate holding companies. Please refer to the line item “Net repayment to internal companies” in the “Consolidated Variable Interest Entities” column of the tables titled “Financial Information Related to the Consolidated Variable Interest Entities—Selected Condensed Consolidated Cash Flows Information” for the years ended December 31, 2023, 2024 and 2025 on pages 20-22 for the detail figures. The consolidated variable interest entities received repayment of RMB4.8 billion, RMB0.4 billion and RMB9.1 billion (US$1.3 billion) from our intermediate holding companies for the years ended December 31, 2023, 2024 and 2025, respectively. Please refer to the line item “Cash received from internal companies” in the “Consolidated Variable Interest Entities” column of the tables titled “Financial Information Related to the Consolidated Variable Interest Entities —Selected Condensed Consolidated Cash Flows Information” for the years ended December 31, 2023, 2024 and 2025 on pages 20-22 for the detail figures.</w:t>
      </w:r>
    </w:p>
    <w:p>
      <w:pPr>
        <w:spacing w:after="0" w:line="188"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In March 2023, as we commenced our annual dividend policy, we declared a cash dividend of US$0.31 per ordinary share, or US$0.62 per ADS, for an aggregate amount of approximately US$1.0 billion. In March 2024, we declared an annual cash dividend for the year ended December 31, 2023 of US$0.38 per ordinary share, or US$0.76 per ADS, for an aggregate amount of approximately US$1.2 billion. In March 2025, we declared an annual cash dividend for the year ended December 31, 2024 of US$0.50 per ordinary share, or US$1.00 per ADS, for an aggregate amount of approximately US$1.44 billion based on the number of shares on record date. In March 2026, we declared an annual cash dividend for the year ended December 31, 2025 of US$0.5 per ordinary share, or US$1.0 per ADS, for an aggregate amount of approximately US$1.4 billion.</w:t>
      </w:r>
    </w:p>
    <w:p>
      <w:pPr>
        <w:spacing w:after="0" w:line="187" w:lineRule="exact"/>
        <w:rPr>
          <w:sz w:val="20"/>
          <w:szCs w:val="20"/>
          <w:color w:val="auto"/>
        </w:rPr>
      </w:pPr>
    </w:p>
    <w:p>
      <w:pPr>
        <w:ind w:left="240" w:right="60" w:firstLine="971"/>
        <w:spacing w:after="0" w:line="267" w:lineRule="auto"/>
        <w:rPr>
          <w:sz w:val="20"/>
          <w:szCs w:val="20"/>
          <w:color w:val="auto"/>
        </w:rPr>
      </w:pPr>
      <w:r>
        <w:rPr>
          <w:rFonts w:ascii="Times New Roman" w:cs="Times New Roman" w:eastAsia="Times New Roman" w:hAnsi="Times New Roman"/>
          <w:sz w:val="17"/>
          <w:szCs w:val="17"/>
          <w:color w:val="auto"/>
        </w:rPr>
        <w:t>Under our annual dividend policy, we may choose to declare and distribute a cash dividend each year, at an amount determined in relation to our financial performance in the previous fiscal year, among other factors. The determination to make dividend distributions in any particular year will be made at the discretion of our board of directors based upon factors such as our results of operations, cash flow, financial condition, business strategies and prospects, capital requirements, regulatory constraints to the extent relevant, availability of foreign currency and other considerations that the board deems relevant. See “Item 8.A. Financial Information—Consolidated Statements and Other Financial Information—Dividend Policy.” For PRC and United States federal income tax considerations of an investment in our ADSs, see “Item 10.E. Additional Information—Taxation.”</w:t>
      </w:r>
    </w:p>
    <w:p>
      <w:pPr>
        <w:spacing w:after="0" w:line="319" w:lineRule="exact"/>
        <w:rPr>
          <w:sz w:val="20"/>
          <w:szCs w:val="20"/>
          <w:color w:val="auto"/>
        </w:rPr>
      </w:pPr>
    </w:p>
    <w:p>
      <w:pPr>
        <w:ind w:left="760" w:hanging="530"/>
        <w:spacing w:after="0"/>
        <w:tabs>
          <w:tab w:leader="none" w:pos="7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Financial Information Related to the Consolidated Variable Interest Entities</w:t>
      </w:r>
    </w:p>
    <w:p>
      <w:pPr>
        <w:spacing w:after="0" w:line="112" w:lineRule="exact"/>
        <w:rPr>
          <w:sz w:val="20"/>
          <w:szCs w:val="20"/>
          <w:color w:val="auto"/>
        </w:rPr>
      </w:pPr>
    </w:p>
    <w:p>
      <w:pPr>
        <w:ind w:left="240" w:right="160" w:firstLine="971"/>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condensed consolidating schedule of financial position for the consolidated variable interest entities and their subsidiaries (collectively, Consolidated Variable Interest Entities or VIEs) and other entities as of the dates presented.</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320" w:top="476"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Statements of Income Information</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Beneficiaries of</w:t>
            </w:r>
          </w:p>
        </w:tc>
        <w:tc>
          <w:tcPr>
            <w:tcW w:w="10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0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 Entities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40" w:type="dxa"/>
            <w:vAlign w:val="bottom"/>
            <w:gridSpan w:val="2"/>
            <w:vMerge w:val="continue"/>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1,433,743</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886,086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173,149</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(1,183,919)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1,309,085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tcPr>
          <w:p>
            <w:pPr>
              <w:ind w:left="320"/>
              <w:spacing w:after="0"/>
              <w:rPr>
                <w:sz w:val="20"/>
                <w:szCs w:val="20"/>
                <w:color w:val="auto"/>
              </w:rPr>
            </w:pPr>
            <w:r>
              <w:rPr>
                <w:rFonts w:ascii="Times New Roman" w:cs="Times New Roman" w:eastAsia="Times New Roman" w:hAnsi="Times New Roman"/>
                <w:sz w:val="18"/>
                <w:szCs w:val="18"/>
                <w:i w:val="1"/>
                <w:iCs w:val="1"/>
                <w:color w:val="auto"/>
              </w:rPr>
              <w:t>Third-party revenues</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1,217,498</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3,098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88,489</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1,309,085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Inter-company revenues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216,245</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882,988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84,660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(1,183,919)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(1,198,986)</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(803,021)</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(156,982)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1,059,932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(1,099,057)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(135,162)</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(5,327)</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73,666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(55,207)</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(53,307)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26,941</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(21,569)</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(18,327)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(5,319)</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22,986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(1,546)</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(1,735)</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gridSpan w:val="2"/>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(1,526)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17,310</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(14,422)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1,412</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2,774</w:t>
            </w:r>
          </w:p>
        </w:tc>
        <w:tc>
          <w:tcPr>
            <w:tcW w:w="0" w:type="dxa"/>
            <w:vAlign w:val="bottom"/>
          </w:tcPr>
          <w:p>
            <w:pPr>
              <w:spacing w:after="0"/>
              <w:rPr>
                <w:sz w:val="1"/>
                <w:szCs w:val="1"/>
                <w:color w:val="auto"/>
              </w:rPr>
            </w:pPr>
          </w:p>
        </w:tc>
      </w:tr>
      <w:tr>
        <w:trPr>
          <w:trHeight w:val="21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subsidiaries and VIEs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13,627</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22,549</w:t>
            </w:r>
          </w:p>
        </w:tc>
        <w:tc>
          <w:tcPr>
            <w:tcW w:w="0" w:type="dxa"/>
            <w:vAlign w:val="bottom"/>
          </w:tcPr>
          <w:p>
            <w:pPr>
              <w:spacing w:after="0"/>
              <w:rPr>
                <w:sz w:val="1"/>
                <w:szCs w:val="1"/>
                <w:color w:val="auto"/>
              </w:rPr>
            </w:pPr>
          </w:p>
        </w:tc>
      </w:tr>
      <w:tr>
        <w:trPr>
          <w:trHeight w:val="21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7,738</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7,845</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(40,494)</w:t>
            </w:r>
          </w:p>
        </w:tc>
        <w:tc>
          <w:tcPr>
            <w:tcW w:w="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benefits/(expenses)</w:t>
            </w:r>
          </w:p>
        </w:tc>
        <w:tc>
          <w:tcPr>
            <w:tcW w:w="78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10,468</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8,043</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(40,494)</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60" w:hanging="430"/>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value is less than RMB1 million or US$1 million.</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0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0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0" w:type="dxa"/>
            <w:vAlign w:val="bottom"/>
            <w:gridSpan w:val="2"/>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56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1,193,200</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787,655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(988,114)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1,158,819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Third-party revenues</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1,049,575</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101,218</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1,158,819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Inter-company revenues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143,625</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779,629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64,849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(988,114)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(1,006,914)</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(722,765)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(146,871)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901,599</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(974,951)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(94,779)</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(16,451)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(35,647)</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(28,336)</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20,553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(15,919)</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(16,302)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(3,088)</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(3,840)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(2,048)</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w:t>
            </w:r>
          </w:p>
        </w:tc>
        <w:tc>
          <w:tcPr>
            <w:tcW w:w="0" w:type="dxa"/>
            <w:vAlign w:val="bottom"/>
          </w:tcPr>
          <w:p>
            <w:pPr>
              <w:spacing w:after="0"/>
              <w:rPr>
                <w:sz w:val="1"/>
                <w:szCs w:val="1"/>
                <w:color w:val="auto"/>
              </w:rPr>
            </w:pPr>
          </w:p>
        </w:tc>
      </w:tr>
      <w:tr>
        <w:trPr>
          <w:trHeight w:val="22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2,905</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subsidiaries and VIEs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34,178</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(84,638)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80" w:type="dxa"/>
            <w:vAlign w:val="bottom"/>
          </w:tcPr>
          <w:p>
            <w:pPr>
              <w:spacing w:after="0"/>
              <w:rPr>
                <w:sz w:val="18"/>
                <w:szCs w:val="18"/>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3,691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41,359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37,830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(84,638)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51,538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(5,230)</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41,359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37,091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(84,638)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100965</wp:posOffset>
            </wp:positionV>
            <wp:extent cx="755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60" w:lineRule="exact"/>
        <w:rPr>
          <w:sz w:val="20"/>
          <w:szCs w:val="20"/>
          <w:color w:val="auto"/>
        </w:rPr>
      </w:pPr>
    </w:p>
    <w:p>
      <w:pPr>
        <w:ind w:left="660" w:hanging="430"/>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value is less than RMB1 million or US$1 million.</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76" w:right="5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0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00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00" w:type="dxa"/>
            <w:vAlign w:val="bottom"/>
            <w:gridSpan w:val="2"/>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jc w:val="right"/>
              <w:ind w:right="5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1,119,133</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745,180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(925,446)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Third-party revenues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991,705</w:t>
            </w: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7,817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85,140</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Inter-company revenues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127,428</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737,363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60,655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(925,446)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(947,261)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(690,707)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(130,540)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843,550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(924,958)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(91,646)</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(12,982)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(64,558)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(35,231)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(17,495)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16,567</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(15,662)</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(16,345)</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20,467</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(4,881)</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(2,794)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4,857</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subsidiaries and VIEs</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10,305</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1,066</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(36,338)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w:t>
            </w: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4,367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24,168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30,544</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10,290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(36,338)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31,650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(6,889)</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(483)</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24,167</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23,655</w:t>
            </w: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(36,338)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Balance Sheets Information</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0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gridSpan w:val="2"/>
            <w:vMerge w:val="continue"/>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7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5,707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88,912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37,854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5,015</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137,488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8,416</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3,716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27,536</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48,208</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75,744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22,363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3,291</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33,965</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55,809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5,654</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95,428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balance</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9,154</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18,366</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(30,133)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investees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30,132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21,251</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 and consolidated VIEs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248,355</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58,074</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49,728</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(356,157)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and other investments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38,329</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13,487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78,078</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1,938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11,333</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21,709</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10,849</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99,377</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14,369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120,776</w:t>
            </w:r>
          </w:p>
        </w:tc>
        <w:tc>
          <w:tcPr>
            <w:tcW w:w="0" w:type="dxa"/>
            <w:vAlign w:val="bottom"/>
          </w:tcPr>
          <w:p>
            <w:pPr>
              <w:spacing w:after="0"/>
              <w:rPr>
                <w:sz w:val="1"/>
                <w:szCs w:val="1"/>
                <w:color w:val="auto"/>
              </w:rPr>
            </w:pP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256,751</w:t>
            </w:r>
          </w:p>
        </w:tc>
        <w:tc>
          <w:tcPr>
            <w:tcW w:w="2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516,045</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245,856</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64,501</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(387,952)</w:t>
            </w:r>
          </w:p>
        </w:tc>
        <w:tc>
          <w:tcPr>
            <w:tcW w:w="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5,816</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2,148</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65,807</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111,021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11,551</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Internal balance</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9,815</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20,318</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(30,133)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22,643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11,699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24,434</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30,646</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248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70,914</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20,247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14,525</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105,934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31,711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205,641</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137,524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58,143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(31,601)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401,418</w:t>
            </w:r>
          </w:p>
        </w:tc>
        <w:tc>
          <w:tcPr>
            <w:tcW w:w="0" w:type="dxa"/>
            <w:vAlign w:val="bottom"/>
          </w:tcPr>
          <w:p>
            <w:pPr>
              <w:spacing w:after="0"/>
              <w:rPr>
                <w:sz w:val="1"/>
                <w:szCs w:val="1"/>
                <w:color w:val="auto"/>
              </w:rPr>
            </w:pPr>
          </w:p>
        </w:tc>
      </w:tr>
      <w:tr>
        <w:trPr>
          <w:trHeight w:val="22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225,040</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310,404</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108,332</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6,358</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(356,351)</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256,751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516,045</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245,856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64,501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(387,952)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695,201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0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80" w:type="dxa"/>
            <w:vAlign w:val="bottom"/>
            <w:gridSpan w:val="2"/>
            <w:vMerge w:val="continue"/>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5"/>
              </w:rPr>
              <w:t>Variable</w:t>
            </w:r>
          </w:p>
        </w:tc>
        <w:tc>
          <w:tcPr>
            <w:tcW w:w="10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Entities</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100" w:type="dxa"/>
            <w:vAlign w:val="bottom"/>
            <w:gridSpan w:val="2"/>
            <w:vMerge w:val="continue"/>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ind w:left="6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6"/>
              </w:rPr>
              <w:t>646</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61,277</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37,857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8,570</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108,350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2,728</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57,703</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59,413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3,338</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125,645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16,736</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7,157</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32,012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52,541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4,773</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balance</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35,639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31,489</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20,745</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(87,873)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investees</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35,683</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21,968</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(4,351)</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 and consolidated VIEs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75,775</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44,296</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(350,161)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and other investments</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12,866</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45,417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1,087</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67,953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12,930</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14,909</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11,632</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90,519</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14,048</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13,957</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118,462</w:t>
            </w:r>
          </w:p>
        </w:tc>
        <w:tc>
          <w:tcPr>
            <w:tcW w:w="0" w:type="dxa"/>
            <w:vAlign w:val="bottom"/>
          </w:tcPr>
          <w:p>
            <w:pPr>
              <w:spacing w:after="0"/>
              <w:rPr>
                <w:sz w:val="1"/>
                <w:szCs w:val="1"/>
                <w:color w:val="auto"/>
              </w:rPr>
            </w:pP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271,631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499,650</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286,077</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85,451</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(444,575)</w:t>
            </w:r>
          </w:p>
        </w:tc>
        <w:tc>
          <w:tcPr>
            <w:tcW w:w="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debts</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3,591</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3,990</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61,059</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120,202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11,599</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192,860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Internal balance</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35,632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24,820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27,421</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(87,873)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15,265</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12,291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(1,894)</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24,898</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24,517</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32,284</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204,093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166,946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71,509</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(89,895)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384,937</w:t>
            </w:r>
          </w:p>
        </w:tc>
        <w:tc>
          <w:tcPr>
            <w:tcW w:w="0" w:type="dxa"/>
            <w:vAlign w:val="bottom"/>
          </w:tcPr>
          <w:p>
            <w:pPr>
              <w:spacing w:after="0"/>
              <w:rPr>
                <w:sz w:val="1"/>
                <w:szCs w:val="1"/>
                <w:color w:val="auto"/>
              </w:rPr>
            </w:pPr>
          </w:p>
        </w:tc>
      </w:tr>
      <w:tr>
        <w:trPr>
          <w:trHeight w:val="22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239,347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295,073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119,131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13,942</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(354,680)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312,813</w:t>
            </w:r>
          </w:p>
        </w:tc>
        <w:tc>
          <w:tcPr>
            <w:tcW w:w="0" w:type="dxa"/>
            <w:vAlign w:val="bottom"/>
          </w:tcPr>
          <w:p>
            <w:pPr>
              <w:spacing w:after="0"/>
              <w:rPr>
                <w:sz w:val="1"/>
                <w:szCs w:val="1"/>
                <w:color w:val="auto"/>
              </w:rPr>
            </w:pPr>
          </w:p>
        </w:tc>
      </w:tr>
      <w:tr>
        <w:trPr>
          <w:trHeight w:val="21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271,631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499,650</w:t>
            </w:r>
          </w:p>
        </w:tc>
        <w:tc>
          <w:tcPr>
            <w:tcW w:w="2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286,077</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85,451</w:t>
            </w:r>
          </w:p>
        </w:tc>
        <w:tc>
          <w:tcPr>
            <w:tcW w:w="2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(444,575)</w:t>
            </w:r>
          </w:p>
        </w:tc>
        <w:tc>
          <w:tcPr>
            <w:tcW w:w="3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19</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Selected Condensed Consolidated Cash Flows Information</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gridSpan w:val="2"/>
          </w:tcPr>
          <w:p>
            <w:pPr>
              <w:jc w:val="center"/>
              <w:ind w:right="28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4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 Interest</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 Interest</w:t>
            </w:r>
          </w:p>
        </w:tc>
        <w:tc>
          <w:tcPr>
            <w:tcW w:w="10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Eliminations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60" w:type="dxa"/>
            <w:vAlign w:val="bottom"/>
            <w:gridSpan w:val="2"/>
            <w:vMerge w:val="continue"/>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8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(982)</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89,249</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10,721</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1,343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(81,340)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18,991</w:t>
            </w:r>
          </w:p>
        </w:tc>
        <w:tc>
          <w:tcPr>
            <w:tcW w:w="0" w:type="dxa"/>
            <w:vAlign w:val="bottom"/>
          </w:tcPr>
          <w:p>
            <w:pPr>
              <w:spacing w:after="0"/>
              <w:rPr>
                <w:sz w:val="1"/>
                <w:szCs w:val="1"/>
                <w:color w:val="auto"/>
              </w:rPr>
            </w:pPr>
          </w:p>
        </w:tc>
      </w:tr>
      <w:tr>
        <w:trPr>
          <w:trHeight w:val="21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Decrease in time deposits and wealth management</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net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5,452</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42,240</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Disposal of equity investments and investment securities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2,467</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3,363</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internal companies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29,606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8,250</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9,079</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(79,807)</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Cash paid for property, equipment, software and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(11,566)</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(13,787)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asset acquisitions, net of cash acquired</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(3,606)</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(1,704)</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55,199</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7,873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(79,784)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41,832</w:t>
            </w:r>
          </w:p>
        </w:tc>
        <w:tc>
          <w:tcPr>
            <w:tcW w:w="0" w:type="dxa"/>
            <w:vAlign w:val="bottom"/>
          </w:tcPr>
          <w:p>
            <w:pPr>
              <w:spacing w:after="0"/>
              <w:rPr>
                <w:sz w:val="1"/>
                <w:szCs w:val="1"/>
                <w:color w:val="auto"/>
              </w:rPr>
            </w:pPr>
          </w:p>
        </w:tc>
      </w:tr>
      <w:tr>
        <w:trPr>
          <w:trHeight w:val="21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(21,430)</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debts, net</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8,168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repayment to internal companies</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(41,951)</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(28,954)</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(8,902)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79,807</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(10,379)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(37,540)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(43,800)</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81,340</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Capital injection from non-controlling interest</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2,650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Acquisition of additional equity interests in non-wholly</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owned subsidiaries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(7,167)</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(31,776</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(76,465)</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(66,806)</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(12,805)</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161,124</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0"/>
        </w:trPr>
        <w:tc>
          <w:tcPr>
            <w:tcW w:w="4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33,323</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(3,589)</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cash equivalents and restricted cash at beginning of</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64,005</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42,456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8,609</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115,716</w:t>
            </w:r>
          </w:p>
        </w:tc>
        <w:tc>
          <w:tcPr>
            <w:tcW w:w="0" w:type="dxa"/>
            <w:vAlign w:val="bottom"/>
          </w:tcPr>
          <w:p>
            <w:pPr>
              <w:spacing w:after="0"/>
              <w:rPr>
                <w:sz w:val="1"/>
                <w:szCs w:val="1"/>
                <w:color w:val="auto"/>
              </w:rPr>
            </w:pPr>
          </w:p>
        </w:tc>
      </w:tr>
      <w:tr>
        <w:trPr>
          <w:trHeight w:val="200"/>
        </w:trPr>
        <w:tc>
          <w:tcPr>
            <w:tcW w:w="4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cash and cash equivalents classified within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97,328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41,570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Less: cash, cash equivalents and restricted cash classified</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within assets held for sale at end of year</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5,707</w:t>
            </w:r>
          </w:p>
        </w:tc>
        <w:tc>
          <w:tcPr>
            <w:tcW w:w="2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97,328</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41,570</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5,020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xml:space="preserve">—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hanging="430"/>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value is less than RMB1 million or US$1 million.</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76" w:right="5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gridSpan w:val="2"/>
          </w:tcPr>
          <w:p>
            <w:pPr>
              <w:jc w:val="center"/>
              <w:ind w:right="28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Beneficiaries of</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8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4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 Interest</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 Interest</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60" w:type="dxa"/>
            <w:vAlign w:val="bottom"/>
            <w:gridSpan w:val="2"/>
            <w:vMerge w:val="continue"/>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4"/>
          </w:tcPr>
          <w:p>
            <w:pPr>
              <w:jc w:val="right"/>
              <w:ind w:right="8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(717)</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61,391</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62,343</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10,968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(75,890)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58,095</w:t>
            </w:r>
          </w:p>
        </w:tc>
        <w:tc>
          <w:tcPr>
            <w:tcW w:w="0" w:type="dxa"/>
            <w:vAlign w:val="bottom"/>
          </w:tcPr>
          <w:p>
            <w:pPr>
              <w:spacing w:after="0"/>
              <w:rPr>
                <w:sz w:val="1"/>
                <w:szCs w:val="1"/>
                <w:color w:val="auto"/>
              </w:rPr>
            </w:pPr>
          </w:p>
        </w:tc>
      </w:tr>
      <w:tr>
        <w:trPr>
          <w:trHeight w:val="217"/>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(Increase)/decrease in time deposits and wealth</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products, net</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(2,141)</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14,853</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investments in equity investees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internal companies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39,719</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8,396</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(67,255)</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Cash paid for property, equipment, software and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(9,848)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(3,244)</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409</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16,632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38,508</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14,584</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(3,482)</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(67,113)</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(25,912)</w:t>
            </w: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(25,912)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debts, net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1,366</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 to internal companies</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(19,140)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(39,719)</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67,255</w:t>
            </w: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(44,867)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(31,023)</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75,890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Proceeds from unsecured senior notes, net of issuance</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260" w:type="dxa"/>
            <w:vAlign w:val="bottom"/>
          </w:tcPr>
          <w:p>
            <w:pPr>
              <w:spacing w:after="0"/>
              <w:rPr>
                <w:sz w:val="19"/>
                <w:szCs w:val="19"/>
                <w:color w:val="auto"/>
              </w:rPr>
            </w:pPr>
          </w:p>
        </w:tc>
        <w:tc>
          <w:tcPr>
            <w:tcW w:w="1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(693)</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(63,334)</w:t>
            </w:r>
          </w:p>
        </w:tc>
        <w:tc>
          <w:tcPr>
            <w:tcW w:w="3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(70,742)</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(9,782)</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143,003</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0"/>
        </w:trPr>
        <w:tc>
          <w:tcPr>
            <w:tcW w:w="4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(4,142)</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36,571</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cash equivalents and restricted cash at beginning of</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27,434</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36,271</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10,905</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79,398</w:t>
            </w:r>
          </w:p>
        </w:tc>
        <w:tc>
          <w:tcPr>
            <w:tcW w:w="0" w:type="dxa"/>
            <w:vAlign w:val="bottom"/>
          </w:tcPr>
          <w:p>
            <w:pPr>
              <w:spacing w:after="0"/>
              <w:rPr>
                <w:sz w:val="1"/>
                <w:szCs w:val="1"/>
                <w:color w:val="auto"/>
              </w:rPr>
            </w:pPr>
          </w:p>
        </w:tc>
      </w:tr>
      <w:tr>
        <w:trPr>
          <w:trHeight w:val="200"/>
        </w:trPr>
        <w:tc>
          <w:tcPr>
            <w:tcW w:w="428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cash and cash equivalents classified within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64,005</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42,456</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8,609</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Less: cash, cash equivalents and restricted cash classified</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within assets held for sale at end of year</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w:t>
            </w: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26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64,005</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42,456</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8,609</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hanging="43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 value is less than RMB1 million or US$1 million.</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320" w:top="476"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gridSpan w:val="2"/>
          </w:tcPr>
          <w:p>
            <w:pPr>
              <w:jc w:val="center"/>
              <w:ind w:right="280"/>
              <w:spacing w:after="0" w:line="114" w:lineRule="exact"/>
              <w:rPr>
                <w:sz w:val="20"/>
                <w:szCs w:val="20"/>
                <w:color w:val="auto"/>
              </w:rPr>
            </w:pPr>
            <w:r>
              <w:rPr>
                <w:rFonts w:ascii="Times New Roman" w:cs="Times New Roman" w:eastAsia="Times New Roman" w:hAnsi="Times New Roman"/>
                <w:sz w:val="13"/>
                <w:szCs w:val="13"/>
                <w:b w:val="1"/>
                <w:bCs w:val="1"/>
                <w:color w:val="auto"/>
              </w:rPr>
              <w:t>Primary</w:t>
            </w: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Beneficiaries of</w:t>
            </w: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20" w:type="dxa"/>
            <w:vAlign w:val="bottom"/>
            <w:gridSpan w:val="2"/>
            <w:vMerge w:val="continue"/>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Variable Interest</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Variable Interest</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1060" w:type="dxa"/>
            <w:vAlign w:val="bottom"/>
            <w:gridSpan w:val="2"/>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ind w:left="74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(765)</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43,657</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75,882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(62,544)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59,521</w:t>
            </w:r>
          </w:p>
        </w:tc>
        <w:tc>
          <w:tcPr>
            <w:tcW w:w="0" w:type="dxa"/>
            <w:vAlign w:val="bottom"/>
          </w:tcPr>
          <w:p>
            <w:pPr>
              <w:spacing w:after="0"/>
              <w:rPr>
                <w:sz w:val="1"/>
                <w:szCs w:val="1"/>
                <w:color w:val="auto"/>
              </w:rPr>
            </w:pPr>
          </w:p>
        </w:tc>
      </w:tr>
      <w:tr>
        <w:trPr>
          <w:trHeight w:val="21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Increase in time deposits and wealth management products,</w:t>
            </w:r>
          </w:p>
        </w:tc>
        <w:tc>
          <w:tcPr>
            <w:tcW w:w="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(35,205)</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(12,585)</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investments in equity investees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internal companies</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12,633</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36,177</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3,266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(56,880)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Cash paid for property, equipment, software and</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(10,487)</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10,605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8,215</w:t>
            </w:r>
          </w:p>
        </w:tc>
        <w:tc>
          <w:tcPr>
            <w:tcW w:w="0" w:type="dxa"/>
            <w:vAlign w:val="bottom"/>
          </w:tcPr>
          <w:p>
            <w:pPr>
              <w:spacing w:after="0"/>
              <w:rPr>
                <w:sz w:val="1"/>
                <w:szCs w:val="1"/>
                <w:color w:val="auto"/>
              </w:rPr>
            </w:pPr>
          </w:p>
        </w:tc>
      </w:tr>
      <w:tr>
        <w:trPr>
          <w:trHeight w:val="22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9,800</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(6,527)</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(19,865)</w:t>
            </w: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(46,275)</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Capital injection from non-controlling interest shareholders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80" w:type="dxa"/>
            <w:vAlign w:val="bottom"/>
          </w:tcPr>
          <w:p>
            <w:pPr>
              <w:spacing w:after="0"/>
              <w:rPr>
                <w:sz w:val="18"/>
                <w:szCs w:val="18"/>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debts, net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repayment to internal companies</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(17,437)</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(36,177)</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56,880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(45,859)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(16,685)</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62,544</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(10,605)</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(9,205)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(49,960)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(54,562)</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(900)</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108,819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(5,808)</w:t>
            </w:r>
          </w:p>
        </w:tc>
        <w:tc>
          <w:tcPr>
            <w:tcW w:w="0" w:type="dxa"/>
            <w:vAlign w:val="bottom"/>
          </w:tcPr>
          <w:p>
            <w:pPr>
              <w:spacing w:after="0"/>
              <w:rPr>
                <w:sz w:val="1"/>
                <w:szCs w:val="1"/>
                <w:color w:val="auto"/>
              </w:rPr>
            </w:pPr>
          </w:p>
        </w:tc>
      </w:tr>
      <w:tr>
        <w:trPr>
          <w:trHeight w:val="200"/>
        </w:trPr>
        <w:tc>
          <w:tcPr>
            <w:tcW w:w="440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restricted cash</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196</w:t>
            </w: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increase/(decrease) in cash, cash equivalents and</w:t>
            </w: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(12,634)</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5,029</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40,121</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2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including cash and cash equivalents classified within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4,788</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27,487</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36,271</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10,905</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Less: cash, cash equivalents and restricted cash classified</w:t>
            </w: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assets held for sale at end of year</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12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end of</w:t>
            </w: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4,788</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27,434</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36,271</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10,905</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240" w:right="120" w:firstLine="431"/>
        <w:spacing w:after="0" w:line="258" w:lineRule="auto"/>
        <w:rPr>
          <w:sz w:val="20"/>
          <w:szCs w:val="20"/>
          <w:color w:val="auto"/>
        </w:rPr>
      </w:pPr>
      <w:r>
        <w:rPr>
          <w:rFonts w:ascii="Times New Roman" w:cs="Times New Roman" w:eastAsia="Times New Roman" w:hAnsi="Times New Roman"/>
          <w:sz w:val="18"/>
          <w:szCs w:val="18"/>
          <w:color w:val="auto"/>
        </w:rPr>
        <w:t>A subsidiary of Suqian Jingdong Bohai Business Management Co., Ltd. (Suqian Jingdong Bohai) has changed its business scope. As such, it no longer has the necessity to maintain the relevant qualifications under the variable interest entity structure. Consequently, Suqian Jingdong Bohai and its subsidiaries were removed from the variable interest entity structure as of March 2025.</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320" w:top="476"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1200" w:right="7840" w:hanging="970"/>
        <w:spacing w:after="0" w:line="397" w:lineRule="auto"/>
        <w:tabs>
          <w:tab w:leader="none" w:pos="758"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Capitalization and Indebtedness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1200" w:right="7080" w:hanging="970"/>
        <w:spacing w:after="0" w:line="375" w:lineRule="auto"/>
        <w:tabs>
          <w:tab w:leader="none" w:pos="75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ind w:left="760" w:hanging="530"/>
        <w:spacing w:after="0"/>
        <w:tabs>
          <w:tab w:leader="none" w:pos="7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or execute our strategies effectively, our business and prospects may be materially and adversely affected.</w:t>
      </w:r>
    </w:p>
    <w:p>
      <w:pPr>
        <w:spacing w:after="0" w:line="114" w:lineRule="exact"/>
        <w:rPr>
          <w:sz w:val="20"/>
          <w:szCs w:val="20"/>
          <w:color w:val="auto"/>
        </w:rPr>
      </w:pPr>
    </w:p>
    <w:p>
      <w:pPr>
        <w:ind w:left="240" w:firstLine="1402"/>
        <w:spacing w:after="0" w:line="247" w:lineRule="auto"/>
        <w:rPr>
          <w:sz w:val="20"/>
          <w:szCs w:val="20"/>
          <w:color w:val="auto"/>
        </w:rPr>
      </w:pPr>
      <w:r>
        <w:rPr>
          <w:rFonts w:ascii="Times New Roman" w:cs="Times New Roman" w:eastAsia="Times New Roman" w:hAnsi="Times New Roman"/>
          <w:sz w:val="18"/>
          <w:szCs w:val="18"/>
          <w:color w:val="auto"/>
        </w:rPr>
        <w:t>Our business has continued to grow in recent years, and we expect continued growth in our business and revenues. We plan to further invest in technologies, expand our fulfillment infrastructure and increase our product and service offerings. For example, in 2025, we recruited new employees in connection with the expansion of our fulfillment infrastructure and strengthening of our supply chain-based technology and service capability. We will continue to invest resources in training, managing and motivating our workforce. We also plan to continue to build our warehouses and establish new fulfillment facilities in additional locations across China, including smaller, less developed areas. In addition, as we continue to increase our product and service offerings, we will need to work with a large number of new suppliers and third-party merchants efficiently and establish and maintain mutually beneficial relationships with our existing and new suppliers and third-party merchants. To support our growth, we also plan to implement a variety of new and upgraded managerial, operating, financial and human resource systems, procedures and controls. All these efforts will require significant managerial, financial and human resources. We cannot assure you that we will be able to effectively manage our growth or to implement all these systems, procedures and control measures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320" w:top="476"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provide superior customer experience, our business and reputation may be materially and adversely affected.</w:t>
      </w:r>
    </w:p>
    <w:p>
      <w:pPr>
        <w:spacing w:after="0" w:line="114"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The success of our business hinges on our ability to provide superior customer experience, which in turn depends on a variety of factors. These factors include our ability to continue to offer authentic products at competitive prices, source products to respond to customer demands, maintain the quality of our products and services, attract and regulate third-party merchants on our online marketplace, and provide timely and reliable delivery, flexible payment options and superior after-sales service.</w:t>
      </w:r>
    </w:p>
    <w:p>
      <w:pPr>
        <w:spacing w:after="0" w:line="185"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We rely primarily on our own fulfillment infrastructure, and to a lesser extent on third-party couriers, to deliver our products. Interruptions or failures in our delivery services or third-party couriers could prevent the timely or successful delivery of our products. These interruptions may be due to unforeseen events that are beyond our control or the control of our third-party couriers, such as inclement weather, natural disasters, virus outbreaks, transportation disruptions or labor unrest. If our products are not delivered on time or are delivered in a damaged state, customers may refuse to accept our products and have less confidence in our services. Furthermore, our own delivery personnel and those of third-party couriers act on our behalf and, in most instances, interact with our customers personally. We maintain cooperation arrangements with a number of third-party couriers to deliver our products to our customers in those areas not covered by our own fulfillment infrastructure and for a portion of our bulky item deliveries, and we need to effectively manage these third-party service providers to ensure the quality of customer services. We have in the past received customer complaints from time to time regarding our delivery and return and exchange services. In addition, we have opened our fulfillment infrastructure by offering logistics services to third parties. If we are not able to manage our logistics services successfully, opening these services to third parties could divert the resources available to our retail business and affect customer experience. Any failure to provide high-quality delivery services to our customers may negatively impact the shopping experience of our customers, damage our reputation and cause us to lose customers. In certain instances, our customers may be referred to our affiliates when using our services. Even though we do not necessarily have control over these affiliates, any negative customer experience associated with them may adversely affect our brand and reputation.</w:t>
      </w:r>
    </w:p>
    <w:p>
      <w:pPr>
        <w:spacing w:after="0" w:line="190" w:lineRule="exact"/>
        <w:rPr>
          <w:sz w:val="20"/>
          <w:szCs w:val="20"/>
          <w:color w:val="auto"/>
        </w:rPr>
      </w:pPr>
    </w:p>
    <w:p>
      <w:pPr>
        <w:ind w:left="240" w:right="100" w:firstLine="971"/>
        <w:spacing w:after="0" w:line="267" w:lineRule="auto"/>
        <w:rPr>
          <w:sz w:val="20"/>
          <w:szCs w:val="20"/>
          <w:color w:val="auto"/>
        </w:rPr>
      </w:pPr>
      <w:r>
        <w:rPr>
          <w:rFonts w:ascii="Times New Roman" w:cs="Times New Roman" w:eastAsia="Times New Roman" w:hAnsi="Times New Roman"/>
          <w:sz w:val="17"/>
          <w:szCs w:val="17"/>
          <w:color w:val="auto"/>
        </w:rPr>
        <w:t>We operate 24-7 customer service centers in Suqian, Wuhan, Chengdu and Datong, handling all kinds of customer queries and complaints regarding our products and services. There is no assurance that we will be able to maintain a low turnover rate of existing employees and provide sufficient training to new employees to meet our standards of customer service or that an influx of less experienced personnel will not dilute the quality of our customer service. If our customer service representatives fail to provide satisfactory service, or if waiting times are too long due to the high volume of calls from customers at peak times, our brand and customer loyalty may be adversely affected. In addition, any negative publicity or poor feedback regarding our customer service may harm our brand and reputation and in turn cause us to lose customers and market share.</w:t>
      </w:r>
    </w:p>
    <w:p>
      <w:pPr>
        <w:spacing w:after="0" w:line="277" w:lineRule="exact"/>
        <w:rPr>
          <w:sz w:val="20"/>
          <w:szCs w:val="20"/>
          <w:color w:val="auto"/>
        </w:rPr>
      </w:pPr>
    </w:p>
    <w:p>
      <w:pPr>
        <w:ind w:left="240"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Uncertainties relating to the growth and profitability of the retail industry in China in general, and the online retail industry in particular, could adversely affect our business, prospects and results of operations.</w:t>
      </w:r>
    </w:p>
    <w:p>
      <w:pPr>
        <w:spacing w:after="0" w:line="58" w:lineRule="exact"/>
        <w:rPr>
          <w:sz w:val="20"/>
          <w:szCs w:val="20"/>
          <w:color w:val="auto"/>
        </w:rPr>
      </w:pPr>
    </w:p>
    <w:p>
      <w:pPr>
        <w:ind w:left="240" w:right="60" w:firstLine="971"/>
        <w:spacing w:after="0" w:line="270" w:lineRule="auto"/>
        <w:rPr>
          <w:sz w:val="20"/>
          <w:szCs w:val="20"/>
          <w:color w:val="auto"/>
        </w:rPr>
      </w:pPr>
      <w:r>
        <w:rPr>
          <w:rFonts w:ascii="Times New Roman" w:cs="Times New Roman" w:eastAsia="Times New Roman" w:hAnsi="Times New Roman"/>
          <w:sz w:val="18"/>
          <w:szCs w:val="18"/>
          <w:color w:val="auto"/>
        </w:rPr>
        <w:t>We generate the majority of our revenues from online retail. Our future results of operations will depend on numerous factors affecting the development of the online retail industry in China, which may be beyond our control. These factors include:</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76" w:right="5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internet, broadband, personal computer and mobile penetration and usage in China, and the rate of any such growth;</w:t>
      </w:r>
    </w:p>
    <w:p>
      <w:pPr>
        <w:spacing w:after="0" w:line="123" w:lineRule="exact"/>
        <w:rPr>
          <w:rFonts w:ascii="Times New Roman" w:cs="Times New Roman" w:eastAsia="Times New Roman" w:hAnsi="Times New Roman"/>
          <w:sz w:val="18"/>
          <w:szCs w:val="18"/>
          <w:color w:val="auto"/>
        </w:rPr>
      </w:pPr>
    </w:p>
    <w:p>
      <w:pPr>
        <w:ind w:left="1180" w:hanging="421"/>
        <w:spacing w:after="0" w:line="270" w:lineRule="auto"/>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consumers’ trust and confidence level towards online retail in China, as well as changes in customer demographics and consumer tastes and preferences;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price and popularity of products as well as promotions that we and our competitors offer online;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alternative retail channels or business models that better address the needs of consumers emerge in China;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fulfillment, payment and other ancillary services associated with online purchases.</w:t>
      </w:r>
    </w:p>
    <w:p>
      <w:pPr>
        <w:spacing w:after="0" w:line="216" w:lineRule="exact"/>
        <w:rPr>
          <w:sz w:val="20"/>
          <w:szCs w:val="20"/>
          <w:color w:val="auto"/>
        </w:rPr>
      </w:pPr>
    </w:p>
    <w:p>
      <w:pPr>
        <w:ind w:left="240" w:right="240" w:firstLine="971"/>
        <w:spacing w:after="0" w:line="258" w:lineRule="auto"/>
        <w:rPr>
          <w:sz w:val="20"/>
          <w:szCs w:val="20"/>
          <w:color w:val="auto"/>
        </w:rPr>
      </w:pPr>
      <w:r>
        <w:rPr>
          <w:rFonts w:ascii="Times New Roman" w:cs="Times New Roman" w:eastAsia="Times New Roman" w:hAnsi="Times New Roman"/>
          <w:sz w:val="18"/>
          <w:szCs w:val="18"/>
          <w:color w:val="auto"/>
        </w:rPr>
        <w:t>A decline in the popularity of online shopping in general, or any failure by us to adapt our mobile apps and websites and to improve the online shopping experience of our customers in response to trends and consumer requirements, may adversely affect our net revenues and business prospects.</w:t>
      </w:r>
    </w:p>
    <w:p>
      <w:pPr>
        <w:spacing w:after="0" w:line="179" w:lineRule="exact"/>
        <w:rPr>
          <w:sz w:val="20"/>
          <w:szCs w:val="20"/>
          <w:color w:val="auto"/>
        </w:rPr>
      </w:pPr>
    </w:p>
    <w:p>
      <w:pPr>
        <w:ind w:left="240" w:right="40" w:firstLine="971"/>
        <w:spacing w:after="0" w:line="267" w:lineRule="auto"/>
        <w:rPr>
          <w:sz w:val="20"/>
          <w:szCs w:val="20"/>
          <w:color w:val="auto"/>
        </w:rPr>
      </w:pPr>
      <w:r>
        <w:rPr>
          <w:rFonts w:ascii="Times New Roman" w:cs="Times New Roman" w:eastAsia="Times New Roman" w:hAnsi="Times New Roman"/>
          <w:sz w:val="17"/>
          <w:szCs w:val="17"/>
          <w:color w:val="auto"/>
        </w:rPr>
        <w:t>Furthermore, the retail industry is very sensitive to macroeconomic changes, and retail purchases tend to decline during recessionary periods. The majority of our net revenues are derived from retail sales in China. Many factors outside of our control, including inflation and deflation, currency exchange rate fluctuation, volatility of stock and property markets, interest rates, tax rates and other government policies and unemployment rates can adversely affect consumer confidence and spending, which could in turn materially and adversely affect our growth and profitability. Unfavorable developments in domestic and international politics, including military conflicts, political turmoil and social instability, may also adversely affect consumer confidence and reduce spending, which could in turn materially and adversely affect our growth and profitability.</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Any harm to our JD brand or reputation may materially and adversely affect our business and results of operations.</w:t>
      </w:r>
    </w:p>
    <w:p>
      <w:pPr>
        <w:spacing w:after="0" w:line="128" w:lineRule="exact"/>
        <w:rPr>
          <w:sz w:val="20"/>
          <w:szCs w:val="20"/>
          <w:color w:val="auto"/>
        </w:rPr>
      </w:pPr>
    </w:p>
    <w:p>
      <w:pPr>
        <w:ind w:left="240" w:right="20" w:firstLine="971"/>
        <w:spacing w:after="0" w:line="219" w:lineRule="exact"/>
        <w:rPr>
          <w:sz w:val="20"/>
          <w:szCs w:val="20"/>
          <w:color w:val="auto"/>
        </w:rPr>
      </w:pPr>
      <w:r>
        <w:rPr>
          <w:rFonts w:ascii="Times New Roman" w:cs="Times New Roman" w:eastAsia="Times New Roman" w:hAnsi="Times New Roman"/>
          <w:sz w:val="18"/>
          <w:szCs w:val="18"/>
          <w:color w:val="auto"/>
        </w:rPr>
        <w:t>We believe that the recognition and reputation of our JD (</w:t>
      </w:r>
      <w:r>
        <w:rPr>
          <w:rFonts w:ascii="SimSun" w:cs="SimSun" w:eastAsia="SimSun" w:hAnsi="SimSun"/>
          <w:sz w:val="18"/>
          <w:szCs w:val="18"/>
          <w:color w:val="auto"/>
        </w:rPr>
        <w:t>京东</w:t>
      </w:r>
      <w:r>
        <w:rPr>
          <w:rFonts w:ascii="Times New Roman" w:cs="Times New Roman" w:eastAsia="Times New Roman" w:hAnsi="Times New Roman"/>
          <w:sz w:val="18"/>
          <w:szCs w:val="18"/>
          <w:color w:val="auto"/>
        </w:rPr>
        <w:t>) brand among our customers, suppliers and third-party merchants have contributed significantly to the growth and success of our business. Maintaining and enhancing the recognition and reputation of our brand are critical to our business and competitiveness. Many factors, some of which are beyond our control, are important to maintaining and enhancing our brand. These factors include our ability to:</w:t>
      </w:r>
    </w:p>
    <w:p>
      <w:pPr>
        <w:spacing w:after="0" w:line="103" w:lineRule="exact"/>
        <w:rPr>
          <w:sz w:val="20"/>
          <w:szCs w:val="20"/>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compelling shopping experience to customers;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popularity, attractiveness, diversity, quality and authenticity of the products we offer;</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efficiency, reliability and quality of our fulfillment services;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improve customers’ satisfaction with our after-sale services;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third-party merchants to provide satisfactory customer experience through our online marketplace;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 promotion activities; and</w:t>
      </w:r>
    </w:p>
    <w:p>
      <w:pPr>
        <w:spacing w:after="0" w:line="123" w:lineRule="exact"/>
        <w:rPr>
          <w:rFonts w:ascii="Times New Roman" w:cs="Times New Roman" w:eastAsia="Times New Roman" w:hAnsi="Times New Roman"/>
          <w:sz w:val="18"/>
          <w:szCs w:val="18"/>
          <w:color w:val="auto"/>
        </w:rPr>
      </w:pPr>
    </w:p>
    <w:p>
      <w:pPr>
        <w:ind w:left="1180" w:right="120" w:hanging="421"/>
        <w:spacing w:after="0" w:line="300" w:lineRule="auto"/>
        <w:tabs>
          <w:tab w:leader="none" w:pos="11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preserve our reputation and goodwill in the event of any negative publicity, including those on customer service, customer and supplier relationships, internet security, product quality, price or authenticity, or other issues affecting us or other online retail businesses in China.</w:t>
      </w:r>
    </w:p>
    <w:p>
      <w:pPr>
        <w:spacing w:after="0" w:line="146" w:lineRule="exact"/>
        <w:rPr>
          <w:sz w:val="20"/>
          <w:szCs w:val="20"/>
          <w:color w:val="auto"/>
        </w:rPr>
      </w:pPr>
    </w:p>
    <w:p>
      <w:pPr>
        <w:ind w:left="240" w:right="120" w:firstLine="971"/>
        <w:spacing w:after="0" w:line="250" w:lineRule="auto"/>
        <w:rPr>
          <w:sz w:val="20"/>
          <w:szCs w:val="20"/>
          <w:color w:val="auto"/>
        </w:rPr>
      </w:pPr>
      <w:r>
        <w:rPr>
          <w:rFonts w:ascii="Times New Roman" w:cs="Times New Roman" w:eastAsia="Times New Roman" w:hAnsi="Times New Roman"/>
          <w:sz w:val="18"/>
          <w:szCs w:val="18"/>
          <w:color w:val="auto"/>
        </w:rPr>
        <w:t>A public perception that non-authentic, counterfeit or defective goods are sold on our mobile apps and websites or that we or third-party service providers do not provide satisfactory customer service, even if factually incorrect or based on isolated incidents, could damage our reputation, diminish the value of our brand, undermine the trust and credibility we have established and have a negative impact on our ability to attract new customers or retain our current customers. If we are unable to maintain our reputation, enhance our brand recognition or increase positive awareness of our websites, products and services, as well as products sold by third-party merchants through our online marketplace, it may be difficult to maintain and grow our customer base, and our business and growth prospects may be materially and adversely affected.</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320" w:top="476"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60" w:firstLine="971"/>
        <w:spacing w:after="0" w:line="280" w:lineRule="auto"/>
        <w:rPr>
          <w:sz w:val="20"/>
          <w:szCs w:val="20"/>
          <w:color w:val="auto"/>
        </w:rPr>
      </w:pPr>
      <w:r>
        <w:rPr>
          <w:rFonts w:ascii="Times New Roman" w:cs="Times New Roman" w:eastAsia="Times New Roman" w:hAnsi="Times New Roman"/>
          <w:sz w:val="17"/>
          <w:szCs w:val="17"/>
          <w:color w:val="auto"/>
        </w:rPr>
        <w:t>Any actual or alleged illegal activities by our employees (including our senior management) could subject us to liability or negative publicity. These activities may also affect our employees’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264" w:lineRule="exact"/>
        <w:rPr>
          <w:sz w:val="20"/>
          <w:szCs w:val="20"/>
          <w:color w:val="auto"/>
        </w:rPr>
      </w:pPr>
    </w:p>
    <w:p>
      <w:pPr>
        <w:ind w:left="240" w:right="7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offer products that attract purchases from new and existing customers, our business, financial condition and results of operations may be materially and adversely affected.</w:t>
      </w:r>
    </w:p>
    <w:p>
      <w:pPr>
        <w:spacing w:after="0" w:line="5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Our future growth depends on our ability to continue to attract purchases from new customers and existing customers. Constantly changing consumer preferences have affected and will continue to affect the retail industry, in particular the online retail industry. We must stay abreast of emerging consumer preferences and anticipate product trends that will appeal to existing and potential customers. We have been making progress in leveraging artificial intelligence, or AI, technologies to generate personalized recommendations to customers for products in which they may be interested. Each product page typically has recommendations of similar products or other products that are often purchased together with that product. In addition, our mobile apps and websites make recommendations to customers according to a comprehensive dataset compiled based on customers’ shopping behavior. Our ability to make individually tailored recommendations is dependent on our business intelligence system, which tracks, collects and analyzes our users’ browsing and purchasing behavior, to provide accurate and reliable information. Our customers choose to purchase products on our mobile apps and websites due in part to the attractive prices that we offer, and they may choose to shop elsewhere if we cannot match the prices offered by other websites or by physical stores, or if we cannot maintain a steady supply of products they desire. If our customers cannot find their desired products on our mobile apps and websites at attractive prices, they may lose interest in us and visit our mobile apps and websites less frequently or even stop visiting our mobile apps and websites altogether, which in turn may materially and adversely affect our business, financial condition and results of operations.</w:t>
      </w:r>
    </w:p>
    <w:p>
      <w:pPr>
        <w:spacing w:after="0" w:line="294" w:lineRule="exact"/>
        <w:rPr>
          <w:sz w:val="20"/>
          <w:szCs w:val="20"/>
          <w:color w:val="auto"/>
        </w:rPr>
      </w:pPr>
    </w:p>
    <w:p>
      <w:pPr>
        <w:ind w:left="240" w:right="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our nationwide fulfillment infrastructure efficiently and effectively, our business prospects and results of operations may be materially and adversely affected.</w:t>
      </w:r>
    </w:p>
    <w:p>
      <w:pPr>
        <w:spacing w:after="0" w:line="58" w:lineRule="exact"/>
        <w:rPr>
          <w:sz w:val="20"/>
          <w:szCs w:val="20"/>
          <w:color w:val="auto"/>
        </w:rPr>
      </w:pPr>
    </w:p>
    <w:p>
      <w:pPr>
        <w:ind w:left="240" w:right="40" w:firstLine="971"/>
        <w:spacing w:after="0" w:line="246" w:lineRule="auto"/>
        <w:rPr>
          <w:sz w:val="20"/>
          <w:szCs w:val="20"/>
          <w:color w:val="auto"/>
        </w:rPr>
      </w:pPr>
      <w:r>
        <w:rPr>
          <w:rFonts w:ascii="Times New Roman" w:cs="Times New Roman" w:eastAsia="Times New Roman" w:hAnsi="Times New Roman"/>
          <w:sz w:val="18"/>
          <w:szCs w:val="18"/>
          <w:color w:val="auto"/>
        </w:rPr>
        <w:t>We believe that our own nationwide fulfillment infrastructure, consisting of strategically located warehouses and delivery and pickup stations, is essential to our success. As of December 31, 2025, our warehouse network covered almost all counties and districts across China, consisting of over 1,600 warehouses operated by us and over 2,000 cloud warehouses operated by third-party warehouse owner-operators under JD Logistics Open Warehouse Platform. As of December 31, 2025, our warehouse network had an aggregate gross floor area of over 34 million square meters, including the gross floor area of the cloud warehouses under JD Logistics Open Warehouse Platform. We are constructing our warehouses to increase our storage capacity and to restructure and reorganize our fulfillment workflow and processes. We also plan to continue the establishment of fulfillment facilities at additional locations, including those smaller and less developed areas, to further enhance our ability to deliver products to customers directly ourselves. As we continue to add fulfillment and warehouse capability and expand our reach to those smaller, less-developed areas, our fulfillment network becomes increasingly complex and challenging to operate. We cannot assure you that we will be able to acquire land use rights and set up warehouses, or lease suitable facilities for the delivery stations, on commercially acceptable terms or at all. Moreover, the order density in those smaller, less developed areas may not be sufficient to allow us to operate our own delivery network in a cost-efficient manner. We may not be able to recruit a sufficient number of qualified employees in connection with the expansion of our fulfillment infrastructure. In addition, the expansion of our fulfillment infrastructure may strain our managerial, financial, operational and other resources. If we fail to manage such expansion successfully, our growth potential, business and results of operations may be materially and adversely affected. Even if we manage the expansion of our fulfillment infrastructure successfully, it may not give us the competitive advantage that we expect if improved third-party fulfillment services become widely available at reasonable prices to retailers in China.</w:t>
      </w:r>
    </w:p>
    <w:p>
      <w:pPr>
        <w:spacing w:after="0" w:line="3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We may lose market share and customers if we fail to compete effectively.</w:t>
      </w:r>
    </w:p>
    <w:p>
      <w:pPr>
        <w:spacing w:after="0" w:line="114" w:lineRule="exact"/>
        <w:rPr>
          <w:sz w:val="20"/>
          <w:szCs w:val="20"/>
          <w:color w:val="auto"/>
        </w:rPr>
      </w:pPr>
    </w:p>
    <w:p>
      <w:pPr>
        <w:ind w:left="240" w:right="220" w:firstLine="971"/>
        <w:spacing w:after="0" w:line="267" w:lineRule="auto"/>
        <w:rPr>
          <w:sz w:val="20"/>
          <w:szCs w:val="20"/>
          <w:color w:val="auto"/>
        </w:rPr>
      </w:pPr>
      <w:r>
        <w:rPr>
          <w:rFonts w:ascii="Times New Roman" w:cs="Times New Roman" w:eastAsia="Times New Roman" w:hAnsi="Times New Roman"/>
          <w:sz w:val="17"/>
          <w:szCs w:val="17"/>
          <w:color w:val="auto"/>
        </w:rPr>
        <w:t>The retail industry in China, in particular the online retail industry, is intensely competitive. We compete for customers, orders, products and third-party merchants. Our current or potential competitors include major e-commerce companies in China that offer a wide range of general merchandise product categories, major traditional retailers in China that are moving into online retailing, online retail companies in China focused on specific product categories, and physical retail stores including big-box stores that also aim to offer a one-stop shopping experience. See “Item 4.B Information on the Company—Business Overview—Competition.” In addition, new and enhanced technologies may increase the competition in the retail industry. New competitive business models may appear, for example based on new forms of social media or social commerce.</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76"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Increased competition may reduce our margins and market share and impact brand recognition, or result in significant losses. When we set prices, we have to consider how competitors have set prices for the same or similar products. When they cut prices or offer additional benefits to compete with us, we may have to lower our own prices or offer additional benefits or risk losing market share, either of which could harm our financial condition and results of operations.</w:t>
      </w:r>
    </w:p>
    <w:p>
      <w:pPr>
        <w:spacing w:after="0" w:line="185" w:lineRule="exact"/>
        <w:rPr>
          <w:sz w:val="20"/>
          <w:szCs w:val="20"/>
          <w:color w:val="auto"/>
        </w:rPr>
      </w:pPr>
    </w:p>
    <w:p>
      <w:pPr>
        <w:ind w:left="240" w:right="140" w:firstLine="971"/>
        <w:spacing w:after="0" w:line="248" w:lineRule="auto"/>
        <w:rPr>
          <w:sz w:val="20"/>
          <w:szCs w:val="20"/>
          <w:color w:val="auto"/>
        </w:rPr>
      </w:pPr>
      <w:r>
        <w:rPr>
          <w:rFonts w:ascii="Times New Roman" w:cs="Times New Roman" w:eastAsia="Times New Roman" w:hAnsi="Times New Roman"/>
          <w:sz w:val="18"/>
          <w:szCs w:val="18"/>
          <w:color w:val="auto"/>
        </w:rPr>
        <w:t>Some of our current or future competitors may have longer operating histories, greater brand recognition, better supplier relationships, larger customer bases, higher penetration in certain regions or greater financial, technical or marketing resources than we do. Those smaller companies or new entrants may be acquired by, receive investment from or enter into strategic relationships with well-established and well-financed companies or investors which would help enhance their competitive positions. Some of our competitors may be able to secure more favorable terms from suppliers, devote greater resources to marketing and promotional campaigns, adopt more aggressive pricing or inventory policies and devote substantially more resources to their websites, mobile apps and systems development than us. We cannot assure you that we will be able to compete successfully against current or future competitors, and competitive pressures may have a material and adverse effect on our business, financial condition and results of operations.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product categories and substantial increase in the number of products may expose us to new challenges and more risks.</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Since our inception, we have expanded our product offerings to include a wide range of products including apparel and footwear, bags, watches, jewelry, household goods, cosmetics, personal care products, baby and maternity products, food and beverages, fresh produce, fitness equipment, autoparts, pharmaceutical products, nutritional supplements, healthcare equipment, industrial products, and books and virtual goods. Expansion into diverse new product categories and substantially increased number of products and stock keeping units involves new risks and challenges. Our lack of familiarity with new products and lack of relevant customer data relating to such products may make it more difficult for us to anticipate customer demand and preferences. We may misjudge customer demand, resulting in inventory buildup and possibly inventory write-down. It may also make it more difficult for us to inspect and control quality and ensure proper handling, storage and delivery in new product categories. We may experience higher return rates on new products, receive more customer complaints about them and face costly product liability claims as a result of selling them, which would harm our brand and reputation as well as our financial performance. Furthermore, we may not have much purchasing power in new categories of products and we may not be able to negotiate favorable terms with suppliers. We may need to price aggressively to gain market share or remain competitive in new categories. It may be difficult for us to achieve profitability in the new product categories and our profit margin, if any, may be lower than we anticipate, which would adversely affect our overall profitability and results of operations. We cannot assure you that we will be able to recoup our investments in introducing these new product categories.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manage our inventory effectively, our results of operations, financial condition and liquidity may be materially and adversely affected.</w:t>
      </w:r>
    </w:p>
    <w:p>
      <w:pPr>
        <w:spacing w:after="0" w:line="126"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Our scale and business model require us to manage a large volume of inventory effectively. We depend on our demand forecasts for various kinds of products to make purchase decisions and to manage our inventory. Demand for products, however, can change significantly between the time inventory is ordered and the date by which we target to sell it.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76"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As of December 31, 2023, 2024 and 2025, our net inventories amounted to RMB68,058 million, RMB89,326 million and</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RMB95,428 million (US$13,646 million), respectively. Our annual inventory turnover days were 30.3 days in 2023, 31.5 days in 2024, and 37.8 days in</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2025. Annual inventory turnover days are the quotient of average inventory over the immediately preceding five quarters, up to and including the last</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quarter of the annual period, to cost of revenues of retail business for that annual period, and then multiplied by 360 days. As we plan to continue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expanding our product offerings, we expect to include more products in our inventory, which will make it more challenging for us to manage our</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effectively and will put more pressure on our warehousing system.</w:t>
      </w:r>
    </w:p>
    <w:p>
      <w:pPr>
        <w:spacing w:after="0" w:line="199"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If we fail to manage our inventory effectively, we may be subject to a heightened risk of inventory obsolescence, a decline in inventory values, and significant inventory write-downs or write-offs. In addition, we may be required to lower sale prices in order to reduce inventory level,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85" w:lineRule="exact"/>
        <w:rPr>
          <w:sz w:val="20"/>
          <w:szCs w:val="20"/>
          <w:color w:val="auto"/>
        </w:rPr>
      </w:pPr>
    </w:p>
    <w:p>
      <w:pPr>
        <w:ind w:left="240" w:right="100" w:firstLine="971"/>
        <w:spacing w:after="0" w:line="258" w:lineRule="auto"/>
        <w:rPr>
          <w:sz w:val="20"/>
          <w:szCs w:val="20"/>
          <w:color w:val="auto"/>
        </w:rPr>
      </w:pPr>
      <w:r>
        <w:rPr>
          <w:rFonts w:ascii="Times New Roman" w:cs="Times New Roman" w:eastAsia="Times New Roman" w:hAnsi="Times New Roman"/>
          <w:sz w:val="18"/>
          <w:szCs w:val="18"/>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business and reputation.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profitability in the future.</w:t>
      </w:r>
    </w:p>
    <w:p>
      <w:pPr>
        <w:spacing w:after="0" w:line="114" w:lineRule="exact"/>
        <w:rPr>
          <w:sz w:val="20"/>
          <w:szCs w:val="20"/>
          <w:color w:val="auto"/>
        </w:rPr>
      </w:pPr>
    </w:p>
    <w:p>
      <w:pPr>
        <w:ind w:left="240" w:right="120" w:firstLine="971"/>
        <w:spacing w:after="0" w:line="248" w:lineRule="auto"/>
        <w:rPr>
          <w:sz w:val="20"/>
          <w:szCs w:val="20"/>
          <w:color w:val="auto"/>
        </w:rPr>
      </w:pPr>
      <w:r>
        <w:rPr>
          <w:rFonts w:ascii="Times New Roman" w:cs="Times New Roman" w:eastAsia="Times New Roman" w:hAnsi="Times New Roman"/>
          <w:sz w:val="18"/>
          <w:szCs w:val="18"/>
          <w:color w:val="auto"/>
        </w:rPr>
        <w:t>We generated net income of RMB23,257 million, RMB44,660 million and RMB23,142 million (US$3,309 million) in 2023, 2024 and 2025, respectively. However, we cannot assure you that we will be able to generate net income in the future. Our ability to achieve and maintain profitability depends in large part on our ability to increase our gross margin by obtaining more favorable terms from our suppliers as our business further grows in scale, managing our product mix, expanding our online marketplace and offering value-added services with higher margins. Our investment in new businesses, such as our strategic investment and increased spending in promotional efforts for new business initiatives in 2025, may continue to adversely affect our profitability in the near term. We also intend to continue to invest for the foreseeable future in our technology platform and fulfillment infrastructure to support an even larger selection of products and to offer additional value-added services. As a result of the foregoing, we may not be able to maintain our profitability in the future.</w:t>
      </w:r>
    </w:p>
    <w:p>
      <w:pPr>
        <w:spacing w:after="0" w:line="294" w:lineRule="exact"/>
        <w:rPr>
          <w:sz w:val="20"/>
          <w:szCs w:val="20"/>
          <w:color w:val="auto"/>
        </w:rPr>
      </w:pPr>
    </w:p>
    <w:p>
      <w:pPr>
        <w:ind w:left="240" w:right="6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58"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We have incurred significant expenses on a variety of different marketing and brand promotion efforts designed to enhance our brand recognition and increase sales of our products. Our brand promotion and marketing activities may not be well received by customers and may not result in the levels of product sales that we anticipate. We incurred RMB40,133 million, RMB47,953 million and RMB83,953 million (US$12,005 million) of marketing expenses, representing 3.7%, 4.1% and 6.4% of our total net revenues in 2023, 2024 and 2025, respectively. Marketing approaches and tools in the consumer products market in China are evolving. This further requires us to enhance our marketing approaches and experiment with new marketing methods to keep pace with industry developments and customer preferences. Failure to refine our existing marketing approaches or to introduce new marketing approaches in a cost-effective manner could reduce our market share, cause our net revenues to decline and negatively impact our profitability.</w:t>
      </w:r>
    </w:p>
    <w:p>
      <w:pPr>
        <w:spacing w:after="0" w:line="1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320" w:top="476" w:right="5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and expand our relationships with suppliers, or otherwise fail to procure products on favorable terms, our business and growth prospects may suffer.</w:t>
      </w:r>
    </w:p>
    <w:p>
      <w:pPr>
        <w:spacing w:after="0" w:line="58"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We source products from suppliers for our retail business. Our suppliers include domestic and cross-border manufacturers, distributors and resellers. Maintaining strong relationships with these suppliers is important to the growth of our business. In particular, we depend significantly on our ability to procure products from suppliers on favorable pricing terms. We typically enter into one-year framework agreements with suppliers on an annual basis, and these framework agreements do not ensure the availability of products or the continuation of particular pricing practices or payment terms beyond the end of the contractual term. In addition, our agreements with suppliers typically do not restrict the suppliers from selling products to other buyers. We cannot assure you that our current suppliers will continue to sell products to us on commercially acceptable terms, or at all, after the term of the current agreement expires. Even if we maintain good relationships with our suppliers, their ability to supply products to us in sufficient quantity and at competitive prices may be adversely affected by economic conditions, labor actions, regulatory or legal decisions, customs and import restrictions, natural disasters or other causes. In the event that we are not able to purchase merchandise at favorable prices, our revenues and cost of revenues may be materially and adversely affected. In the event any distributor or reseller does not have authority from the manufacturer to sell certain products to us, such distributor or reseller may cease selling such products to us at any time. In addition, our annual accounts payable turnover days for retail business were 53.2 days in 2023, 58.6 days in 2024 and 60.0 days in 2025, respectively. Annual accounts payable turnover days are the quotient of average accounts payable for retail business over the immediately preceding five quarters, up to and including the last quarter of the annual period, to cost of revenues of retail business for that annual period, and then multiplied by 360 days. If our suppliers cease to provide us with favorable payment terms, our requirements for working capital may increase and our operations may be materially and adversely affected. We will also need to establish new supplier relationships to ensure that we have access to a steady supply of products on favorable commercial terms. If we are unable to develop and maintain good relationships with suppliers that would allow us to obtain a sufficient amount and variety of authentic and quality merchandise on acceptable commercial terms, it may inhibit our ability to offer sufficient products sought by our customers, or to offer these products at competitive prices. Any adverse developments in our relationships with suppliers could materially and adversely affect our business and growth prospects. Any disputes with suppliers could adversely affect our reputation and subject us to damages and negative publicity. In addition, as part of our growth strategy, we plan to further expand our product offerings. If we fail to attract new suppliers to sell their products to us due to any reason, our business and growth prospects may be materially and adversely affected.</w:t>
      </w:r>
    </w:p>
    <w:p>
      <w:pPr>
        <w:spacing w:after="0" w:line="299" w:lineRule="exact"/>
        <w:rPr>
          <w:sz w:val="20"/>
          <w:szCs w:val="20"/>
          <w:color w:val="auto"/>
        </w:rPr>
      </w:pPr>
    </w:p>
    <w:p>
      <w:pPr>
        <w:ind w:left="240"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interruption in the operation of our regional fulfillment centers, front distribution centers, other additional warehouses, delivery stations or pickup stations for an extended period may have an adverse impact on our business.</w:t>
      </w:r>
    </w:p>
    <w:p>
      <w:pPr>
        <w:spacing w:after="0" w:line="58"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Our ability to process and fulfill orders accurately and provide high-quality customer service depends on the smooth and safe operation of our regional fulfillment centers, front distribution centers, other additional warehouses, and our delivery and pickup stations. Our fulfillment infrastructure may be vulnerable to damage caused by fire, flood, power outage, telecommunications failure, break-ins, earthquake, human error and other events. If any of our regional fulfillment centers were to operate at a lower capacity or rendered incapable of operations, then we may be unable to fulfill any orders in a timely manner or at all in any of the provinces that rely on that center. In addition, those events that could damage our fulfillment infrastructure, such as fire and flood, may also result in damages to our inventory stored in or delivered through our fulfillment infrastructure, and in such event, we would incur losses as a result. The occurrence of any of the foregoing risks could have a material adverse effect on our business, prospects, financial condition and results of operations.</w:t>
      </w:r>
    </w:p>
    <w:p>
      <w:pPr>
        <w:spacing w:after="0" w:line="193"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Safe operations are critical to us. Our operations of warehouses and delivery services are also subject to various laws and regulations on safety, such as the Work Safety Law which requires, among other things, that the production and operation entities in emerging industries and fields such as platform economy shall, based on the characteristics of their respective industries and fields, establish, improve and implement a responsibility system for the work safety of employees, as well as strengthen the education and training on work safety for employees. See “Item 4.B. Business Overview—Regulations—Regulations Relating to Product Quality, Consumer Protection and Operation Safety” for more details. If we fail to ensure safety in the operations of our fulfillment infrastructure or road transportation, we may suffer from the adverse impact of accidents happened in our workspace or in transit, which could result in personal injury and loss of property and subject us to fines, penalties or mandatory corrective measures imposed by government authorities for violation of laws and regulations on safety. The occurrence of such accidents could materially and adversely affect our business, reputation, financial condition and results of operations.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320" w:top="476"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recoup the investments we make to expand and upgrade our fulfillment and technology capabilities.</w:t>
      </w:r>
    </w:p>
    <w:p>
      <w:pPr>
        <w:spacing w:after="0" w:line="11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We have invested significant resources in expanding and will continue to expand our fulfillment infrastructure and upgrade our technology platform. We also paid significant amounts for upgrading our technology platform during the same periods. We expect to continue to invest in our fulfillment and technology capabilities for a number of years. We also intend to continue to add resources to our fulfillment infrastructure and upgrade our technology platform as we focus on expanding our product selection and offering new services. We are likely to recognize the costs associated with these investments earlier than some of the anticipated benefits, and the return on these investments may be lower, or may develop more slowly, than we expect. We may not be able to recover our capital expenditures or investments, in part or in full, or the recovery of these capital expenditures or investments may take longer than expected. As a result, the carrying value of the related assets may be subject to an impairment charge, which could adversely affect our financial condition and results of operation.</w:t>
      </w:r>
    </w:p>
    <w:p>
      <w:pPr>
        <w:spacing w:after="0" w:line="193" w:lineRule="exact"/>
        <w:rPr>
          <w:sz w:val="20"/>
          <w:szCs w:val="20"/>
          <w:color w:val="auto"/>
        </w:rPr>
      </w:pPr>
    </w:p>
    <w:p>
      <w:pPr>
        <w:ind w:left="240" w:right="240" w:firstLine="971"/>
        <w:spacing w:after="0" w:line="251" w:lineRule="auto"/>
        <w:rPr>
          <w:sz w:val="20"/>
          <w:szCs w:val="20"/>
          <w:color w:val="auto"/>
        </w:rPr>
      </w:pPr>
      <w:r>
        <w:rPr>
          <w:rFonts w:ascii="Times New Roman" w:cs="Times New Roman" w:eastAsia="Times New Roman" w:hAnsi="Times New Roman"/>
          <w:sz w:val="18"/>
          <w:szCs w:val="18"/>
          <w:color w:val="auto"/>
        </w:rPr>
        <w:t>Moreover, our heavy investment in building our own fulfillment infrastructure may put us at a competitive disadvantage against those competitors who primarily rely on third-party fulfillment services and focus their investment on improving other aspects of their businesses. We have designed our own fulfillment infrastructure to satisfy our business and operation requirements and to accommodate our fast growth, but there is no guarantee that we will be successful in meeting our objectives or that our own fulfillment structure will function more effectively and efficiently than third-party solutions.</w:t>
      </w:r>
    </w:p>
    <w:p>
      <w:pPr>
        <w:spacing w:after="0" w:line="288" w:lineRule="exact"/>
        <w:rPr>
          <w:sz w:val="20"/>
          <w:szCs w:val="20"/>
          <w:color w:val="auto"/>
        </w:rPr>
      </w:pPr>
    </w:p>
    <w:p>
      <w:pPr>
        <w:ind w:left="240"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use third-party couriers to deliver some orders, and our third-party merchants use couriers to deliver a significant number of orders. If these couriers fail to provide reliable delivery services, our business and reputation may be materially and adversely affected.</w:t>
      </w:r>
    </w:p>
    <w:p>
      <w:pPr>
        <w:spacing w:after="0" w:line="5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We maintain cooperation arrangements with a number of third-party couriers to deliver our products to our customers in those areas not covered by our own fulfillment infrastructure, particularly in smaller and less developed areas. We may also use third-party service providers to ship products from our regional fulfillment centers or front distribution centers to delivery stations or to deliver bulky item products. Third-party merchants also use third-party couriers if they do not make use of our delivery services. Interruptions to or failures in these third parties’ delivery services could prevent the timely or proper delivery of our products to customers. These interruptions may be due to events that are beyond our control or the control of these delivery companies, such as inclement weather, natural disasters, virus outbreaks, transportation disruptions or labor unrest. In addition, if our third-party couriers fail to comply with applicable rules and regulations in China, our delivery services may be materially and adversely affected. We may not be able to find alternative delivery companies to provide delivery services in a timely and reliable manner, or at all. Delivery of our products could also be affected or interrupted by the merger, acquisition, insolvency or government shut-down of the delivery companies we engage to make deliveries, especially those local companies with relatively small business scales. If our products are not delivered in proper condition or on a timely basis, our business and reputation may be materially and adversely affected.</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online marketplace is subject to risks associated with third-party merchants.</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We do not have as much control over the storage and delivery of products sold on our online marketplace as we do over the products that we sell directly ourselves. Many of our third-party merchants use their own facilities to store their products, and many of them use their own or third-party delivery systems to deliver their products to our customers, which makes it more difficult for us to ensure that our customers get the same high-quality service for all products sold on our mobile apps and websites. If any third-party merchant does not control the quality of the products that it sells on our mobile apps and websites, fails to timely deliver the products to customers, delivers products that are faulty or materially different from description, sells counterfeit or unlicensed products, or sells products without licenses or permits as required by the laws and regulations even though we have requested such licenses or permits in our standard form contract with the third-party merchant, the reputation of our online marketplace and our JD brand may be materially and adversely affected and we could face claims to hold us liable for the losses. Moreover, despite our efforts to prevent it, some products sold on our online marketplace may compete with the products we sell directly, which may cannibalize our online retail. In addition, the supplier relationships, customer acquisition dynamics and other requirements for our online marketplace may not be the same as those for our online retail operations, which may complicate the management of our business. In order for our online marketplace to be successful, we must continue to identify and attract third-party merchants, and we may not be successful in this regard.</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320" w:top="476" w:right="5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Failure to deal effectively with any fictitious transactions or other fraudulent conduct would materially and adversely affect our business, financial condition and results of operations.</w:t>
      </w:r>
    </w:p>
    <w:p>
      <w:pPr>
        <w:spacing w:after="0" w:line="58"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We may face risks with respect to fraudulent activities on our online marketplace. Although we have implemented various measures to detect and reduce the occurrence of fraudulent activities on our marketplace, there can be no assurance that such measures will be effective in combating fraudulent transactions or improving overall satisfaction among third-party merchants and customers. In addition to fraudulent transactions with legitimate customers, sellers may also engage in fictitious or “phantom” transactions with themselves or collaborators in order to artificially inflate their own ratings on our online marketplace, reputation and search results rankings. This activity may harm other sellers by enabling the perpetrating seller to be favored over legitimate sellers, and may harm our customers by deceiving them into believing that a seller is more reliable or trusted than the seller actually is. This activity may also result in inflated transaction volume from our online marketplace. Moreover, illegal, fraudulent or collusive activities by our employees, such as fraud, bribery or corruption, could also subject us to liability or negative publicity or cause losses. Although we have internal controls and policies with regard to the review and approval of sales activities and other relevant matters, we cannot assure you that such controls and policies will prevent fraud or illegal activity by our employees. For example, Dada announced on January 8, 2024 and March 5, 2024 that, during its routine internal audit process, certain suspicious practices were identified that may cast doubt on certain revenues from its online advertising and marketing services. See “—Strategic alliances, investments or acquisitions may have a material and adverse effect on our business, reputation, results of operations and financial condition.” Negative publicity and user sentiment generated as a result of actual or alleged fraudulent or deceptive conduct on our platform or by our employees would severely diminish consumer confidence in us, reduce our ability to attract new or retain current third-party merchants and customers, damage our reputation and diminish the value of our brand names, and materially and adversely affect our business, financial condition and results of operations.</w:t>
      </w:r>
    </w:p>
    <w:p>
      <w:pPr>
        <w:spacing w:after="0" w:line="303" w:lineRule="exact"/>
        <w:rPr>
          <w:sz w:val="20"/>
          <w:szCs w:val="20"/>
          <w:color w:val="auto"/>
        </w:rPr>
      </w:pPr>
    </w:p>
    <w:p>
      <w:pPr>
        <w:ind w:left="240" w:right="6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Strategic alliances, investments or acquisitions may have a material and adverse effect on our business, reputation, results of operations and financial condition.</w:t>
      </w:r>
    </w:p>
    <w:p>
      <w:pPr>
        <w:spacing w:after="0" w:line="58" w:lineRule="exact"/>
        <w:rPr>
          <w:sz w:val="20"/>
          <w:szCs w:val="20"/>
          <w:color w:val="auto"/>
        </w:rPr>
      </w:pPr>
    </w:p>
    <w:p>
      <w:pPr>
        <w:ind w:left="240" w:right="260" w:firstLine="971"/>
        <w:spacing w:after="0" w:line="250" w:lineRule="auto"/>
        <w:rPr>
          <w:sz w:val="20"/>
          <w:szCs w:val="20"/>
          <w:color w:val="auto"/>
        </w:rPr>
      </w:pPr>
      <w:r>
        <w:rPr>
          <w:rFonts w:ascii="Times New Roman" w:cs="Times New Roman" w:eastAsia="Times New Roman" w:hAnsi="Times New Roman"/>
          <w:sz w:val="18"/>
          <w:szCs w:val="18"/>
          <w:color w:val="auto"/>
        </w:rPr>
        <w:t>We may enter into strategic alliances with various third parties to facilitate the achievement of our business purposes from time to time. Strategic alliances with third parties could subject us to a number of risks, including risks associated with sharing proprietary information, non-performance by the counterparty, and an increase in expenses incurred in establishing new strategic alliances, any of which may materially and adversely affect our business. We may have little ability to control or monitor their actions. To the extent the third parties suffer negative publicity or harm to their reputations from events relating to their business, we may also suffer negative publicity or harm to our reputation by virtue of our association with such third parties.</w:t>
      </w:r>
    </w:p>
    <w:p>
      <w:pPr>
        <w:spacing w:after="0" w:line="187" w:lineRule="exact"/>
        <w:rPr>
          <w:sz w:val="20"/>
          <w:szCs w:val="20"/>
          <w:color w:val="auto"/>
        </w:rPr>
      </w:pPr>
    </w:p>
    <w:p>
      <w:pPr>
        <w:ind w:left="240" w:firstLine="971"/>
        <w:spacing w:after="0" w:line="270" w:lineRule="auto"/>
        <w:rPr>
          <w:sz w:val="20"/>
          <w:szCs w:val="20"/>
          <w:color w:val="auto"/>
        </w:rPr>
      </w:pPr>
      <w:r>
        <w:rPr>
          <w:rFonts w:ascii="Times New Roman" w:cs="Times New Roman" w:eastAsia="Times New Roman" w:hAnsi="Times New Roman"/>
          <w:sz w:val="18"/>
          <w:szCs w:val="18"/>
          <w:color w:val="auto"/>
        </w:rPr>
        <w:t>In addition, we have in the past invested in or acquired additional assets, technologies or businesses that are complementary to our existing business. Since 2023, such investments and acquisitions include:</w:t>
      </w:r>
    </w:p>
    <w:p>
      <w:pPr>
        <w:spacing w:after="0" w:line="76" w:lineRule="exact"/>
        <w:rPr>
          <w:sz w:val="20"/>
          <w:szCs w:val="20"/>
          <w:color w:val="auto"/>
        </w:rPr>
      </w:pPr>
    </w:p>
    <w:p>
      <w:pPr>
        <w:ind w:left="1620" w:right="240" w:hanging="424"/>
        <w:spacing w:after="0" w:line="258"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subsequent investments in and privatization of Dada Nexus Limited, or Dada, a leading local on-demand delivery and retail platform in China previously listed on Nasdaq, following our acquisition in 2022. We completed the privatization of Dada in June 2025;</w:t>
      </w:r>
    </w:p>
    <w:p>
      <w:pPr>
        <w:spacing w:after="0" w:line="85" w:lineRule="exact"/>
        <w:rPr>
          <w:rFonts w:ascii="Times New Roman" w:cs="Times New Roman" w:eastAsia="Times New Roman" w:hAnsi="Times New Roman"/>
          <w:sz w:val="18"/>
          <w:szCs w:val="18"/>
          <w:color w:val="auto"/>
        </w:rPr>
      </w:pPr>
    </w:p>
    <w:p>
      <w:pPr>
        <w:ind w:left="1620" w:right="540" w:hanging="424"/>
        <w:spacing w:after="0" w:line="300" w:lineRule="auto"/>
        <w:tabs>
          <w:tab w:leader="none" w:pos="1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subsequent investments in Kuayue-Express Group Co., LTD., or Kuayue-Express, a renowned modern integrated express transportation enterprise specializing in “limited-time express service” in China, following our acquisition in 2020; and</w:t>
      </w:r>
    </w:p>
    <w:p>
      <w:pPr>
        <w:spacing w:after="0" w:line="53" w:lineRule="exact"/>
        <w:rPr>
          <w:rFonts w:ascii="Times New Roman" w:cs="Times New Roman" w:eastAsia="Times New Roman" w:hAnsi="Times New Roman"/>
          <w:sz w:val="17"/>
          <w:szCs w:val="17"/>
          <w:color w:val="auto"/>
        </w:rPr>
      </w:pPr>
    </w:p>
    <w:p>
      <w:pPr>
        <w:ind w:left="1620" w:right="80" w:hanging="424"/>
        <w:spacing w:after="0" w:line="253"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subsequent investments in, and the privatization of, Deppon Logistics Co., Ltd, or Deppon, an integrated, customer-centered logistics company providing a wide range of solutions including Less-Than-Truckload (LTL) transportation, Full Truck Load (FTL) transportation, delivery services, and warehousing management previously listed on the Shanghai Stock Exchange, following our acquisition in 2022. We completed our privatization of Deppon in March 2026.</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320" w:top="476" w:right="5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500" w:firstLine="971"/>
        <w:spacing w:after="0" w:line="253" w:lineRule="auto"/>
        <w:rPr>
          <w:sz w:val="20"/>
          <w:szCs w:val="20"/>
          <w:color w:val="auto"/>
        </w:rPr>
      </w:pPr>
      <w:r>
        <w:rPr>
          <w:rFonts w:ascii="Times New Roman" w:cs="Times New Roman" w:eastAsia="Times New Roman" w:hAnsi="Times New Roman"/>
          <w:sz w:val="18"/>
          <w:szCs w:val="18"/>
          <w:color w:val="auto"/>
        </w:rPr>
        <w:t>See “Item 4.A. Information on the Company—History and Development of the Company—Our Major Investments.” We expect to continue to evaluate and consider a wide array of potential strategic transactions as part of our overall business strategy, including business combinations, acquisitions and dispositions of businesses, technologies, services, products and other assets, as well as strategic investments, joint ventures and alliances.</w:t>
      </w:r>
    </w:p>
    <w:p>
      <w:pPr>
        <w:spacing w:after="0" w:line="185"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If we are presented with appropriate opportunities, we may continue to do so in the future. Investments or acquisitions and the subsequent integration of new assets and businesses into our own would require significant attention from our management and could result in a diversion of resources from our existing business, which in turn could have an adverse effect on our business operations. The costs of identifying and consummating investments and acquisitions may be significant. We may also incur significant expenses in obtaining necessary approvals from government authorities in China and elsewhere in the world. In addition, investments and acquisitions could result in the use of substantial amounts of cash, potentially dilutive issuances of equity securities and exposure to potential unknown liabilities of the acquired business. The cost and duration of integrating newly acquired businesses could also materially exceed our expectations. Any such negative developments could have a material adverse effect on our business, financial condition and results of operations.</w:t>
      </w:r>
    </w:p>
    <w:p>
      <w:pPr>
        <w:spacing w:after="0" w:line="193" w:lineRule="exact"/>
        <w:rPr>
          <w:sz w:val="20"/>
          <w:szCs w:val="20"/>
          <w:color w:val="auto"/>
        </w:rPr>
      </w:pPr>
    </w:p>
    <w:p>
      <w:pPr>
        <w:ind w:left="240" w:right="60" w:firstLine="971"/>
        <w:spacing w:after="0" w:line="247" w:lineRule="auto"/>
        <w:rPr>
          <w:sz w:val="20"/>
          <w:szCs w:val="20"/>
          <w:color w:val="auto"/>
        </w:rPr>
      </w:pPr>
      <w:r>
        <w:rPr>
          <w:rFonts w:ascii="Times New Roman" w:cs="Times New Roman" w:eastAsia="Times New Roman" w:hAnsi="Times New Roman"/>
          <w:sz w:val="18"/>
          <w:szCs w:val="18"/>
          <w:color w:val="auto"/>
        </w:rPr>
        <w:t>Our financial results could be adversely affected by our investments or acquisitions. The investments and acquired assets or businesses may not generate the financial results we expect. They could result in occurrence of significant investments and goodwill impairment charges, and amortization expenses for other intangible assets. As of December 31, 2025, we had net intangible assets of RMB7.7 billion (US$1.1 billion) and goodwill of RMB26.3 billion (US$3.8 billion). In the event that a decline in fair value below the carrying value of our equity method investments is other-than-temporary, or the carrying amount of a reporting unit to which goodwill is allocated exceeds its fair value, we may have to record actual or potential impairment charges of investments in equity investees or intangible assets and goodwill recorded in connection with invested businesses. We may not always be able to receive gains from the equity method investments. If the investments that we account for using the equity method were in a loss position, we would pick up their loss in our consolidated statement of operations. We may continue to incur impairment charges in connection with our investments or acquisitions and pick up the losses by our equity investments, which could depress our profitability and have a material adverse impact on our financial results. We measure long-term investments other than equity method investments at fair value through earnings, which could vary significantly year to year. We recorded a loss of RMB0.9 billion in 2023, and we recorded gains of RMB1.4 billion and RMB0.4 billion (US$0.1 billion) resulting from the fair value change in long-term investments in 2024 and 2025, respectively.</w:t>
      </w:r>
    </w:p>
    <w:p>
      <w:pPr>
        <w:spacing w:after="0" w:line="193" w:lineRule="exact"/>
        <w:rPr>
          <w:sz w:val="20"/>
          <w:szCs w:val="20"/>
          <w:color w:val="auto"/>
        </w:rPr>
      </w:pPr>
    </w:p>
    <w:p>
      <w:pPr>
        <w:ind w:left="240" w:right="80" w:firstLine="971"/>
        <w:spacing w:after="0" w:line="247" w:lineRule="auto"/>
        <w:rPr>
          <w:sz w:val="20"/>
          <w:szCs w:val="20"/>
          <w:color w:val="auto"/>
        </w:rPr>
      </w:pPr>
      <w:r>
        <w:rPr>
          <w:rFonts w:ascii="Times New Roman" w:cs="Times New Roman" w:eastAsia="Times New Roman" w:hAnsi="Times New Roman"/>
          <w:sz w:val="18"/>
          <w:szCs w:val="18"/>
          <w:color w:val="auto"/>
        </w:rPr>
        <w:t xml:space="preserve">In addition, we may be subject to risks associated with actual or alleged fictitious transactions or other fraudulent conduct, as well as non-compliant actions, by any company we acquire or invest in. We may have limited experience in these acquired business or investments, and these acquired companies or investees may not adopt our protocols and policies appropriately. As such, we cannot assure you that our protocols and policies will prevent these fraudulent conducts or non-compliant actions. These and other risks could also lead to negative publicity, litigation, government inquiries, investigations or actions against the companies we invest in or acquire, or even against our other businesses, and may force us to incur significant additional expenses and allocate significant management and human resources to rectify or improve these companies’ corporate governance standards or internal controls and systems. For example, Dada announced on January 8, 2024 and March 5, 2024 that, during its routine internal audit process, certain suspicious practices were identified that may cast doubt on certain revenues from its online advertising and marketing services. In response, the audit committee of Dada’s board of directors, with the assistance of independent professional advisers, initiated an independent review, which was substantially completed in March 2024. On January 10, 2024, Dada and certain of its former executives were named as defendants in a putative securities class action in the U.S. District Court for the Central District of California. Plaintiff alleges that the defendants made misleading statements or omissions regarding Dada’s business operations and financials. Dada and other parties involved in the class action under the caption </w:t>
      </w:r>
      <w:r>
        <w:rPr>
          <w:rFonts w:ascii="Times New Roman" w:cs="Times New Roman" w:eastAsia="Times New Roman" w:hAnsi="Times New Roman"/>
          <w:sz w:val="18"/>
          <w:szCs w:val="18"/>
          <w:i w:val="1"/>
          <w:iCs w:val="1"/>
          <w:color w:val="auto"/>
        </w:rPr>
        <w:t>Yan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Wang v. Dada Nexus Limited et al</w:t>
      </w:r>
      <w:r>
        <w:rPr>
          <w:rFonts w:ascii="Times New Roman" w:cs="Times New Roman" w:eastAsia="Times New Roman" w:hAnsi="Times New Roman"/>
          <w:sz w:val="18"/>
          <w:szCs w:val="18"/>
          <w:color w:val="auto"/>
        </w:rPr>
        <w:t>, No. 2:22-cv-00239, including JD.com, Inc., reached a settlement that was granted final approval by the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2025.</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320" w:top="476" w:right="5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regulatory and/or administrative proceedings.</w:t>
      </w:r>
    </w:p>
    <w:p>
      <w:pPr>
        <w:spacing w:after="0" w:line="114" w:lineRule="exact"/>
        <w:rPr>
          <w:sz w:val="20"/>
          <w:szCs w:val="20"/>
          <w:color w:val="auto"/>
        </w:rPr>
      </w:pPr>
    </w:p>
    <w:p>
      <w:pPr>
        <w:ind w:left="240" w:firstLine="971"/>
        <w:spacing w:after="0" w:line="267" w:lineRule="auto"/>
        <w:rPr>
          <w:sz w:val="20"/>
          <w:szCs w:val="20"/>
          <w:color w:val="auto"/>
        </w:rPr>
      </w:pPr>
      <w:r>
        <w:rPr>
          <w:rFonts w:ascii="Times New Roman" w:cs="Times New Roman" w:eastAsia="Times New Roman" w:hAnsi="Times New Roman"/>
          <w:sz w:val="17"/>
          <w:szCs w:val="17"/>
          <w:color w:val="auto"/>
        </w:rPr>
        <w:t>We may be subject to litigation and regulatory proceedings inside and outside China relating to matters such as third-party and principal intellectual property infringement claims, contract disputes involving third-party merchants and consumers on our platforms, consumer protection claims, claims relating to antimonopoly or anti-unfair competition laws, claims relating to data and privacy protection, employment related cases, cross-border payment and settlement disputes, internet advertising and other matters in the ordinary course of our business. As we routinely enter into business contracts with our suppliers, third-party merchants and consumers on our platform, we have been and may continue to be involved in legal proceedings arising from contract disputes or other civil disputes, including being named as a co-defendant in lawsuits filed against our suppliers by third parties.</w:t>
      </w:r>
    </w:p>
    <w:p>
      <w:pPr>
        <w:spacing w:after="0" w:line="176" w:lineRule="exact"/>
        <w:rPr>
          <w:sz w:val="20"/>
          <w:szCs w:val="20"/>
          <w:color w:val="auto"/>
        </w:rPr>
      </w:pPr>
    </w:p>
    <w:p>
      <w:pPr>
        <w:jc w:val="both"/>
        <w:ind w:left="240" w:right="400" w:firstLine="971"/>
        <w:spacing w:after="0" w:line="280" w:lineRule="auto"/>
        <w:rPr>
          <w:sz w:val="20"/>
          <w:szCs w:val="20"/>
          <w:color w:val="auto"/>
        </w:rPr>
      </w:pPr>
      <w:r>
        <w:rPr>
          <w:rFonts w:ascii="Times New Roman" w:cs="Times New Roman" w:eastAsia="Times New Roman" w:hAnsi="Times New Roman"/>
          <w:sz w:val="17"/>
          <w:szCs w:val="17"/>
          <w:color w:val="auto"/>
        </w:rPr>
        <w:t>We anticipate that we will continue to be subject to legal, regulatory and/or administrative proceedings in the future incidental to our ordinary course of business. There can be no assurance that we will be able to prevail in our defense or reverse any unfavorable judgment, ruling or decision against us. In addition, we may decide to enter into settlements that may adversely affect our results of operations and financial condition.</w:t>
      </w:r>
    </w:p>
    <w:p>
      <w:pPr>
        <w:spacing w:after="0" w:line="162"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As our business expands, including into new business areas and across jurisdictions, we may encounter a variety of these proceedings, including those brought against us pursuant to anti-monopoly or unfair competitions laws or involving higher amounts of alleged damages. Laws, rules and regulations may vary in their scope and overseas laws and regulations may impose requirements that are more stringent than, or which conflict with, those in China. We have acquired and may acquire companies that may become subject to litigation, as well as regulatory proceedings. In addition, in connection with litigation or regulatory proceedings we may be subject to in various jurisdictions, we may be prohibited by laws, regulations or government authorities in one jurisdiction from complying with subpoenas, orders or other requests from courts or regulators of other jurisdictions, including those relating to data held in or with respect to persons in these jurisdictions. Our failure or inability to comply with the subpoenas, orders or requests could subject us to fines, penalties or other legal liability, which could have a material adverse effect on our reputation, business, results of operations and the trading price of our Class A ordinary shares and/or ADSs.</w:t>
      </w:r>
    </w:p>
    <w:p>
      <w:pPr>
        <w:spacing w:after="0" w:line="190"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As publicly-listed companies, we and our publicly-listed subsidiaries may face additional exposure to claims and lawsuits, including securities law class actions, other federal securities law litigation and regulatory inquiries and investigations. We and our publicly-listed subsidiaries will need to defend against these actions, including any appeals should our initial defense be successful. The litigation process may utilize a material portion of our cash resources and divert management’s attention away from the day-to-day operations of our company, all of which could harm our business. There can be no assurance that we will prevail in any of these cases, and any adverse outcome of these cases could have a material adverse effect on our reputation, business and results of operations. In addition, although we have obtained directors’ and officers’ liability insurance, the insurance coverage may not be adequate to cover our obligations to indemnify our directors and officers, fund a settlement of litigation in excess of insurance coverage or pay an adverse judgment in litigation. Certain of our directors may be subject to alleged class actions due to their current or previous directorships in other listed companies. Our directors and executive officers may also face litigation or proceedings (including alleged or future securities class action) unrelated to their respective capacity as a director or executive officer of our company, and such litigation or proceedings may adversely affect our public image and reputation.</w:t>
      </w:r>
    </w:p>
    <w:p>
      <w:pPr>
        <w:spacing w:after="0" w:line="195" w:lineRule="exact"/>
        <w:rPr>
          <w:sz w:val="20"/>
          <w:szCs w:val="20"/>
          <w:color w:val="auto"/>
        </w:rPr>
      </w:pPr>
    </w:p>
    <w:p>
      <w:pPr>
        <w:ind w:left="240" w:right="40" w:firstLine="971"/>
        <w:spacing w:after="0" w:line="269" w:lineRule="auto"/>
        <w:rPr>
          <w:sz w:val="20"/>
          <w:szCs w:val="20"/>
          <w:color w:val="auto"/>
        </w:rPr>
      </w:pPr>
      <w:r>
        <w:rPr>
          <w:rFonts w:ascii="Times New Roman" w:cs="Times New Roman" w:eastAsia="Times New Roman" w:hAnsi="Times New Roman"/>
          <w:sz w:val="17"/>
          <w:szCs w:val="17"/>
          <w:color w:val="auto"/>
        </w:rPr>
        <w:t>The existence of litigation, claims, investigations and proceedings may harm our reputation, limit our ability to conduct our business in the affected areas and adversely affect the trading price of our Class A ordinary shares and/or ADSs. 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litigation, investigation or proceeding could cause us to pay damages, incur legal and other costs, limit our ability to conduct business or require us to change the manner in which we operate.</w:t>
      </w:r>
    </w:p>
    <w:p>
      <w:pPr>
        <w:spacing w:after="0" w:line="1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76"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58"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Our success heavily depends upon the continued services of our management. In particular, we rely on the expertise and experience of Mr. Richard Qiangdong Liu, our chairman, and our executive officers. If one or more of our senior managements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customers, suppliers, know-how and key professionals and staff members. Our senior management has entered into employment agreements and confidentiality and non-competition agreements with us. However, if any dispute arises between our officers and us, we may have to incur substantial costs and expenses in order to enforce such agreements in China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278" w:lineRule="exact"/>
        <w:rPr>
          <w:sz w:val="20"/>
          <w:szCs w:val="20"/>
          <w:color w:val="auto"/>
        </w:rPr>
      </w:pPr>
    </w:p>
    <w:p>
      <w:pPr>
        <w:ind w:left="240" w:right="5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58" w:lineRule="exact"/>
        <w:rPr>
          <w:sz w:val="20"/>
          <w:szCs w:val="20"/>
          <w:color w:val="auto"/>
        </w:rPr>
      </w:pPr>
    </w:p>
    <w:p>
      <w:pPr>
        <w:ind w:left="240" w:right="20" w:firstLine="971"/>
        <w:spacing w:after="0" w:line="246" w:lineRule="auto"/>
        <w:rPr>
          <w:sz w:val="20"/>
          <w:szCs w:val="20"/>
          <w:color w:val="auto"/>
        </w:rPr>
      </w:pPr>
      <w:r>
        <w:rPr>
          <w:rFonts w:ascii="Times New Roman" w:cs="Times New Roman" w:eastAsia="Times New Roman" w:hAnsi="Times New Roman"/>
          <w:sz w:val="18"/>
          <w:szCs w:val="18"/>
          <w:color w:val="auto"/>
        </w:rPr>
        <w:t>Our future success depends, to a significant extent, on our ability to recruit, train and retain qualified personnel, particularly technical, fulfillment, marketing and other operational personnel with experience. Our experienced mid-level managers are instrumental in implementing our business strategies, executing our business plans and supporting our business operations and growth. The effective operation of our managerial and operating systems, fulfillment infrastructure, customer service center and other back office functions also depends on the hard work and quality performance of our management and employees. Since our industry is characterized by high demand and intense competition for talent and labor, we can provide no assurance that we will be able to attract or retain qualified staff or other highly skilled employees that we will need to achieve our strategic objectives. Failure to obtain stable and dedicated warehousing, delivery personnel and other labor support may lead to underperformance of these functions and cause disruption to our business. Because we operate our own fulfillment infrastructure, which requires a large and rapidly growing work force, our cost structure is more vulnerable to labor costs than that of many of our competitors, which may put us at a competitive disadvantage. Therefore, to maintain and enhance our competitiveness, we may from time to time need to adjust certain elements of our operations in response to evolving economic conditions and business needs. These adjustments, however, may not be sufficient to allow us to address the various challenges we face or improve our results of operations and financial performance as expected. Furthermore, if the compensation package offered is not competitive in the market, we may not be able to provide sufficient incentives to or maintain stable and dedicated warehousing, delivery personnel and other labor support. Any failure to address these risks and uncertainties could materially and adversely affect our results of operations and financial performance and our prospects of achieving profitability. In addition, our ability to train and integrate new employees into our operations may also be limited and may not meet the demand for our business growth on a timely fashion, or at all, and rapid expansion may impair our ability to maintain our corporate culture.</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our subsidiaries that are stand-alone public companies.</w:t>
      </w:r>
    </w:p>
    <w:p>
      <w:pPr>
        <w:spacing w:after="0" w:line="114"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Certain of our subsidiaries have become stand-alone public companies. On December 8, 2020, shares of JD Health, our consolidated subsidiary, commenced trading on the Main Board of the Hong Kong Stock Exchange under the stock code “6618.” On May 28, 2021, shares of JD Logistics, our consolidated subsidiary, commenced trading on the Main Board of the Hong Kong Stock Exchange under the stock code “2618.” On December 11, 2025, shares of JD Industrials, our consolidated subsidiary, commenced trading on the Main Board of the Hong Kong Stock Exchange under the stock code “7618.” On January 26, 2026, JD Property, through its joint sponsors, submitted a listing application form (Form A1) to the Hong Kong Stock Exchange to apply for the listing of, and permission to deal in, its shares on the Main Board of the Hong Kong Stock Exchange. There is no assurance as to whether or when the proposed listing may take place.</w:t>
      </w:r>
    </w:p>
    <w:p>
      <w:pPr>
        <w:spacing w:after="0" w:line="1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320" w:top="476"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We currently offer different types of support to JD Health, JD Logistics, JD Industrials and JD Property to facilitate the marketing and implementation of their services. We have entered into and may, in the future, enter into various transactions and agreements with these subsidiaries. JD Health, JD Logistics and JD Industrials have, and JD Property is expected to have after it becomes a stand-alone public company in Hong Kong, their respective audit committee, each consisting of independent non-executive directors, to review and approve all proposed connected transactions as defined in the listing rules of the Hong Kong Stock Exchange, including any transactions between us and any of these subsidiaries, as applicable. We have an audit committee, consisting of independent directors, to review and approve all material related party transactions, including any material transactions between us and any of these subsidiaries, as applicable. We believe that the transactions and agreements that we have entered into with these subsidiaries are on terms that are negotiated on an arm’s length basis.</w:t>
      </w:r>
    </w:p>
    <w:p>
      <w:pPr>
        <w:spacing w:after="0" w:line="193" w:lineRule="exact"/>
        <w:rPr>
          <w:sz w:val="20"/>
          <w:szCs w:val="20"/>
          <w:color w:val="auto"/>
        </w:rPr>
      </w:pPr>
    </w:p>
    <w:p>
      <w:pPr>
        <w:ind w:left="240" w:right="40" w:firstLine="971"/>
        <w:spacing w:after="0" w:line="247" w:lineRule="auto"/>
        <w:rPr>
          <w:sz w:val="20"/>
          <w:szCs w:val="20"/>
          <w:color w:val="auto"/>
        </w:rPr>
      </w:pPr>
      <w:r>
        <w:rPr>
          <w:rFonts w:ascii="Times New Roman" w:cs="Times New Roman" w:eastAsia="Times New Roman" w:hAnsi="Times New Roman"/>
          <w:sz w:val="18"/>
          <w:szCs w:val="18"/>
          <w:color w:val="auto"/>
        </w:rPr>
        <w:t>In addition, we may acquire or invest in publicly traded companies from time to time. On July 26, 2022, JD Logistics completed the acquisition of more than 50% equity interest in Deppon, a Shanghai Stock Exchange-listed company and an integrated, customer-centered logistics company providing a wide range of solutions including Less-Than-Truckload (LTL) transportation, Full Truck Load (FTL) transportation, delivery services, and warehousing management. As a result, Deppon became a subsidiary of JD Logistics, and its financial results, except for that of certain excluded business, have been consolidated into JD Logistics’s consolidated financial statements. On January 13, 2026, Deppon announced a voluntary delisting from the Shanghai Stock Exchange, which was approved by the Shanghai Stock Exchange in March 2026. The shares of Deppon were delisted from the Shanghai Stock Exchange on March 31, 2026. In addition, on September 1, 2025, we published a takeover offer to all shareholders of CECONOMY AG (“CECONOMY”) (XETRA:CEC), a leading consumer electronics retailer in Europe listed on the Frankfurt Stock Exchange. Following the additional acceptance period of the takeover offer ended on November 27, 2025, we secured 59.8% of the share capital and voting rights of CECONOMY. The closing of the transaction remains subject to customary regulatory clearances, and we expect to consolidate its financial results after closing.</w:t>
      </w:r>
    </w:p>
    <w:p>
      <w:pPr>
        <w:spacing w:after="0" w:line="195" w:lineRule="exact"/>
        <w:rPr>
          <w:sz w:val="20"/>
          <w:szCs w:val="20"/>
          <w:color w:val="auto"/>
        </w:rPr>
      </w:pPr>
    </w:p>
    <w:p>
      <w:pPr>
        <w:ind w:left="240" w:firstLine="971"/>
        <w:spacing w:after="0" w:line="267" w:lineRule="auto"/>
        <w:rPr>
          <w:sz w:val="20"/>
          <w:szCs w:val="20"/>
          <w:color w:val="auto"/>
        </w:rPr>
      </w:pPr>
      <w:r>
        <w:rPr>
          <w:rFonts w:ascii="Times New Roman" w:cs="Times New Roman" w:eastAsia="Times New Roman" w:hAnsi="Times New Roman"/>
          <w:sz w:val="17"/>
          <w:szCs w:val="17"/>
          <w:color w:val="auto"/>
        </w:rPr>
        <w:t>However, as we remain a controlling shareholder of these stand-alone public companies, we may from time to time make strategic decisions that we believe are in the best interests of our business and shareholders as a whole, which may create conflicts of interest with these companies, such as resolution of any dispute arising from the agreements, allocation of business opportunities, and employee recruiting and retention between us and these companies. We may not be able to resolve all potential misalignments in interests with these public companies and the existence of such misalignments in interests may affect the results of operation of these companies, which may, in turn, affect our results of operations as a whole. The conflicts of interest described above may also arise when we acquire or invest in other publicly traded companies from time to time.</w:t>
      </w:r>
    </w:p>
    <w:p>
      <w:pPr>
        <w:spacing w:after="0" w:line="277" w:lineRule="exact"/>
        <w:rPr>
          <w:sz w:val="20"/>
          <w:szCs w:val="20"/>
          <w:color w:val="auto"/>
        </w:rPr>
      </w:pPr>
    </w:p>
    <w:p>
      <w:pPr>
        <w:ind w:left="240"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liability or become subject to administrative penalties for counterfeit or unauthorized products sold on our mobile apps and websites, or for products sold on our mobile apps and websites or content posted on our mobile apps and websites that infringe on third-party intellectual property rights, or for other misconduct.</w:t>
      </w:r>
    </w:p>
    <w:p>
      <w:pPr>
        <w:spacing w:after="0" w:line="72"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We sourced our products from a large number of suppliers. Third-party merchants on our online marketplace are separately responsible for sourcing the products they sell on our mobile apps and websites. Although we have adopted measures to verify the authenticity and authorization of products sold on our mobile apps and websites and avoid potential infringement of third-party intellectual property rights in the course of sourcing and selling products, we may not always be successful. As part of our cross-border e-commerce business, we source products outside of China and allow overseas brands or partners to sell their products through our online marketplace, which could make it more difficult for us to verify the authenticity and authorization of products sold.</w:t>
      </w:r>
    </w:p>
    <w:p>
      <w:pPr>
        <w:spacing w:after="0" w:line="187" w:lineRule="exact"/>
        <w:rPr>
          <w:sz w:val="20"/>
          <w:szCs w:val="20"/>
          <w:color w:val="auto"/>
        </w:rPr>
      </w:pPr>
    </w:p>
    <w:p>
      <w:pPr>
        <w:ind w:left="240" w:right="100" w:firstLine="971"/>
        <w:spacing w:after="0" w:line="248" w:lineRule="auto"/>
        <w:rPr>
          <w:sz w:val="20"/>
          <w:szCs w:val="20"/>
          <w:color w:val="auto"/>
        </w:rPr>
      </w:pPr>
      <w:r>
        <w:rPr>
          <w:rFonts w:ascii="Times New Roman" w:cs="Times New Roman" w:eastAsia="Times New Roman" w:hAnsi="Times New Roman"/>
          <w:sz w:val="18"/>
          <w:szCs w:val="18"/>
          <w:color w:val="auto"/>
        </w:rPr>
        <w:t>In the event that counterfeit, unauthorized or infringing products are sold on our mobile apps and websites or infringing content is posted on our mobile apps and websites, we could face claims that we should be held liable. We have in the past received claims alleging our infringement of third parties’ rights. Irrespective of the validity of such claims, we could incur significant costs and efforts in either defending against or settling such claims. If there is a successful claim against us, we might be required to pay substantial damages or refrain from further sale of the products. Potential liability under PRC law if we negligently participated or assisted in infringement activities associated with counterfeit goods includes injunctions to cease infringing activities, rectification, compensation, administrative penalties and even criminal liability. Moreover, such third-party claims or administrative penalties could result in negative publicity and our reputation could be severely damaged. Any of these events could have a material and adverse effect on our business, results of operations or financial condition.</w:t>
      </w: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320" w:top="476" w:right="5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Under our standard form agreements, we require suppliers or third-party merchants to indemnify us for any losses we suffer or any costs that we incur due to any products we source from these suppliers or any products sold by these third-party merchants. However, not all of our agreements with suppliers and third-party merchants have such terms, and for those agreements that have such terms, we may not be able to successfully enforce our contractual rights and may need to initiate costly and lengthy legal proceedings in China to protect our rights. See “—Risks Related to Doing Business in China— We may be adversely affected by the complexity, uncertainties and changes in PRC regulation of internet-related business and companies such as e-commerce business and internet platforms.”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114"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The products sold by us through our online retail business may be defective. As a result, sales of such products could expose us to product liability claims relating to personal injury or property damage and may require product recalls or other actions. Third parties subject to such injury or damage may bring claims or legal proceedings against us as the retailer of the product. Although we would have legal recourse against the manufacturer of such products under PRC law, attempting to enforce our rights against the manufacturer may be expensive, time-consuming and ultimately futile. In addition, we generally do not maintain any third-party liability insurance or product liability insurance in relation to products we sell.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w:t>
      </w:r>
    </w:p>
    <w:p>
      <w:pPr>
        <w:spacing w:after="0" w:line="294" w:lineRule="exact"/>
        <w:rPr>
          <w:sz w:val="20"/>
          <w:szCs w:val="20"/>
          <w:color w:val="auto"/>
        </w:rPr>
      </w:pPr>
    </w:p>
    <w:p>
      <w:pPr>
        <w:ind w:left="240" w:right="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JD Logistics may need to raise more capital, which could dilute our equity stake or impose debt service obligations on JD Logistics, if such capital is available at all.</w:t>
      </w:r>
    </w:p>
    <w:p>
      <w:pPr>
        <w:spacing w:after="0" w:line="58"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In April 2017, we opened up our fulfillment infrastructure to third-parties and established a new business group, JD Logistics, to provide integrated supply chain solutions and logistics services to third-party businesses across a wide range of industries. JD Logistics has experienced rapid growth since its inception and has raised capital in both private and public share offerings. On May 28, 2021, shares of JD Logistics commenced trading on the Main Board of the Hong Kong Stock Exchange under the stock code “2618.” As of December 31, 2025, we hold approximately 63% of the outstanding shares of JD Logistics. The development of a logistics business is capital intensive, and JD Logistics may require additional capital resources in the future. JD Logistics may seek to obtain a credit facility or sell additional equity or debt securities. The sale of additional equity securities could result in dilution of our equity stake in JD Logistics, and the investors may have a strategy or objectives different from ours with respect to JD Logistics or impose conditions that could restrict the operations of JD Logistics. The incurrence of indebtedness would result in increased debt service obligations and could result in operating and financial covenants that would restrict its operations. It is uncertain whether financing will be available in amounts or on terms acceptable, if at all.</w:t>
      </w:r>
    </w:p>
    <w:p>
      <w:pPr>
        <w:spacing w:after="0" w:line="290"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platform is essential to our business. Any failure to maintain the satisfactory performance of our websites, mobile apps and systems could materially and adversely affect our business and reputation.</w:t>
      </w:r>
    </w:p>
    <w:p>
      <w:pPr>
        <w:spacing w:after="0" w:line="58"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technology platform are critical to our success and our ability to attract and retain customers and provide quality customer service. Almost all of our sales of products are made online through our mobile apps and websites, and the fulfillment services we provide to third-party merchants are related to sales of their products through our mobile apps and websites. Any system interruptions caused by telecommunications failures, computer viruses, hacking or other attempts to harm our systems that result in the unavailability or slowdown of our mobile apps and websites or reduced order fulfillment performance could reduce the volume of products sold and the attractiveness of product offerings on our mobile apps and websites.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Because of our brand recognition in the online retail industry in China, we believe we are a particularly attractive target for such attacks. We have experienced in the past, and may experience in the future, such attacks and unexpected interruptions. We can provide no assurance that our current security mechanisms will be sufficient to protect our IT systems from any third-party intrusions, viruses or hacker attacks, information or data theft or other similar activities. Any such future occurrences could reduce customer satisfaction, damage our reputation and result in a material decrease in our revenue.</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320" w:top="476" w:right="5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Additionally, we must continue to upgrade and improve our technology platform to support our business growth, and failure to do so could impede our growth. However, we cannot assure you that we will be successful in executing these system upgrades and improvement strategies or when the execution of these system upgrades and improvement strategies will be effective. In particular, our systems may experience interruptions during upgrades, and the new technologies or infrastructures may not be fully integrated with the existing systems on a timely basis, or at all. In addition, we experience surges in online traffic and orders associated with promotional activities and holiday seasons, such as June 18 and November 11, which can put additional demands on our technology platform at specific times. If our existing or future technology platform does not function properly, it could cause system disruptions and slow response times, affecting data transmission, which in turn could materially and adversely affect our business, financial condition and results of operations.</w:t>
      </w:r>
    </w:p>
    <w:p>
      <w:pPr>
        <w:spacing w:after="0" w:line="294" w:lineRule="exact"/>
        <w:rPr>
          <w:sz w:val="20"/>
          <w:szCs w:val="20"/>
          <w:color w:val="auto"/>
        </w:rPr>
      </w:pPr>
    </w:p>
    <w:p>
      <w:pPr>
        <w:ind w:left="240" w:right="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deficiencies in China’s internet infrastructure could impair our ability to sell products over our mobile apps and websites, which could cause us to lose customers and harm our operating results.</w:t>
      </w:r>
    </w:p>
    <w:p>
      <w:pPr>
        <w:spacing w:after="0" w:line="58"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Almost all of our sales of products are made online through our mobile apps and websites, and the fulfillment services we provide to third-party merchants are related to sales of their products through our mobile apps and websites. Our business depends on the performance and reliability of the internet infrastructure in China. The availability of our mobile apps and websites depends on telecommunications carriers and other third-party providers for communications and storage capacity, including bandwidth and server storage, among other things. If we are unable to enter into and renew agreements with these providers on acceptable terms, or if any of our existing agreements with such providers are terminated as a result of our breach or otherwise, our ability to provide our services to our customers could be adversely affected. Almost all access to the internet in China is maintained through state-owned telecommunication carriers under administrative control, and we obtain access to end-user networks operated by such telecommunications carriers and internet service providers to give customers access to our mobile apps and websites. We have experienced service interruptions in the past, which were typically caused by service interruptions at the underlying external telecommunications service providers, such as the internet data centers and broadband carriers from which we receive services. Service interruptions prevent consumers from accessing our mobile apps and websites and placing orders, and frequent interruptions could frustrate customers and discourage them from attempting to place orders, which could cause us to lose customers and harm our operating results.</w:t>
      </w:r>
    </w:p>
    <w:p>
      <w:pPr>
        <w:spacing w:after="0" w:line="295" w:lineRule="exact"/>
        <w:rPr>
          <w:sz w:val="20"/>
          <w:szCs w:val="20"/>
          <w:color w:val="auto"/>
        </w:rPr>
      </w:pPr>
    </w:p>
    <w:p>
      <w:pPr>
        <w:ind w:left="240" w:right="4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websites, mobile apps and systems to changing customer requirements or emerging industry standards, or if our efforts to invest in the development of new technologies are unsuccessful or ineffective, our business may be materially and adversely affected.</w:t>
      </w:r>
    </w:p>
    <w:p>
      <w:pPr>
        <w:spacing w:after="0" w:line="7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responsiveness, functionality and features of our mobile apps and websites. The industries we operate in are characterized by rapid technological evolution, changes in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such as mobile internet, in a cost-effective and timely way. In recent years, we invested in the development of many new technologies and business initiatives, such as AI, big data and cloud.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customer requirements or emerging industry standards. If we are unable to develop technologies successfully or adapt in a cost-effective and timely manner in response to changing market conditions or customer requirements, whether for technical, legal, financial or other reasons, our business, prospects, financial condition and results of operations may be materially and adversely affected.</w:t>
      </w:r>
    </w:p>
    <w:p>
      <w:pPr>
        <w:spacing w:after="0" w:line="1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320" w:top="476"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4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Customer growth and activity on mobile devices depends upon effective use of mobile operating systems, networks and standards that we do not control.</w:t>
      </w:r>
    </w:p>
    <w:p>
      <w:pPr>
        <w:spacing w:after="0" w:line="5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A significant portion of the purchases made by our customers are through mobile devices. To optimize the mobile shopping experience, we are somewhat dependent on our customers downloading our specific mobile apps for their particular devices as opposed to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development, support and maintenance of such applications. In addition, our future growth and our results of operations could suffer if we experience difficulties in the future in integrating our mobile apps into mobile devices or if problems arise with our relationships with providers of mobile operating systems or mobile app download stores, if our apps receive unfavorable treatment compared to competing apps on the download stores, or if we face increased costs to distribute or have customers use our mobile apps. We are further dependent on the interoperability of our sites with popular mobile operating systems that we do not control, such as iOS and Android, and any changes in such systems that degrade the functionality of our sites or give preferential treatment to competitive products could adversely affect the usage of our sites on mobile devices. In the event that it is more difficult for our customers to access and use our sites on their mobile devices, or if our customers choose not to access or to use our sites on their mobile devices or to use mobile products that do not offer access to our sites, our customer growth could be harmed and our business, financial condition and operating results may be adversely affected.</w:t>
      </w:r>
    </w:p>
    <w:p>
      <w:pPr>
        <w:spacing w:after="0" w:line="294" w:lineRule="exact"/>
        <w:rPr>
          <w:sz w:val="20"/>
          <w:szCs w:val="20"/>
          <w:color w:val="auto"/>
        </w:rPr>
      </w:pPr>
    </w:p>
    <w:p>
      <w:pPr>
        <w:ind w:left="240"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confidential information of our customers and network against security breaches could damage our reputation and brand and substantially harm our business and results of operations.</w:t>
      </w:r>
    </w:p>
    <w:p>
      <w:pPr>
        <w:spacing w:after="0" w:line="58" w:lineRule="exact"/>
        <w:rPr>
          <w:sz w:val="20"/>
          <w:szCs w:val="20"/>
          <w:color w:val="auto"/>
        </w:rPr>
      </w:pPr>
    </w:p>
    <w:p>
      <w:pPr>
        <w:ind w:left="240" w:right="40" w:firstLine="971"/>
        <w:spacing w:after="0" w:line="264" w:lineRule="auto"/>
        <w:rPr>
          <w:sz w:val="20"/>
          <w:szCs w:val="20"/>
          <w:color w:val="auto"/>
        </w:rPr>
      </w:pPr>
      <w:r>
        <w:rPr>
          <w:rFonts w:ascii="Times New Roman" w:cs="Times New Roman" w:eastAsia="Times New Roman" w:hAnsi="Times New Roman"/>
          <w:sz w:val="17"/>
          <w:szCs w:val="17"/>
          <w:color w:val="auto"/>
        </w:rPr>
        <w:t>A significant challenge to the online retail industry is the secure storage of confidential information and its secure transmission over public networks. Almost all of the orders and some of the payments for products we offer are made through our websites and our mobile apps. In addition, some online payments for our products are settled through third-party online payment services. We also share certain personal information about our customers with third-party couriers, such as their names, addresses, phone numbers and transaction records. In addition, with the rapid development of our AI, big data and cloud technologies and services, we have accumulated a large volume of data, which covers customer’s browsing and consumption behavior information, product manufacturing and sales information, warehousing and distribution information, customer service information, among others. We also formed strategic partnerships with some leading mobile internet companies to leverage their powerful big data resources, massive user bases and AI-driven technologies. Maintaining complete security for the storage and transmission of confidential information on our technology platform is essential to maintaining our operating efficiency and customer confidence as well as complying with the applicable laws and standards.</w:t>
      </w:r>
    </w:p>
    <w:p>
      <w:pPr>
        <w:spacing w:after="0" w:line="180" w:lineRule="exact"/>
        <w:rPr>
          <w:sz w:val="20"/>
          <w:szCs w:val="20"/>
          <w:color w:val="auto"/>
        </w:rPr>
      </w:pPr>
    </w:p>
    <w:p>
      <w:pPr>
        <w:ind w:left="240" w:right="20" w:firstLine="971"/>
        <w:spacing w:after="0" w:line="262" w:lineRule="auto"/>
        <w:rPr>
          <w:sz w:val="20"/>
          <w:szCs w:val="20"/>
          <w:color w:val="auto"/>
        </w:rPr>
      </w:pPr>
      <w:r>
        <w:rPr>
          <w:rFonts w:ascii="Times New Roman" w:cs="Times New Roman" w:eastAsia="Times New Roman" w:hAnsi="Times New Roman"/>
          <w:sz w:val="17"/>
          <w:szCs w:val="17"/>
          <w:color w:val="auto"/>
        </w:rPr>
        <w:t>We have adopted security policies and measures, including encryption technology, to protect our proprietary data and customer information. However, advances in technology, the expertise of hackers, improper use or sharing of data, new discoveries in the field of cryptography or other events or developments could result in a compromise or breach of the technology that we use to protect confidential information. We may not be able to prevent third parties, especially hackers or other individuals or entities engaging in similar activities, from illegally obtaining such confidential or private information we hold as a result of our customers’ visits to our websites and use of our mobile apps. Such individuals or entities obtaining our customers’ confidential or private information may further engage in various other illegal activities using such information. In addition, we have limited control or influence over the security policies or measures adopted by business partners including strategic partners or third-party providers of online payment services through which some of our customers may choose to make payment for purchases. The third-party couriers we use may also violate their confidentiality obligations and disclose or use information about our customers illegally. Any negative publicity on our websites’ or mobile apps’ safety or privacy protection mechanisms and policies, and any claims asserted against us or fines imposed upon us as a result of actual or perceived failures, could have a material and adverse effect on our public image, reputation, financial condition and results of operations. We have experienced breaches of our information security measures in the past due to external causes beyond our control, such as a leak of user account information from the China Software Developer Network in 2011, although none of the past breaches individually or in the aggregate was material to our business or operations. We cannot assure you that similar events will not occur in the future. If we give third parties greater access to our technology platform in the future as part of providing more technology services to third-party merchants and others, it may become more challenging for us to ensure the security of our systems. Any compromise of our information security or the information security measures of our third-party couriers or third-party online payment service providers or other business partners could have a material and adverse effect on our reputation, business, prospects, financial condition and results of operations. Practices regarding the collection, use, storage, transmission and security of personal information by companies operating over the internet and mobile platforms are under increased public scrutiny.</w:t>
      </w:r>
    </w:p>
    <w:p>
      <w:pPr>
        <w:spacing w:after="0" w:line="3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76"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Chinese and international laws and regulations regarding data privacy and cybersecurity.</w:t>
      </w:r>
    </w:p>
    <w:p>
      <w:pPr>
        <w:spacing w:after="0" w:line="114" w:lineRule="exact"/>
        <w:rPr>
          <w:sz w:val="20"/>
          <w:szCs w:val="20"/>
          <w:color w:val="auto"/>
        </w:rPr>
      </w:pPr>
    </w:p>
    <w:p>
      <w:pPr>
        <w:ind w:left="240" w:right="280" w:firstLine="971"/>
        <w:spacing w:after="0" w:line="258" w:lineRule="auto"/>
        <w:rPr>
          <w:sz w:val="20"/>
          <w:szCs w:val="20"/>
          <w:color w:val="auto"/>
        </w:rPr>
      </w:pPr>
      <w:r>
        <w:rPr>
          <w:rFonts w:ascii="Times New Roman" w:cs="Times New Roman" w:eastAsia="Times New Roman" w:hAnsi="Times New Roman"/>
          <w:sz w:val="18"/>
          <w:szCs w:val="18"/>
          <w:color w:val="auto"/>
        </w:rPr>
        <w:t>As the regulations regarding data privacy and cybersecurity are quickly evolving in China and globally, we may become subject to new laws and regulations applying to the solicitation, collection, processing or use of personal or consumer information that could affect how we store, process and share data with our customers, suppliers and third-party merchants.</w:t>
      </w:r>
    </w:p>
    <w:p>
      <w:pPr>
        <w:spacing w:after="0" w:line="179" w:lineRule="exact"/>
        <w:rPr>
          <w:sz w:val="20"/>
          <w:szCs w:val="20"/>
          <w:color w:val="auto"/>
        </w:rPr>
      </w:pPr>
    </w:p>
    <w:p>
      <w:pPr>
        <w:ind w:left="240" w:right="100" w:firstLine="971"/>
        <w:spacing w:after="0" w:line="247"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promulgated the PRC Data Security Law, which took effect in September 2021. The Data Security Law, among others, provides for a security review procedure for the data activities that may affect national security. Furthermore, the Cybersecurity Review Measures (2020), which became effective on June 1, 2020, set forth the cybersecurity review mechanism for critical information infrastructure operators, and provided that critical information infrastructure operators who intend to purchase internet products and services that affect or may affect national security shall be subject to a cybersecurity review. 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In addition, the administration departments for each critical industry and sector shall be responsible to formulate eligibility criteria and determine the critical information infrastructure operator in the respective industry or sector. Furthermore, the exact scope of “critical information infrastructure operators” under the current regulatory regime remains unclear, and the PRC government authorities may have wide discretion in the interpretation and enforcement of these laws. Therefore, it is uncertain whether we would be deemed as a critical information infrastructure operator under PRC law.</w:t>
      </w:r>
    </w:p>
    <w:p>
      <w:pPr>
        <w:spacing w:after="0" w:line="190" w:lineRule="exact"/>
        <w:rPr>
          <w:sz w:val="20"/>
          <w:szCs w:val="20"/>
          <w:color w:val="auto"/>
        </w:rPr>
      </w:pPr>
    </w:p>
    <w:p>
      <w:pPr>
        <w:ind w:left="240" w:right="200" w:firstLine="971"/>
        <w:spacing w:after="0" w:line="248"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or NDRC, the Ministry of Industry and Information Technology, or MIIT, and several other PRC government authorities jointly issued the Cybersecurity Review Measures, which took effect on February 15, 2022 and replaced the Cybersecurity Review Measures (2020). Such Measures further restate and expand the applicable scope of the cybersecurity review.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Since the Cybersecurity Review Measures are relatively new and provide no further explanation or interpretation on the determination of “affecting national security,” there remain uncertainties as to whether our data processing activities may be deemed to affect national security.</w:t>
      </w:r>
    </w:p>
    <w:p>
      <w:pPr>
        <w:spacing w:after="0" w:line="193"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If we are deemed as a critical information infrastructure operator under the PRC cybersecurity laws and regulations, we must fulfill certain obligations as required under the PRC cybersecurity laws and regulations, including, among others, storing personal information and important data collected and produced within the PRC territory during our operations in China, which we have fulfilled in our business, and we may be subject to review when purchasing internet products and services.</w:t>
      </w:r>
    </w:p>
    <w:p>
      <w:pPr>
        <w:spacing w:after="0" w:line="185" w:lineRule="exact"/>
        <w:rPr>
          <w:sz w:val="20"/>
          <w:szCs w:val="20"/>
          <w:color w:val="auto"/>
        </w:rPr>
      </w:pPr>
    </w:p>
    <w:p>
      <w:pPr>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Further, the Cybersecurity Review Measures stipulate that network platform operators holding personal information of over one million users must apply to the Cybersecurity Review Office for a cybersecurity review before public offering on a foreign stock exchange. Although our securities have been listed on the Nasdaq Global Select Market and the Hong Kong Stock Exchange, given the Cybersecurity Review Measures are relatively new, there are uncertainties as to the interpretation, application, and enforcement of the Cybersecurity Review Measures and how it will affect our business.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476"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On July 7, 2022, the CAC promulgated the Security Assessment Measures for Outbound Data Transfer, which became effective on September 1, 2022. These measures provide for the circumstances under which a data processor shall be subject to security assessment. We have applied to CAC for security assessment of outbound data transfer according to these measures.</w:t>
      </w:r>
    </w:p>
    <w:p>
      <w:pPr>
        <w:spacing w:after="0" w:line="179"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On September 24, 2024, the State Council published the Administrative Measures for Internet Data Security, which provides that the network data handlers shall be subject to national security review if their network data handling activities affect or may affect national security. See “Item 4.B. Information on the Company—Business Overview—Regulation—Regulations Relating to Information Security” for details. As of the date of this annual report, we have not been involved in any formal investigations on cybersecurity review made by the CAC or other regulatory authorities based on the Administrative Measures for Internet Data Security. However, if we are not able to comply with the cybersecurity and network data security requirements in a timely manner, or at all, we may be subject to government enforcement actions and investigations, fines, penalties, suspension of our non-compliant operations, or removal of our app from the application stores, among other sanctions, which could materially and adversely affect our business and results of operations. In addition to the cybersecurity review, the Administrative Measures for Internet Data Security, requires that data processors processing “important data” shall conduct an annual risk assessment each year, and submit the assessment report to the relevant competent authorities at or above the provincial level.</w:t>
      </w:r>
    </w:p>
    <w:p>
      <w:pPr>
        <w:spacing w:after="0" w:line="188" w:lineRule="exact"/>
        <w:rPr>
          <w:sz w:val="20"/>
          <w:szCs w:val="20"/>
          <w:color w:val="auto"/>
        </w:rPr>
      </w:pPr>
    </w:p>
    <w:p>
      <w:pPr>
        <w:ind w:left="240" w:right="100" w:firstLine="971"/>
        <w:spacing w:after="0" w:line="249" w:lineRule="auto"/>
        <w:rPr>
          <w:sz w:val="20"/>
          <w:szCs w:val="20"/>
          <w:color w:val="auto"/>
        </w:rPr>
      </w:pPr>
      <w:r>
        <w:rPr>
          <w:rFonts w:ascii="Times New Roman" w:cs="Times New Roman" w:eastAsia="Times New Roman" w:hAnsi="Times New Roman"/>
          <w:sz w:val="18"/>
          <w:szCs w:val="18"/>
          <w:color w:val="auto"/>
        </w:rPr>
        <w:t>As advised by our PRC legal counsel, we are not required to file an application for the cybersecurity review by CAC for our previous issuance of securities to foreign investors as of the date of this annual report because (i) the regulations do not require data processors which process personal information of over one million users to file a supplementary application of cybersecurity review for their previous issuance of securities to foreign investors that occurred before the effective date of such regulations; and (ii) our securities have already been listed on the Nasdaq Global Select Market and the Hong Kong Stock Exchange before such regulations became effective. Thus, our PRC legal counsel does not expect that, as of the date of this annual report, we are required to file an application for the cybersecurity review by CAC for our previous issuance of securities to foreign investors.</w:t>
      </w:r>
    </w:p>
    <w:p>
      <w:pPr>
        <w:spacing w:after="0" w:line="189" w:lineRule="exact"/>
        <w:rPr>
          <w:sz w:val="20"/>
          <w:szCs w:val="20"/>
          <w:color w:val="auto"/>
        </w:rPr>
      </w:pPr>
    </w:p>
    <w:p>
      <w:pPr>
        <w:ind w:left="240" w:right="160" w:firstLine="971"/>
        <w:spacing w:after="0" w:line="264" w:lineRule="auto"/>
        <w:rPr>
          <w:sz w:val="20"/>
          <w:szCs w:val="20"/>
          <w:color w:val="auto"/>
        </w:rPr>
      </w:pPr>
      <w:r>
        <w:rPr>
          <w:rFonts w:ascii="Times New Roman" w:cs="Times New Roman" w:eastAsia="Times New Roman" w:hAnsi="Times New Roman"/>
          <w:sz w:val="17"/>
          <w:szCs w:val="17"/>
          <w:color w:val="auto"/>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Our mobile apps and websites only collect basic user personal information that is necessary to provide the corresponding services. We do not collect any sensitive personal information or other excessive personal information that is not related to the corresponding services. We update our privacy policies from time to time to meet the latest regulatory requirements of the CAC and other authorities and adopt technical measures to protect data and ensure cybersecurity in a systematic way. Nonetheless, the Personal Information Protection Law raises the protection requirements for processing personal information, and many specific requirements of the Personal Information Protection Law remain to be clarified by the CAC, other regulatory authorities, and courts in practice. We may be required to make further adjustments to our business practices to comply with the personal information protection laws and regulations. See “Item 4.B. Information on the Company—Business Overview—Regulations.”</w:t>
      </w:r>
    </w:p>
    <w:p>
      <w:pPr>
        <w:spacing w:after="0" w:line="180"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These laws and regulations and the PRC Civil Code (which took effect on January 1, 2021 and also includes certain data-related rules) are subject to interpretation by the regulators. Although we only gain access to user information that is necessary for, and relevant to, the services provided, the data we obtain and use may include information that is deemed as “personal information,” “network data” or “important data” under the PRC Cyber Security Law, the Civil Code and related data privacy and protection laws and regulations. As such, we have adopted a series of measures to ensure that we comply with the laws and regulations in the collection, use, disclosure, sharing, storage, and security of user information and other data. The Data Security Law also stipulates that the authorities will formulate the catalogs for important data and strengthen the protection of important data, and state core data, i.e. data having a bearing on national security, the lifelines of national economy, people’s key livelihood and major public interests, shall be subject to stricter management system. “Information on the Company—Business Overview—Regulations.” The exact scopes of important data and state core data remain unclear and may be subject to further interpretation. If any data that we are in possession of constitutes important data or state core data, we may be required to adopt stricter measures for protection and management of such data.</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320" w:top="476"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In addition, we may need to comply with increasingly complex and rigorous regulatory standards enacted to protect business and personal data in the U.S., Europe, Hong Kong and elsewhere. For example, the European Union adopted the General Data Protection Regulation, which became effective on May 25, 2018. The General Data Protection Regulation imposes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General Data Protection Regulation) and regulations can be costly; any failure to comply with these regulatory standards could subject us to legal and reputational risks. In addition, to the extent we have accessed personal data in Hong Kong in our operations, such as retail business, we have been in compliance with the laws and regulations in Hong Kong regarding data security, such as the Personal Data (Privacy) Ordinance and the Unsolicited Electronic Messages Ordinance which impose protocols and obligations regarding the handling of personal data including that, among other things, (i) personal data shall be collected for a lawful purpose, necessary and not excessive, (ii) personal data shall be collected by means that are lawful and fair in the circumstances of the case, and (iii) the person from whom personal data is collected is informed of the purpose of collecting the data. We believe that the laws and regulations in Hong Kong regarding data security do not have a material impact on our business as of the date of this annual report. However, to the extent that certain laws and regulations in Hong Kong were to result in additional oversight over data security that impacts our business in Hong Kong, we may be required to incur additional cost to ensure our compliance to such laws and regulations, and any violation could result in a material adverse impact on our business, reputation and results of operations.</w:t>
      </w:r>
    </w:p>
    <w:p>
      <w:pPr>
        <w:spacing w:after="0" w:line="189"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We generally comply with industry standards and are subject to the terms of our own privacy policies.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authorities or other authorities, damage to our reputation and credibility and could have a negative impact on revenues and profits.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wide variety of payment methods that we accept subjects us to third-party payment processing-related risks.</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We accept payments using a variety of methods, including payment on delivery, bank transfers, online payments through various third-party online payment platforms such as Weixin Pay, UnionPay and JD Pay. For certain payment methods, we pay interchange and other fees, which may increase over time and raise our operating costs and lower our profit margins. We may also be subject to fraud and other illegal activities in connection with the various payment methods we offer, including online payment and cash on delivery options. Although we deliver a majority of the orders directly to customers ourselves, we use third-party couriers during peak seasons to supplement our delivery force. Given some customers choose the cash-on-delivery option when they place their orders online, the delivery personnel of our third-party couriers collect payments on our behalf, and we require the third-party couriers to remit the payment collected to us on the following day. If these companies fail to remit the payment collected to us in a timely fashion or at all, if they become unwilling or unable to provide these services to us, or if their service quality deteriorates, our business could be disrupted. We are also subject to various rules, regulations and requirements governing electronic funds transfers, both in China and globally, which could change or be reinterpreted to make it difficult or impossible for us to comply with.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financial condition and results of operations could be materially and adversely affected.</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delivery, return and exchange policies may materially and adversely affect our results of operations.</w:t>
      </w:r>
    </w:p>
    <w:p>
      <w:pPr>
        <w:spacing w:after="0" w:line="114" w:lineRule="exact"/>
        <w:rPr>
          <w:sz w:val="20"/>
          <w:szCs w:val="20"/>
          <w:color w:val="auto"/>
        </w:rPr>
      </w:pPr>
    </w:p>
    <w:p>
      <w:pPr>
        <w:ind w:left="240" w:right="120" w:firstLine="971"/>
        <w:spacing w:after="0" w:line="263" w:lineRule="auto"/>
        <w:rPr>
          <w:sz w:val="20"/>
          <w:szCs w:val="20"/>
          <w:color w:val="auto"/>
        </w:rPr>
      </w:pPr>
      <w:r>
        <w:rPr>
          <w:rFonts w:ascii="Times New Roman" w:cs="Times New Roman" w:eastAsia="Times New Roman" w:hAnsi="Times New Roman"/>
          <w:sz w:val="17"/>
          <w:szCs w:val="17"/>
          <w:color w:val="auto"/>
        </w:rPr>
        <w:t>We have adopted shipping policies that do not necessarily pass the full cost of shipping on to our customers. We also have adopted customer-friendly return and exchange policies that make it convenient and easy for customers to change their minds after completing purchases. We may also be required by law to adopt new or amend existing return and exchange policies from time to time. For example, pursuant to the amended Consumer Protection Law, which became effective in March 2014, except for certain types of products, such as custom-made goods, fresh and perishable goods, consumers are generally entitled to return the products purchased within seven days upon receipt without giving any reasons when they purchase the products from business operators on the internet. See “Item 4.B. Information on the Company—Business Overview—Regulation— Regulations Relating to Product Quality, Consumer Protection and Operation Safety.” These policies improve customers’ shopping experience and promote customer loyalty, which in turn help us acquire and retain customers. However, these policies also subject us to additional costs and expenses which we may not recoup through increased revenue. Our ability to handle a large volume of returns is unproven. If our return and exchange policy is misused by a significant number of customers, our costs may increase significantly and our results of operations may be materially and adversely affected. If we revise these policies to reduce our costs and expenses, our customers may be dissatisfied, which may result in loss of existing customers or failure to acquire new customers at a desirable pace, which may materially and adversely affect our results of operations.</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320" w:top="476" w:right="5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4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offline fresh food markets operated under our 7FRESH brand rely heavily on sales of perishable products, and ordering errors or product supply disruptions may have an adverse impact on its profitability and operating results.</w:t>
      </w:r>
    </w:p>
    <w:p>
      <w:pPr>
        <w:spacing w:after="0" w:line="58"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Our offline fresh food markets rely on various suppliers and vendors to provide and deliver our perishable product inventory promptly on an ongoing basis. We could suffer significant product inventory losses in the event of the loss of a major supplier or vendor, disruption of our distribution network, extended power outages, natural disasters or other catastrophic occurrences. We have implemented certain systems to ensure our ordering is in line with demand. We cannot assure you, however, that our ordering system will always work efficiently, in particular in connection with the opening of new stores, which have no, or a limited, ordering history. If we were to over-order, we could suffer inventory losses, which would negatively impact our operating results.</w:t>
      </w:r>
    </w:p>
    <w:p>
      <w:pPr>
        <w:spacing w:after="0" w:line="289" w:lineRule="exact"/>
        <w:rPr>
          <w:sz w:val="20"/>
          <w:szCs w:val="20"/>
          <w:color w:val="auto"/>
        </w:rPr>
      </w:pPr>
    </w:p>
    <w:p>
      <w:pPr>
        <w:ind w:left="240" w:right="3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experience negative impact on our reputation due to real or perceived quality or health issues with the food products sold at our offline fresh food markets, which could have an adverse impact on our operating results.</w:t>
      </w:r>
    </w:p>
    <w:p>
      <w:pPr>
        <w:spacing w:after="0" w:line="58" w:lineRule="exact"/>
        <w:rPr>
          <w:sz w:val="20"/>
          <w:szCs w:val="20"/>
          <w:color w:val="auto"/>
        </w:rPr>
      </w:pPr>
    </w:p>
    <w:p>
      <w:pPr>
        <w:ind w:left="240" w:right="140" w:firstLine="971"/>
        <w:spacing w:after="0" w:line="248" w:lineRule="auto"/>
        <w:rPr>
          <w:sz w:val="20"/>
          <w:szCs w:val="20"/>
          <w:color w:val="auto"/>
        </w:rPr>
      </w:pPr>
      <w:r>
        <w:rPr>
          <w:rFonts w:ascii="Times New Roman" w:cs="Times New Roman" w:eastAsia="Times New Roman" w:hAnsi="Times New Roman"/>
          <w:sz w:val="18"/>
          <w:szCs w:val="18"/>
          <w:color w:val="auto"/>
        </w:rPr>
        <w:t>Customers of our offline fresh food markets expect us to provide them with fresh, high-quality food products. Concerns regarding the safety of our food products or the safety and quality of our food supply chain could cause shoppers to avoid purchasing certain products from us, or to seek alternative sources of food, even if the basis for the concern is outside of our control. Negative publicity about these concerns, whether or not ultimately based on facts, and whether or not involving products sold at our stores, could discourage consumers from buying our products and have an adverse impact on our operating results. Furthermore, sales of food products entail inherent risks of product liability claims, product recall and the resulting negative publicity. Food products containing contaminants could be inadvertently distributed by us and, if processing by the consumers level does not eliminate them, these contaminants could result in illness or death. We cannot assure you that product liability claims will not be asserted against us or that we will not be obligated to perform product recalls or held liable in the future.</w:t>
      </w:r>
    </w:p>
    <w:p>
      <w:pPr>
        <w:spacing w:after="0" w:line="193" w:lineRule="exact"/>
        <w:rPr>
          <w:sz w:val="20"/>
          <w:szCs w:val="20"/>
          <w:color w:val="auto"/>
        </w:rPr>
      </w:pPr>
    </w:p>
    <w:p>
      <w:pPr>
        <w:ind w:left="240" w:right="180" w:firstLine="971"/>
        <w:spacing w:after="0" w:line="280" w:lineRule="auto"/>
        <w:rPr>
          <w:sz w:val="20"/>
          <w:szCs w:val="20"/>
          <w:color w:val="auto"/>
        </w:rPr>
      </w:pPr>
      <w:r>
        <w:rPr>
          <w:rFonts w:ascii="Times New Roman" w:cs="Times New Roman" w:eastAsia="Times New Roman" w:hAnsi="Times New Roman"/>
          <w:sz w:val="17"/>
          <w:szCs w:val="17"/>
          <w:color w:val="auto"/>
        </w:rPr>
        <w:t>Any loss in confidence on the part of our customers would be difficult and costly to reestablish. Any such adverse impact could be exacerbated by our position in the market as a purveyor of fresh, high-quality food products and could significantly reduce our brand value. Issues regarding the safety of any food items sold by us, regardless of the cause, could have a material and adverse impact on our sales and operating results.</w:t>
      </w:r>
    </w:p>
    <w:p>
      <w:pPr>
        <w:spacing w:after="0" w:line="264" w:lineRule="exact"/>
        <w:rPr>
          <w:sz w:val="20"/>
          <w:szCs w:val="20"/>
          <w:color w:val="auto"/>
        </w:rPr>
      </w:pPr>
    </w:p>
    <w:p>
      <w:pPr>
        <w:ind w:left="240"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7FRESH brand may be unable to keep existing store locations, open new stores in desirable places on favorable terms or compete successfully with other retailers, which could materially and adversely affect its results of operations.</w:t>
      </w:r>
    </w:p>
    <w:p>
      <w:pPr>
        <w:spacing w:after="0" w:line="58"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Our 7FRESH brand’s growth strategy includes opening and operating offline fresh food stores at suitable locations. The implementation of this strategy depends on finding suitable locations. In addition, we compete with other retailers and businesses for suitable locations. Local land use and zoning regulations, environmental regulations and other regulatory requirements may affect our ability to find suitable locations and have an impact on the cost of constructing, renovating and operating our stores. Real estate, zoning, construction and other delays may adversely affect store openings and renovations and increase our costs. Moreover, changing local demographics at existing store locations may adversely affect revenue and profitability levels at those stores. The termination or expiration of leases at existing store locations may adversely affect us if the renewal terms of those leases are unacceptable to us and we are forced to close or relocate stores. If we determine to close or relocate a store subject to a lease, we may remain obligated under the lease for the remainder of the lease term.</w:t>
      </w:r>
    </w:p>
    <w:p>
      <w:pPr>
        <w:spacing w:after="0" w:line="193"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Furthermore, our offline fresh food stores face increasing competition from other retailers in various aspects, including, among others, pricing, selection, quality and availability of product offering, store hours, in-store amenities, shopping convenience and overall shopping experience. If we operate our stores at locations not suitable for our growth strategy, or if we are unable to maintain our existing store locations, open new stores in desirable places and on favorable terms or compete successfully with other retailers, the results of operations of our 7FRESH brand could be materially and adversely affected.</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320" w:top="476" w:right="5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JD Technology is unable to successfully manage its business or conflicts that could arise between us and JD Technology are not resolved in our favor, our business, financial condition, results of operations and prospects could be materially and adversely affected as a result.</w:t>
      </w:r>
    </w:p>
    <w:p>
      <w:pPr>
        <w:spacing w:after="0" w:line="58"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In June 2020, we acquired an aggregate of 36.8% equity interest in Jingdong Technology Holding Co., Ltd., or JD Technology, which became our equity method investee. In connection with the acquisition of equity interests in JD Technology, we have entered into a series of agreements with JD Technology which set forth our rights as a shareholder. On March 31, 2021, we entered into definitive agreements with JD Technology relating to the reorganization of our cloud computing and artificial intelligence business, upon which our equity interest in JD Technology increased to 41.7%. As of December 31, 2025, our equity interest in JD Technology further increased to 54.9% as a result of the JD Technology Redemption Arrangement as described in “Item 4.A. Information on the Company—History and Development of the Company—Our Major Investments,” and we continued to apply the equity method for accounting of this investment.</w:t>
      </w:r>
    </w:p>
    <w:p>
      <w:pPr>
        <w:spacing w:after="0" w:line="189"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JD Technology currently provides us with certain payment services on a non-exclusive basis and other services to us. If JD Technology is not able to successfully manage its risks such as credit risks, its ability to continue to deliver payment and other services to us may be undermined. In such event, JD Technology might seek to amend the terms of its agreements and arrangements with us, which could potentially result in a conflict of interest. Other conflicts of interest between us and JD Technology may arise relating to commercial or strategic opportunities or initiatives. Although we and JD Technology have each agreed to certain non-competition undertakings, we cannot assure you that JD Technology would not pursue opportunities to provide services to our competitors or other opportunities that would conflict with our interests. If JD Technology is unable to successfully manage its business or conflicts of interest that could arise between us and JD Technology are not resolved in our favor, our business, financial condition, results of operations and prospects could be materially and adversely affected.</w:t>
      </w:r>
    </w:p>
    <w:p>
      <w:pPr>
        <w:spacing w:after="0" w:line="193"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In addition, we continue to license certain of our intellectual properties, including our “JD” brand and related trademarks and domain names, to JD Technology. Because of JD Technology’s ability to continue to use our brand, our close association with JD Technology and overlapping user base, events that negatively affect JD Technology, for example, alleged engagement in inappropriate activities, involvement in any legal or administrative proceedings, or negative publicity, could also negatively affect customers’, regulators’ and other third parties’ perception of us and our JD brand, harm our credibility and reputation and adversely affect our business.</w:t>
      </w:r>
    </w:p>
    <w:p>
      <w:pPr>
        <w:spacing w:after="0" w:line="288" w:lineRule="exact"/>
        <w:rPr>
          <w:sz w:val="20"/>
          <w:szCs w:val="20"/>
          <w:color w:val="auto"/>
        </w:rPr>
      </w:pPr>
    </w:p>
    <w:p>
      <w:pPr>
        <w:ind w:left="240"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JD Logistics, our subsidiary that is a technology-driven supply chain solutions and logistics services provider, is subject to risks associated with provision of integrated supply chain solutions and logistics services and operations.</w:t>
      </w:r>
    </w:p>
    <w:p>
      <w:pPr>
        <w:spacing w:after="0" w:line="58" w:lineRule="exact"/>
        <w:rPr>
          <w:sz w:val="20"/>
          <w:szCs w:val="20"/>
          <w:color w:val="auto"/>
        </w:rPr>
      </w:pPr>
    </w:p>
    <w:p>
      <w:pPr>
        <w:ind w:left="240" w:right="320" w:firstLine="971"/>
        <w:spacing w:after="0" w:line="270" w:lineRule="auto"/>
        <w:rPr>
          <w:sz w:val="20"/>
          <w:szCs w:val="20"/>
          <w:color w:val="auto"/>
        </w:rPr>
      </w:pPr>
      <w:r>
        <w:rPr>
          <w:rFonts w:ascii="Times New Roman" w:cs="Times New Roman" w:eastAsia="Times New Roman" w:hAnsi="Times New Roman"/>
          <w:sz w:val="18"/>
          <w:szCs w:val="18"/>
          <w:color w:val="auto"/>
        </w:rPr>
        <w:t>JD Logistics, a subsidiary of ours that provides technology-driven supply chain solutions and logistics services provider, is subject to a variety of risks in its business, including the following:</w:t>
      </w:r>
    </w:p>
    <w:p>
      <w:pPr>
        <w:spacing w:after="0" w:line="76" w:lineRule="exact"/>
        <w:rPr>
          <w:sz w:val="20"/>
          <w:szCs w:val="20"/>
          <w:color w:val="auto"/>
        </w:rPr>
      </w:pPr>
    </w:p>
    <w:p>
      <w:pPr>
        <w:ind w:left="1180" w:right="780" w:hanging="421"/>
        <w:spacing w:after="0" w:line="300" w:lineRule="auto"/>
        <w:tabs>
          <w:tab w:leader="none" w:pos="1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to the operation of the warehousing and logistics facilities operated by us or other third-party transportation companies and couriers that facilitate our logistics services, or to the development of new warehousing and logistics facilities;</w:t>
      </w:r>
    </w:p>
    <w:p>
      <w:pPr>
        <w:spacing w:after="0" w:line="53" w:lineRule="exact"/>
        <w:rPr>
          <w:rFonts w:ascii="Times New Roman" w:cs="Times New Roman" w:eastAsia="Times New Roman" w:hAnsi="Times New Roman"/>
          <w:sz w:val="17"/>
          <w:szCs w:val="17"/>
          <w:color w:val="auto"/>
        </w:rPr>
      </w:pPr>
    </w:p>
    <w:p>
      <w:pPr>
        <w:ind w:left="1180" w:right="180" w:hanging="421"/>
        <w:spacing w:after="0" w:line="270"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customers may reduce their expenditure on third-party supply chain solutions and logistics services or increase utilization of their internal solutions;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the labor market, increases in labor costs or any labor unrest, as we operate in a labor-intensive industry;</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positive relationships with our third-party logistics service providers;</w:t>
      </w:r>
    </w:p>
    <w:p>
      <w:pPr>
        <w:spacing w:after="0" w:line="123" w:lineRule="exact"/>
        <w:rPr>
          <w:rFonts w:ascii="Times New Roman" w:cs="Times New Roman" w:eastAsia="Times New Roman" w:hAnsi="Times New Roman"/>
          <w:sz w:val="18"/>
          <w:szCs w:val="18"/>
          <w:color w:val="auto"/>
        </w:rPr>
      </w:pPr>
    </w:p>
    <w:p>
      <w:pPr>
        <w:ind w:left="1180" w:right="100" w:hanging="421"/>
        <w:spacing w:after="0" w:line="270"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items we deliver and the contents of shipments and inventories handled through our logistics networks, including real or perceived quality or health issues with the products that are handled through our logistics networks; and</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the logistics industry, including personal injury, product damage, and transportation-related incidents.</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320" w:top="476" w:right="5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70" w:lineRule="auto"/>
        <w:rPr>
          <w:sz w:val="20"/>
          <w:szCs w:val="20"/>
          <w:color w:val="auto"/>
        </w:rPr>
      </w:pPr>
      <w:r>
        <w:rPr>
          <w:rFonts w:ascii="Times New Roman" w:cs="Times New Roman" w:eastAsia="Times New Roman" w:hAnsi="Times New Roman"/>
          <w:sz w:val="18"/>
          <w:szCs w:val="18"/>
          <w:color w:val="auto"/>
        </w:rPr>
        <w:t>The occurrence of any such risks may damage the business and reputation of JD Logistics, and may have a material and adverse impact on our financial condition and results of operations.</w:t>
      </w:r>
    </w:p>
    <w:p>
      <w:pPr>
        <w:spacing w:after="0" w:line="271" w:lineRule="exact"/>
        <w:rPr>
          <w:sz w:val="20"/>
          <w:szCs w:val="20"/>
          <w:color w:val="auto"/>
        </w:rPr>
      </w:pPr>
    </w:p>
    <w:p>
      <w:pPr>
        <w:ind w:left="240"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JD Health, our healthcare subsidiary, is subject to risks associated with the marketing, distributing, selling and regulation of pharmaceutical and healthcare products.</w:t>
      </w:r>
    </w:p>
    <w:p>
      <w:pPr>
        <w:spacing w:after="0" w:line="58"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JD Health, our healthcare subsidiary, is subject to certain risks associated with the marketing, distributing and selling of pharmaceutical and other health and wellness products, as well as provision of medical and related services, including the following:</w:t>
      </w:r>
    </w:p>
    <w:p>
      <w:pPr>
        <w:spacing w:after="0" w:line="76" w:lineRule="exact"/>
        <w:rPr>
          <w:sz w:val="20"/>
          <w:szCs w:val="20"/>
          <w:color w:val="auto"/>
        </w:rPr>
      </w:pPr>
    </w:p>
    <w:p>
      <w:pPr>
        <w:ind w:left="1180" w:right="660" w:hanging="421"/>
        <w:spacing w:after="0" w:line="270"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execute effective advertising, marketing and promotional activities necessary to maintain and increase the awareness of JD Health and the products and services it offers;</w:t>
      </w:r>
    </w:p>
    <w:p>
      <w:pPr>
        <w:spacing w:after="0" w:line="76" w:lineRule="exact"/>
        <w:rPr>
          <w:rFonts w:ascii="Times New Roman" w:cs="Times New Roman" w:eastAsia="Times New Roman" w:hAnsi="Times New Roman"/>
          <w:sz w:val="18"/>
          <w:szCs w:val="18"/>
          <w:color w:val="auto"/>
        </w:rPr>
      </w:pPr>
    </w:p>
    <w:p>
      <w:pPr>
        <w:ind w:left="1180" w:right="440" w:hanging="421"/>
        <w:spacing w:after="0" w:line="270"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effective pricing and other strategies in response to intense market competition in the pharmaceutical industry in China;</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upgrade intelligent healthcare solutions in response to changing consumer demand and preference;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stock adequate supply of pharmaceutical and healthcare products that customers desire;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medical liability claims in connection with our online and offline healthcare services;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penalties or disputes against us for failure to manage our in-house medical team and external doctors;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in-house medical team or external doctors to provide adequate and proper medical services on our platform;</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and maintain regulatory or governmental permits, approvals and clearances, or to pass PRC government inspections; and</w:t>
      </w:r>
    </w:p>
    <w:p>
      <w:pPr>
        <w:spacing w:after="0" w:line="135" w:lineRule="exact"/>
        <w:rPr>
          <w:rFonts w:ascii="Times New Roman" w:cs="Times New Roman" w:eastAsia="Times New Roman" w:hAnsi="Times New Roman"/>
          <w:sz w:val="17"/>
          <w:szCs w:val="17"/>
          <w:color w:val="auto"/>
        </w:rPr>
      </w:pPr>
    </w:p>
    <w:p>
      <w:pPr>
        <w:ind w:left="1180" w:right="280" w:hanging="421"/>
        <w:spacing w:after="0" w:line="270" w:lineRule="auto"/>
        <w:tabs>
          <w:tab w:leader="none" w:pos="1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and resulting liability from, any contamination, injury or other harm caused by any use, misuse, misdiagnosis or side-effects involving products distributed or services provided by JD Health.</w:t>
      </w:r>
    </w:p>
    <w:p>
      <w:pPr>
        <w:spacing w:after="0" w:line="169" w:lineRule="exact"/>
        <w:rPr>
          <w:sz w:val="20"/>
          <w:szCs w:val="20"/>
          <w:color w:val="auto"/>
        </w:rPr>
      </w:pPr>
    </w:p>
    <w:p>
      <w:pPr>
        <w:ind w:left="240" w:right="120" w:firstLine="971"/>
        <w:spacing w:after="0" w:line="270" w:lineRule="auto"/>
        <w:rPr>
          <w:sz w:val="20"/>
          <w:szCs w:val="20"/>
          <w:color w:val="auto"/>
        </w:rPr>
      </w:pPr>
      <w:r>
        <w:rPr>
          <w:rFonts w:ascii="Times New Roman" w:cs="Times New Roman" w:eastAsia="Times New Roman" w:hAnsi="Times New Roman"/>
          <w:sz w:val="18"/>
          <w:szCs w:val="18"/>
          <w:color w:val="auto"/>
        </w:rPr>
        <w:t>The occurrence of any such risks may damage the business and reputation of JD Health, and may have an adverse impact on our financial condition and results of operations.</w:t>
      </w:r>
    </w:p>
    <w:p>
      <w:pPr>
        <w:spacing w:after="0" w:line="169" w:lineRule="exact"/>
        <w:rPr>
          <w:sz w:val="20"/>
          <w:szCs w:val="20"/>
          <w:color w:val="auto"/>
        </w:rPr>
      </w:pPr>
    </w:p>
    <w:p>
      <w:pPr>
        <w:ind w:left="240" w:firstLine="971"/>
        <w:spacing w:after="0" w:line="265" w:lineRule="auto"/>
        <w:rPr>
          <w:sz w:val="20"/>
          <w:szCs w:val="20"/>
          <w:color w:val="auto"/>
        </w:rPr>
      </w:pPr>
      <w:r>
        <w:rPr>
          <w:rFonts w:ascii="Times New Roman" w:cs="Times New Roman" w:eastAsia="Times New Roman" w:hAnsi="Times New Roman"/>
          <w:sz w:val="17"/>
          <w:szCs w:val="17"/>
          <w:color w:val="auto"/>
        </w:rPr>
        <w:t>Furthermore, laws and regulations regarding pharmaceutical and healthcare industry in China are strict and extensive. Violation of the laws and regulations may result in harsh penalties and, under certain circumstances, lead to criminal prosecution. Meanwhile, regulations of both internet industry and its internet healthcare sector, as well as their interpretation and enforcement, are relatively new and evolving. As a result, it may be difficult to determine what actions or omissions would be deemed in violation of applicable laws and regulations. Due to the rapidly evolving and complexity of the regulatory environment, we cannot assure you that JD Health would always be in full compliance with applicable laws and regulations, the violation of which may have adverse effect on its brand reputation and business. Compliance with future laws and regulations may require JD Health to change its business models and practices at an undeterminable and possibly significant financial cost. These additional monetary expenditures may increase future overhead, which may, in turn, have a material adverse effect on our business, financial condition and results of operations.</w:t>
      </w:r>
    </w:p>
    <w:p>
      <w:pPr>
        <w:spacing w:after="0" w:line="1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320" w:top="476"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Property faces challenges relating to the macroeconomic environment, the market condition and its own business development.</w:t>
      </w:r>
    </w:p>
    <w:p>
      <w:pPr>
        <w:spacing w:after="0" w:line="114" w:lineRule="exact"/>
        <w:rPr>
          <w:sz w:val="20"/>
          <w:szCs w:val="20"/>
          <w:color w:val="auto"/>
        </w:rPr>
      </w:pPr>
    </w:p>
    <w:p>
      <w:pPr>
        <w:ind w:left="240" w:right="300" w:firstLine="971"/>
        <w:spacing w:after="0" w:line="258" w:lineRule="auto"/>
        <w:rPr>
          <w:sz w:val="20"/>
          <w:szCs w:val="20"/>
          <w:color w:val="auto"/>
        </w:rPr>
      </w:pPr>
      <w:r>
        <w:rPr>
          <w:rFonts w:ascii="Times New Roman" w:cs="Times New Roman" w:eastAsia="Times New Roman" w:hAnsi="Times New Roman"/>
          <w:sz w:val="18"/>
          <w:szCs w:val="18"/>
          <w:color w:val="auto"/>
        </w:rPr>
        <w:t>JD Property, a subsidiary of ours which develops and manages modern infrastructure in Mainland China, Asia-Pacific, Europe, Middle East and the Americas, consisting primarily of logistics parks as well as business parks and others, faces challenges relating to the macroeconomic environment, the market condition and certain characteristics of its current operations. These challenges include:</w:t>
      </w:r>
    </w:p>
    <w:p>
      <w:pPr>
        <w:spacing w:after="0" w:line="86" w:lineRule="exact"/>
        <w:rPr>
          <w:sz w:val="20"/>
          <w:szCs w:val="20"/>
          <w:color w:val="auto"/>
        </w:rPr>
      </w:pPr>
    </w:p>
    <w:p>
      <w:pPr>
        <w:ind w:left="1180" w:right="100" w:hanging="421"/>
        <w:spacing w:after="0" w:line="270"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downturn in general economy, which will slow down the demand for logistics properties and increase the vacancy rate, resulting in a more competitive market environment for JD Property;</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slowdown in such business area as industrial park and logistic properties; and</w:t>
      </w:r>
    </w:p>
    <w:p>
      <w:pPr>
        <w:spacing w:after="0" w:line="123" w:lineRule="exact"/>
        <w:rPr>
          <w:rFonts w:ascii="Times New Roman" w:cs="Times New Roman" w:eastAsia="Times New Roman" w:hAnsi="Times New Roman"/>
          <w:sz w:val="18"/>
          <w:szCs w:val="18"/>
          <w:color w:val="auto"/>
        </w:rPr>
      </w:pPr>
    </w:p>
    <w:p>
      <w:pPr>
        <w:ind w:left="1180" w:right="180" w:hanging="421"/>
        <w:spacing w:after="0" w:line="258" w:lineRule="auto"/>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JD Property’s venture into the overseas markets, such as the Southeast Asian market and the European market, including cultural differences, complexity of local regulatory environment, political stability and communication with local clients and business partners, among other things.</w:t>
      </w:r>
    </w:p>
    <w:p>
      <w:pPr>
        <w:spacing w:after="0" w:line="179" w:lineRule="exact"/>
        <w:rPr>
          <w:sz w:val="20"/>
          <w:szCs w:val="20"/>
          <w:color w:val="auto"/>
        </w:rPr>
      </w:pPr>
    </w:p>
    <w:p>
      <w:pPr>
        <w:ind w:left="240" w:right="520" w:firstLine="971"/>
        <w:spacing w:after="0" w:line="270" w:lineRule="auto"/>
        <w:rPr>
          <w:sz w:val="20"/>
          <w:szCs w:val="20"/>
          <w:color w:val="auto"/>
        </w:rPr>
      </w:pPr>
      <w:r>
        <w:rPr>
          <w:rFonts w:ascii="Times New Roman" w:cs="Times New Roman" w:eastAsia="Times New Roman" w:hAnsi="Times New Roman"/>
          <w:sz w:val="18"/>
          <w:szCs w:val="18"/>
          <w:color w:val="auto"/>
        </w:rPr>
        <w:t>If JD Property’s business cannot continue to grow despite these challenges, our financial condition and results of operations may be adversely affected.</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Industrials faces challenges relating to the provision of industrial supply chain technology and service.</w:t>
      </w:r>
    </w:p>
    <w:p>
      <w:pPr>
        <w:spacing w:after="0" w:line="114" w:lineRule="exact"/>
        <w:rPr>
          <w:sz w:val="20"/>
          <w:szCs w:val="20"/>
          <w:color w:val="auto"/>
        </w:rPr>
      </w:pPr>
    </w:p>
    <w:p>
      <w:pPr>
        <w:ind w:left="240" w:right="120" w:firstLine="971"/>
        <w:spacing w:after="0" w:line="270" w:lineRule="auto"/>
        <w:rPr>
          <w:sz w:val="20"/>
          <w:szCs w:val="20"/>
          <w:color w:val="auto"/>
        </w:rPr>
      </w:pPr>
      <w:r>
        <w:rPr>
          <w:rFonts w:ascii="Times New Roman" w:cs="Times New Roman" w:eastAsia="Times New Roman" w:hAnsi="Times New Roman"/>
          <w:sz w:val="18"/>
          <w:szCs w:val="18"/>
          <w:color w:val="auto"/>
        </w:rPr>
        <w:t>JD Industrials, a subsidiary of ours, faces challenges as a leading industrial supply chain technology and service provider in China. These challenges include:</w:t>
      </w:r>
    </w:p>
    <w:p>
      <w:pPr>
        <w:spacing w:after="0" w:line="76" w:lineRule="exact"/>
        <w:rPr>
          <w:sz w:val="20"/>
          <w:szCs w:val="20"/>
          <w:color w:val="auto"/>
        </w:rPr>
      </w:pPr>
    </w:p>
    <w:p>
      <w:pPr>
        <w:ind w:left="1180" w:hanging="421"/>
        <w:spacing w:after="0" w:line="251"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superior industrial supply chain technology and service to expand its customer base, which in turn depends on factors such as its ability to offer high-quality industrial products and services, optimize the product and service offerings in response to the diverse and evolving demand of its customers, expand and maintain relationships with its customers and suppliers, offer timely and reliable fulfillment service, develop industrial technology solutions and intelligent services, and recommend suitable products and services to its customers;</w:t>
      </w:r>
    </w:p>
    <w:p>
      <w:pPr>
        <w:spacing w:after="0" w:line="94"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expand its customer base and maintain satisfactory customer experience;</w:t>
      </w:r>
    </w:p>
    <w:p>
      <w:pPr>
        <w:spacing w:after="0" w:line="123" w:lineRule="exact"/>
        <w:rPr>
          <w:rFonts w:ascii="Times New Roman" w:cs="Times New Roman" w:eastAsia="Times New Roman" w:hAnsi="Times New Roman"/>
          <w:sz w:val="18"/>
          <w:szCs w:val="18"/>
          <w:color w:val="auto"/>
        </w:rPr>
      </w:pPr>
    </w:p>
    <w:p>
      <w:pPr>
        <w:ind w:left="1180" w:hanging="421"/>
        <w:spacing w:after="0" w:line="270"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industrial supply chain technology and service market may not develop into the stage and scale as expected, as it is still in its early stage of development in China;</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successfully implement its business strategy and effectively respond to changes in market dynamics;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enforce effective control over the logistic service provided directly by its suppliers or other third-party logistics providers; and</w:t>
      </w:r>
    </w:p>
    <w:p>
      <w:pPr>
        <w:spacing w:after="0" w:line="123" w:lineRule="exact"/>
        <w:rPr>
          <w:rFonts w:ascii="Times New Roman" w:cs="Times New Roman" w:eastAsia="Times New Roman" w:hAnsi="Times New Roman"/>
          <w:sz w:val="18"/>
          <w:szCs w:val="18"/>
          <w:color w:val="auto"/>
        </w:rPr>
      </w:pPr>
    </w:p>
    <w:p>
      <w:pPr>
        <w:ind w:left="1180" w:right="340" w:hanging="421"/>
        <w:spacing w:after="0" w:line="270" w:lineRule="auto"/>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its fulfillment of industrial products caused by fire, flood, power outage, telecommunications failure, break-ins, earthquake, human error and other events.</w:t>
      </w:r>
    </w:p>
    <w:p>
      <w:pPr>
        <w:spacing w:after="0" w:line="169" w:lineRule="exact"/>
        <w:rPr>
          <w:sz w:val="20"/>
          <w:szCs w:val="20"/>
          <w:color w:val="auto"/>
        </w:rPr>
      </w:pPr>
    </w:p>
    <w:p>
      <w:pPr>
        <w:ind w:left="240" w:right="600" w:firstLine="971"/>
        <w:spacing w:after="0" w:line="270" w:lineRule="auto"/>
        <w:rPr>
          <w:sz w:val="20"/>
          <w:szCs w:val="20"/>
          <w:color w:val="auto"/>
        </w:rPr>
      </w:pPr>
      <w:r>
        <w:rPr>
          <w:rFonts w:ascii="Times New Roman" w:cs="Times New Roman" w:eastAsia="Times New Roman" w:hAnsi="Times New Roman"/>
          <w:sz w:val="18"/>
          <w:szCs w:val="18"/>
          <w:color w:val="auto"/>
        </w:rPr>
        <w:t>If JD Industrials’ business were negatively impacted by these challenges to a material extent, our financial condition and results of operations may be adversely affected.</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320" w:top="476" w:right="5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use of some leased properties could be challenged by third parties or government authorities, which may cause interruptions to our business operations.</w:t>
      </w:r>
    </w:p>
    <w:p>
      <w:pPr>
        <w:spacing w:after="0" w:line="5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A small portion of the lessors of our leased warehouses, leased offices, and leased delivery stations and pickup stations have not provided us with their property ownership certificates or any other documentation proving their right to lease those properties to us. If our lessors (including the lessors of our 7FRESH offline fresh food stores) are not the owners of the properties and they have not obtained consents from the owners or their lessors or permits from the government authorities, our leases could be invalidated. If this occurs, we may have to renegotiate the leases with the owners or the parties who have the right to lease the properties, and the terms of the new leases may be less favorable to us. Some of the leased properties were also subject to mortgage at the time the leases were entered into. Such lease may not be binding on the transferee of the property in the event that the mortgage holder forecloses on the mortgage and transfers the property to another party. In addition, a substantial portion of our leasehold interests in leased properties have not been registered with the PRC government authorities as required by PRC law, which may expose us to potential fines if we fail to remediate after receiving any notice from the PRC government authorities. Also, in the event that the actual use of our leased properties is inconsistent with the use registered on the land use right certificate or our leased properties are on allocated land, the competent authorities may require the lessors to return the land and impose fines on the lessors, or confiscate the proceeds from the leasing of the properties and impose fines on the lessors if such properties are leased without their consent or handing in such income, as applicable. Therefore, the lease agreements may be deemed to be in breach of the law and therefore be void.</w:t>
      </w:r>
    </w:p>
    <w:p>
      <w:pPr>
        <w:spacing w:after="0" w:line="192" w:lineRule="exact"/>
        <w:rPr>
          <w:sz w:val="20"/>
          <w:szCs w:val="20"/>
          <w:color w:val="auto"/>
        </w:rPr>
      </w:pPr>
    </w:p>
    <w:p>
      <w:pPr>
        <w:ind w:left="240" w:right="380" w:firstLine="971"/>
        <w:spacing w:after="0" w:line="270" w:lineRule="auto"/>
        <w:rPr>
          <w:sz w:val="20"/>
          <w:szCs w:val="20"/>
          <w:color w:val="auto"/>
        </w:rPr>
      </w:pPr>
      <w:r>
        <w:rPr>
          <w:rFonts w:ascii="Times New Roman" w:cs="Times New Roman" w:eastAsia="Times New Roman" w:hAnsi="Times New Roman"/>
          <w:sz w:val="18"/>
          <w:szCs w:val="18"/>
          <w:color w:val="auto"/>
        </w:rPr>
        <w:t>As of the date of this annual report, we are not aware of any material claims or actions being contemplated or initiated by government authorities, property owners or any other third parties with respect to our leasehold interests in or use of such properties.</w:t>
      </w:r>
    </w:p>
    <w:p>
      <w:pPr>
        <w:spacing w:after="0" w:line="169"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However, we cannot assure you that our use of such leased properties will not be challenged. In the event that our use of properties is successfully challenged, we may be subject to fines and forced to relocate the affected operations. In addition, we may become involved in disputes with the property owners or third parties who otherwise have rights to or interests in our leased properties. We can provide no assurance that we will be able to find suitable replacement sites on terms acceptable to us on a timely basis, or at all, or that we will not be subject to material liability resulting from third parties’ challenges on our use of such properties. As a result, our business, financial condition and results of operations may be materially and adversely affected.</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renew our current leases or locate desirable alternatives for our facilities could materially and adversely affect our business.</w:t>
      </w:r>
    </w:p>
    <w:p>
      <w:pPr>
        <w:spacing w:after="0" w:line="114"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We lease properties for our offices, customer service center, warehouses, sorting centers, and delivery and pickup stations. We may not be able to successfully extend or renew such leases upon expiration of the current term on commercially reasonable terms or at all, and may therefore be forced to relocate our affected operations. This could disrupt our operations and result in significant relocation expenses, which could materially and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facilities as our business continues to grow and failure in relocating our affected operations could materially and adversely affect our business and operations.</w:t>
      </w:r>
    </w:p>
    <w:p>
      <w:pPr>
        <w:spacing w:after="0" w:line="291" w:lineRule="exact"/>
        <w:rPr>
          <w:sz w:val="20"/>
          <w:szCs w:val="20"/>
          <w:color w:val="auto"/>
        </w:rPr>
      </w:pPr>
    </w:p>
    <w:p>
      <w:pPr>
        <w:ind w:left="240" w:right="3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broad range of laws and regulations. Any lack of requisite approvals, licenses or permits applicable to our business or any failure to comply with applicable laws or regulations may have a material and adverse impact on our business, financial condition and results of operations.</w:t>
      </w:r>
    </w:p>
    <w:p>
      <w:pPr>
        <w:spacing w:after="0" w:line="72"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Our business is subject to governmental supervision and regulation by the PRC governmental authorities, including the State Administration for Market Regulation (formerly known as the State Administration for Industry and Commerce), or SAMR, the NDRC, the Ministry of Commerce, the MIIT, the CAC, the Ministry of Transport, the State Post Bureau and the People’s Bank of China, among others. Together, these government authorities promulgate and enforce regulations that cover many aspects of the operation of the online retail, courier and road freight transportation industries, including entry into these industries, the scope of permissible business activities, licenses and permits for various business activities, and foreign investment. See “Item 4.B. Information on the Company—Business Overview—Regulation—Regulations Relating to Foreign Investment” and “—Licenses and Permits.”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320" w:top="476"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63" w:lineRule="auto"/>
        <w:rPr>
          <w:sz w:val="20"/>
          <w:szCs w:val="20"/>
          <w:color w:val="auto"/>
        </w:rPr>
      </w:pPr>
      <w:r>
        <w:rPr>
          <w:rFonts w:ascii="Times New Roman" w:cs="Times New Roman" w:eastAsia="Times New Roman" w:hAnsi="Times New Roman"/>
          <w:sz w:val="17"/>
          <w:szCs w:val="17"/>
          <w:color w:val="auto"/>
        </w:rPr>
        <w:t>Under PRC law, an entity operating courier services across multiple provinces must obtain a cross-provincial Courier Service Operation Permit and conduct its courier services within the permitted scope as indicated in the permit. Furthermore, any entity engaging in road freight transportation services in China must obtain a Road Transportation Operation Permit from the road transportation administrative authorities. We operate a nationwide road freight transportation and delivery network. As of December 31, 2025, we had Courier Service Operation Permits that allow Beijing Jingbangda Trade Co., Ltd. (Beijing Jingbangda), a subsidiary of Xi’an Jingdong Xincheng, one of the consolidated variable interest entities providing logistics services, and the subsidiaries of Beijing Jingbangda, to operate an express delivery business in 31 provinces and 452 cities in China. As of December 31, 2025, Beijing Jingbangda and its relevant subsidiaries, among other entities, had obtained Courier Service Operation Permits. As of the same date, among other entities, Xi’an Jingdong Xuncheng and its relevant branches and subsidiaries, and Beijing Jingbangda and its relevant branches and subsidiaries had obtained Road Transportation Operation Permits that allow these entities to provide road freight transportation services. We are in the process of making filings with local postal administrations for express delivery terminal outlets of the subsidiaries of Beijing Jingbangda. However, we cannot assure you that we can obtain such permits and licenses in a timely manner, or at all, due to complex procedural requirements and policies. In addition, we issue one type of prepaid cards which may be used to buy the products and services sold on our mobile apps and websites. Due to licensing requirements, currently such prepaid cards can only be used to purchase products and services directly sold by us.</w:t>
      </w:r>
    </w:p>
    <w:p>
      <w:pPr>
        <w:spacing w:after="0" w:line="176" w:lineRule="exact"/>
        <w:rPr>
          <w:sz w:val="20"/>
          <w:szCs w:val="20"/>
          <w:color w:val="auto"/>
        </w:rPr>
      </w:pPr>
    </w:p>
    <w:p>
      <w:pPr>
        <w:ind w:left="240" w:right="120" w:firstLine="971"/>
        <w:spacing w:after="0" w:line="266" w:lineRule="auto"/>
        <w:rPr>
          <w:sz w:val="20"/>
          <w:szCs w:val="20"/>
          <w:color w:val="auto"/>
        </w:rPr>
      </w:pPr>
      <w:r>
        <w:rPr>
          <w:rFonts w:ascii="Times New Roman" w:cs="Times New Roman" w:eastAsia="Times New Roman" w:hAnsi="Times New Roman"/>
          <w:sz w:val="17"/>
          <w:szCs w:val="17"/>
          <w:color w:val="auto"/>
        </w:rPr>
        <w:t>There may be some defects with respect to the process of establishing certain of our indirect subsidiaries in China. Certain subsidiaries of our wholly foreign-owned subsidiaries in China were established without obtaining the prior approval from the government authorities that supervise their industry, and some have obtained the permits from the government authority at a level lower than as required. We have not received any notice of warning or been subject to penalties or other disciplinary action from the governmental authorities with respect to these defects. However, we cannot assure you that the governmental authorities would not require us to obtain the approvals, or the permits from proper level of government authorities to cure the defects, or take any other actions retrospectively in the future. If the government authorities require us to cure such defects, we cannot assure you that we will be able to obtain the approvals, or the permits from proper level of government authorities, in a timely manner or at all.</w:t>
      </w:r>
    </w:p>
    <w:p>
      <w:pPr>
        <w:spacing w:after="0" w:line="175" w:lineRule="exact"/>
        <w:rPr>
          <w:sz w:val="20"/>
          <w:szCs w:val="20"/>
          <w:color w:val="auto"/>
        </w:rPr>
      </w:pPr>
    </w:p>
    <w:p>
      <w:pPr>
        <w:ind w:left="240" w:right="120" w:firstLine="971"/>
        <w:spacing w:after="0" w:line="258" w:lineRule="auto"/>
        <w:rPr>
          <w:sz w:val="20"/>
          <w:szCs w:val="20"/>
          <w:color w:val="auto"/>
        </w:rPr>
      </w:pPr>
      <w:r>
        <w:rPr>
          <w:rFonts w:ascii="Times New Roman" w:cs="Times New Roman" w:eastAsia="Times New Roman" w:hAnsi="Times New Roman"/>
          <w:sz w:val="18"/>
          <w:szCs w:val="18"/>
          <w:color w:val="auto"/>
        </w:rPr>
        <w:t>We provide payment by installments to certain qualified customers for purchasing products sold on our websites. These payment services may be deemed to be providing consumer loans. If so, an approval for consumer finance company from the government authority is required, and we cannot assure you that we can obtain such approval in a timely manner, or at all.</w:t>
      </w:r>
    </w:p>
    <w:p>
      <w:pPr>
        <w:spacing w:after="0" w:line="179" w:lineRule="exact"/>
        <w:rPr>
          <w:sz w:val="20"/>
          <w:szCs w:val="20"/>
          <w:color w:val="auto"/>
        </w:rPr>
      </w:pPr>
    </w:p>
    <w:p>
      <w:pPr>
        <w:ind w:left="240" w:right="140" w:firstLine="971"/>
        <w:spacing w:after="0" w:line="280" w:lineRule="auto"/>
        <w:rPr>
          <w:sz w:val="20"/>
          <w:szCs w:val="20"/>
          <w:color w:val="auto"/>
        </w:rPr>
      </w:pPr>
      <w:r>
        <w:rPr>
          <w:rFonts w:ascii="Times New Roman" w:cs="Times New Roman" w:eastAsia="Times New Roman" w:hAnsi="Times New Roman"/>
          <w:sz w:val="17"/>
          <w:szCs w:val="17"/>
          <w:color w:val="auto"/>
        </w:rPr>
        <w:t>If the PRC government considers that we were operating without the proper approvals, licenses or permits, it has the power, among other things, to levy fines, confiscate our income, revoke our business licenses, and require us to discontinue that business or impose restrictions on the affected portion of our business. Any of these actions by the PRC government may have a material and adverse effect on our results of operations.</w:t>
      </w:r>
    </w:p>
    <w:p>
      <w:pPr>
        <w:spacing w:after="0" w:line="162"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The e-commerce industry, and online retail in particular, is highly regulated by the PRC government. For example, the Price Law of the People’s Republic of China prohibits a business operator from committing the specified unlawful pricing activities, such as dumping products at price below cost for the purpose of driving out rivals or monopolizing the market, using false or misleading prices to deceive consumers to transact, colluding with others to manipulate the market price, or conducting price discrimination against other business operators. We are required to obtain various licenses and permits from different regulatory authorities in order to distribute certain categories of products on our mobile apps and websites. See “Item 4.B. Information on the Company—Business Overview—Regulation—Licenses and Permits.” We have made great efforts to obtain all the applicable licenses and permits, but due to the large number of products sold on our mobile apps and websites, we may not always be able to do so and we were penalized by governmental authorities for selling products without proper licenses. As we increase our product selection and develop new business, we may also become subject to new or existing laws and regulations that did not affect us before. For example, our food delivery business is subject to the compliance with the Food Safety Law of the People’s Republic of China and Measures for the Supervisions and Administration of Food Safety in Online Catering Services, as well as other related laws and regulations. As we have recently expanded into food delivery business, we have to devote more management efforts and resources to comply with the laws and regulations that apply to such business, such as requirements regarding food safety management and merchant qualification verification. However, we may not always be able to meet the requirements of these laws and regulations in all respects. Any failure or perceived failure by us to comply with these laws and regulations may result in governmental investigations, regulatory proceedings or enforcement actions such as imposing fines and/or other penalties, litigations or claims against us and could have an adverse effect on our reputation, business, financial condition and results of operations.</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320" w:top="476"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As online retail is evolving rapidly in China, new laws and regulations may be adopted from time to time to require additional licenses and permits other than those we currently have, and to address new issues that arise from time to time. For example, in August 2018, the Standing Committee of the National People’s Congress promulgated the E-Commerce Law, which became effective on January 1, 2019. The E-Commerce Law imposes a number of new requirements and obligations on e-commerce platform operators. In addition, the Measures for the Supervision and Administration of Online Trading promulgated by the SAMR on March 15, 2021 and subsequently amended on March 18, 2025, is an important departmental regulation for the implementation of the E-commerce Law. We have adopted a series of measures to comply with such requires under the E-Commerce Law. We cannot assure you, however, that our current business operations meet the requirements under the E-Commerce Law in all respects. If the PRC governmental authorities determine that we are not in compliance with all the requirements under the E-Commerce Law and other applicable laws and rules, we may be subject to fines and/or other sanctions. As a result, we are subject to risks regarding the interpretation and implementation of PRC laws and regulations applicable to online retail businesses. If we are unable to maintain and renew one or more of our licenses and certificates when their current term expires, or obtain such renewals on commercially reasonable terms, our operations could be disrupted. If the PRC government requires additional licenses or permits or provides stricter supervision requirements in the future in order for us to conduct our businesses, there is no guarantee that we would be able to obtain such licenses or permits or meet all the supervision requirements in a timely manner, or at all.</w:t>
      </w:r>
    </w:p>
    <w:p>
      <w:pPr>
        <w:spacing w:after="0" w:line="292" w:lineRule="exact"/>
        <w:rPr>
          <w:sz w:val="20"/>
          <w:szCs w:val="20"/>
          <w:color w:val="auto"/>
        </w:rPr>
      </w:pPr>
    </w:p>
    <w:p>
      <w:pPr>
        <w:ind w:left="240"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restricted share units and other types of awards under our share incentive plans and our consolidated subsidiaries’ share incentive plans, which may result in increased share-based compensation expenses.</w:t>
      </w:r>
    </w:p>
    <w:p>
      <w:pPr>
        <w:spacing w:after="0" w:line="58"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We adopted our current share incentive plan effective December 21, 2023, or the 2023 Plan, to replace our previous plan, which expired on December 20, 2023. JD Logistics, JD Health, JD Industrials and JD Property each have their own share incentive plans as well, and since we consolidate them in our financial statements, their share-based compensation expenses also affect our financial performance. See “Item 6.B. Directors, Senior Management and Employees—Compensation—Share Incentive Plans” for a detailed discussion of these various plans. In May 2015, with approval of our board of directors, Mr. Liu was granted an option to acquire a total of 26,000,000 Class A ordinary shares of our company under our previous plan, at an exercise price of US$16.70 per share or US$33.40 per ADS, subject to a 10-year vesting schedule with 10% of the award vested on each anniversary of the grant date. In May 2025, with approval of our board of directors, Mr. Liu was granted an option to acquire a total of 5,000,000 Class A ordinary shares of our company at an exercise price of US$17.175 per share or US$34.35 per ADS, and 10,000,000 restricted share units, both subject to a 5-year vesting schedule.</w:t>
      </w:r>
    </w:p>
    <w:p>
      <w:pPr>
        <w:spacing w:after="0" w:line="190"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We incurred share-based compensation expenses of RMB38 million, RMB21 million and RMB1,367 million (US$195 million) in connection with this grant of share-based awards to Mr. Liu in 2023, 2024 and 2025, respectively. For the years ended December 31, 2023, 2024 and 2025, we recorded an aggregate of RMB4,804 million, RMB2,999 million and RMB4,726 million (US$676 million), respectively, in share-based compensation expenses. As of December 31, 2025, the awards in our share incentive plans that had been granted to our directors, officers, employees and consultants and remained outstanding included (i) restricted share units to receive an aggregate of 71,863,066 ordinary shares, excluding restricted share units that were forfeited, cancelled, or vested after the grant date, and (ii) options to purchase an aggregate of 22,566,154 ordinary shares, excluding options that were forfeited, cancelled, or exercised after the grant date. For awards granted under the share incentive plans of our consolidated subsidiaries, please see “Item 6.B. Directors, Senior Management and Employees—Compensation—Share Incentive Plans—Share Incentive Plans of our Consolidated Subsidiaries.” We believe the granting of share-based awards is of significant importance to our ability to attract and retain key personnel and employees, and we will continue to grant share-based awards to employees in the future. As a result, our expenses associated with share-based compensation may increase, which may have an adverse effect on our results of operations.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seasonal fluctuations.</w:t>
      </w:r>
    </w:p>
    <w:p>
      <w:pPr>
        <w:spacing w:after="0" w:line="114"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We experience seasonality in our business, reflecting a combination of traditional retail seasonality patterns and new patterns associated with online retail in particular. For example, we generally experience less user traffic and purchase orders during national holidays in China, particularly during the Chinese New Year holiday season in the first quarter of each year. Furthermore, sales in the traditional retail industry are significantly higher in the fourth quarter of each calendar year than in the preceding three quarters.</w:t>
      </w:r>
    </w:p>
    <w:p>
      <w:pPr>
        <w:spacing w:after="0" w:line="185" w:lineRule="exact"/>
        <w:rPr>
          <w:sz w:val="20"/>
          <w:szCs w:val="20"/>
          <w:color w:val="auto"/>
        </w:rPr>
      </w:pPr>
    </w:p>
    <w:p>
      <w:pPr>
        <w:ind w:left="240" w:right="100" w:firstLine="971"/>
        <w:spacing w:after="0" w:line="251" w:lineRule="auto"/>
        <w:rPr>
          <w:sz w:val="20"/>
          <w:szCs w:val="20"/>
          <w:color w:val="auto"/>
        </w:rPr>
      </w:pPr>
      <w:r>
        <w:rPr>
          <w:rFonts w:ascii="Times New Roman" w:cs="Times New Roman" w:eastAsia="Times New Roman" w:hAnsi="Times New Roman"/>
          <w:sz w:val="18"/>
          <w:szCs w:val="18"/>
          <w:color w:val="auto"/>
        </w:rPr>
        <w:t>E-commerce companies in China hold special promotional campaigns on November 11 each year, and we hold a special promotional campaign in the second quarter of each year, on June 18, to celebrate the anniversary of the founding of our business, both of which can affect our results for those quarters. Overall, the historical seasonality of our business has been relatively mild due to the rapid growth we have experienced and may increase further in the future. Our financial condition and results of operations for future periods may continue to fluctuate. As a result, the trading price of our Class A ordinary shares and/or ADSs may fluctuate from time to time due to seasonality.</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320" w:top="476" w:right="5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and anticipated cash flow from operations will be sufficient to meet our anticipated cash needs for the next 12 months, we may also require additional cash resources due to changed business conditions or other future developments, including any changes in our account payable policy, marketing initiatives or investments we may decide to pursue. If these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For example, the unsecured senior notes we issued in April 2016 and January 2020 and the convertible senior notes we issued in May 2024 contain covenants including limitation on liens and restriction on consolidation, merger and sale of all or substantially all of our assets, and our term and revolving credit facilities we entered into contain covenants that impose certain minimum financial performance requirements on us and that might restrict our ability to raise additional debt. It is uncertain whether financing will be available in amounts or on terms acceptable to us, if at all. Disruptions in the financial markets not related to us could also affect our ability to raise capital. Any difficulty or failure to meet our liquidity needs as and when needed can have a material adverse effect on our prospects. A large balance of indebtedness may require that we devote our financial resources to servicing such debt rather than funding our operating activities, which constrains our capital flexibility and may in turn adversely affect our results of operation. It may also be a challenge for us to service our interest and principal repayments in a timely manner or at all, which could trigger cross-defaults with other debt, as applicable, as well as limit our ability to obtain further debt financing.</w:t>
      </w:r>
    </w:p>
    <w:p>
      <w:pPr>
        <w:spacing w:after="0" w:line="291" w:lineRule="exact"/>
        <w:rPr>
          <w:sz w:val="20"/>
          <w:szCs w:val="20"/>
          <w:color w:val="auto"/>
        </w:rPr>
      </w:pPr>
    </w:p>
    <w:p>
      <w:pPr>
        <w:ind w:left="240"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terms of our indebtedness or enforcement of our obligations under any guarantee or other similar arrangement could have an adverse effect on our cash flow and liquidity.</w:t>
      </w:r>
    </w:p>
    <w:p>
      <w:pPr>
        <w:spacing w:after="0" w:line="58"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As of December 31, 2025, we had long-term debt obligations of RMB69.2 billion (US$9.9 billion). Under the terms of our indebtedness and under any debt financing arrangement that we may enter into in the future, we are, and may be in the future, subject to covenants that could, among other things, restrict our business and operations. If we breach any of these covenants, our lenders under our credit facilities and holders of our unsecured senior notes will be entitled to accelerate our debt obligations. Any default under our credit facilities or unsecured senior notes could require that we repay these debts prior to maturity as well as limit our ability to obtain additional financing, which in turn may have a material adverse effect on our cash flow and liquidity. In addition, enforcement against us under any guarantee and other similar arrangements we may enter into in the future could materially and adversely affect our cash flow and liquidity.</w:t>
      </w:r>
    </w:p>
    <w:p>
      <w:pPr>
        <w:spacing w:after="0" w:line="291" w:lineRule="exact"/>
        <w:rPr>
          <w:sz w:val="20"/>
          <w:szCs w:val="20"/>
          <w:color w:val="auto"/>
        </w:rPr>
      </w:pPr>
    </w:p>
    <w:p>
      <w:pPr>
        <w:ind w:left="240" w:right="1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Fluctuation of items that are non-recurring in nature and fluctuation of fair value change of the wealth management products we invested in have affected our results of operations in the past and may continue to affect our results of operations in the future.</w:t>
      </w:r>
    </w:p>
    <w:p>
      <w:pPr>
        <w:spacing w:after="0" w:line="58" w:lineRule="exact"/>
        <w:rPr>
          <w:sz w:val="20"/>
          <w:szCs w:val="20"/>
          <w:color w:val="auto"/>
        </w:rPr>
      </w:pPr>
    </w:p>
    <w:p>
      <w:pPr>
        <w:ind w:left="240" w:right="180" w:firstLine="971"/>
        <w:spacing w:after="0" w:line="255" w:lineRule="auto"/>
        <w:rPr>
          <w:sz w:val="20"/>
          <w:szCs w:val="20"/>
          <w:color w:val="auto"/>
        </w:rPr>
      </w:pPr>
      <w:r>
        <w:rPr>
          <w:rFonts w:ascii="Times New Roman" w:cs="Times New Roman" w:eastAsia="Times New Roman" w:hAnsi="Times New Roman"/>
          <w:sz w:val="18"/>
          <w:szCs w:val="18"/>
          <w:color w:val="auto"/>
        </w:rPr>
        <w:t>The fluctuation of items that are non-recurring in nature, primarily gains on sale of development properties, impairment of goodwill and long-lived assets, and “others, net” significantly affected our results of operations during 2023, 2024 and 2025. We recorded a gain of</w:t>
      </w:r>
    </w:p>
    <w:p>
      <w:pPr>
        <w:spacing w:after="0" w:line="1" w:lineRule="exact"/>
        <w:rPr>
          <w:sz w:val="20"/>
          <w:szCs w:val="20"/>
          <w:color w:val="auto"/>
        </w:rPr>
      </w:pPr>
    </w:p>
    <w:p>
      <w:pPr>
        <w:ind w:left="240" w:right="20"/>
        <w:spacing w:after="0" w:line="245" w:lineRule="auto"/>
        <w:rPr>
          <w:sz w:val="20"/>
          <w:szCs w:val="20"/>
          <w:color w:val="auto"/>
        </w:rPr>
      </w:pPr>
      <w:r>
        <w:rPr>
          <w:rFonts w:ascii="Times New Roman" w:cs="Times New Roman" w:eastAsia="Times New Roman" w:hAnsi="Times New Roman"/>
          <w:sz w:val="18"/>
          <w:szCs w:val="18"/>
          <w:color w:val="auto"/>
        </w:rPr>
        <w:t>RMB2,283 million, RMB1,527 million and RMB387 million (US$55 million) in 2023, 2024 and 2025, respectively, for selling certain of our development properties. Impairment of goodwill and long-lived assets were RMB5.2 billion, RMB2.4 billion and RMB1.3 billion (US$0.2 billion) in 2023, 2024 and 2025, respectively. “Others, net” consists of interest income; gains/(losses) related to long-term investments without significant influence, including fair value changes, acquisitions or disposals gains/(losses), and impairments; government incentives; foreign exchange gains/(losses); and other non-operating income/(losses). For “others, net,” we recorded gains of RMB7.5 billion, RMB13.4 billion and RMB17.3 billion (US$2.5 billion) in 2023, 2024 and 2025, respectively. We identify these items as non-recurring in nature as they are not indicative of our core operating results and business outlook. We cannot assure you that we will be able to continue to generate net profits and maintain profitability in the future after excluding the impact of such non-recurring items. The significant fluctuation of these non-recurring items may continue to affect our results of operations and result in fluctuation of net income/(loss) in the future.</w:t>
      </w:r>
    </w:p>
    <w:p>
      <w:pPr>
        <w:spacing w:after="0" w:line="196"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During 2023, 2024 and 2025, we made investments in wealth management products and recorded a fair value of wealth management products of RMB59.7 billion, RMB38.4 billion and RMB52.1 billion (US$7.5 billion) as of December 31, 2023, 2024 and 2025, respectively. No impairment charges were recorded for the years ended December 31, 2023, 2024 and 2025, respectively. Those wealth management products were certain deposits with variable interest rates or principal not-guaranteed with certain financial institutions. We are exposed to credit risk in relation to our investments in wealth management products, which may adversely affect our net changes in their fair value. We cannot assure you that market conditions and regulatory environment will create fair value gains and we will not incur any fair value losses on our investments in wealth management products at fair value through profit or loss in the future. If we incur such fair value losses, our results of operations, financial condition and prospects may be adversely affected.</w:t>
      </w: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320" w:top="476" w:right="5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severe or prolonged slowdown in the Chinese or global economy could materially and adversely affect our business and financial condition.</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The global macroeconomic environment faces numerous challenges. The growth rate of the Chinese economy has been slowing since 2010 and the Chinese population began to decline in 2022.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14" w:lineRule="exact"/>
        <w:rPr>
          <w:sz w:val="20"/>
          <w:szCs w:val="20"/>
          <w:color w:val="auto"/>
        </w:rPr>
      </w:pPr>
    </w:p>
    <w:p>
      <w:pPr>
        <w:ind w:left="240" w:right="40" w:firstLine="971"/>
        <w:spacing w:after="0" w:line="264" w:lineRule="auto"/>
        <w:rPr>
          <w:sz w:val="20"/>
          <w:szCs w:val="20"/>
          <w:color w:val="auto"/>
        </w:rPr>
      </w:pPr>
      <w:r>
        <w:rPr>
          <w:rFonts w:ascii="Times New Roman" w:cs="Times New Roman" w:eastAsia="Times New Roman" w:hAnsi="Times New Roman"/>
          <w:sz w:val="17"/>
          <w:szCs w:val="17"/>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Although we are not aware of any copycat websites that attempt to cause confusion or diversion of traffic from us at the moment, we may become an attractive target to such attacks in the future because of our brand recognition in the online retail industry in China. Despite these measures, any of our intellectual property rights could be challenged, invalidated, circumvented or misappropriated, or such intellectual property may not be sufficient to provide us with competitive advantages. In addition, there can be no assurance that our patent applications will be approved, that any issued patents will adequately protect our intellectual property, or that such patents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spacing w:after="0" w:line="176"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Under the applicable laws and regulations relating to intellectual property, it may take months or even years to register, maintain and enforce our intellectual property rights.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when needed.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320" w:top="476" w:right="5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14" w:lineRule="exact"/>
        <w:rPr>
          <w:sz w:val="20"/>
          <w:szCs w:val="20"/>
          <w:color w:val="auto"/>
        </w:rPr>
      </w:pPr>
    </w:p>
    <w:p>
      <w:pPr>
        <w:ind w:left="240" w:right="20" w:firstLine="971"/>
        <w:spacing w:after="0" w:line="246"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products or services, the products or services provided by third-party merchants on our marketplace, or other aspects of our business. There could also be existing patents of which we are not aware that our products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China’s patent laws and the procedures and standards for granting patents in China are still evolving and are uncertain, and we cannot assure you that PRC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Finally, we use open-source software in connection with our products and services. Companies that incorporate open-source software into their products and services have, from time to time, faced claims challenging the ownership of open-source software and compliance with open-source license terms. As a result, we could be subject to suits by parties claiming ownership of what we believe to be open-source software or non-compliance with open-source licensing terms. Some open-source software licenses require users who distribute open-source software as part of their software to publicly disclose all or part of the source code to such software and make available any derivative works of the open-source code on unfavorable terms or at no cost. Any requirement to disclose our source code or pay damages for breach of contract could be harmful to our business, results of operations and financial condition.</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14"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We maintain various insurance policies to safeguard against risks and unexpected events. We have purchased all risk property insurance covering our inventory and fixed assets such as equipment, furniture and office facilities. We also maintain public liability insurance for our business activities at various locations. We also participate in various employee social security plans that are organized by municipal and provincial governments including pension insurance, unemployment insurance, work-related injury insurance, maternity insurance and medical insurance for our employees. Additionally, we provide group accident insurance for all employees and supplementary medical insurance for all management and technology and other professional personnel. However, insurance companies in China currently offer limited business-related insurance products. We do not maintain business interruption insurance or product liability insurance for most of our operations, nor do we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78" w:lineRule="exact"/>
        <w:rPr>
          <w:sz w:val="20"/>
          <w:szCs w:val="20"/>
          <w:color w:val="auto"/>
        </w:rPr>
      </w:pPr>
    </w:p>
    <w:p>
      <w:pPr>
        <w:ind w:left="240"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chairman, Mr. Richard Qiangdong Liu, has considerable influence over important corporate matters. Our dual-class voting structure will limit your ability to influence corporate matters and could discourage others from pursuing any change of control transactions that holders of our Class A ordinary shares and/or our ADSs may view as beneficial.</w:t>
      </w:r>
    </w:p>
    <w:p>
      <w:pPr>
        <w:spacing w:after="0" w:line="7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Our company is controlled through a dual class voting structure. Our chairman, Mr. Richard Qiangdong Liu, has considerable influence over important corporate matters. Our ordinary shares are divided into Class A ordinary shares and Class B ordinary shares. Holders of Class A ordinary shares are entitled to one vote per share in respect of matters requiring the votes of shareholders, while holders of Class B ordinary shares are entitled to twenty votes per share, subject to certain exceptions. Each Class B ordinary share is convertible into one Class A ordinary share at any time by the holder thereof, while Class A ordinary shares are not convertible into Class B ordinary shares under any circumstances. Upon any direct or indirect transfer of Class B ordinary shares or associated voting power by a holder thereof to any person or entity which is not an affiliate of such holder, such Class B ordinary shares will be automatically and immediately converted into the equal number of Class A ordinary shares. Due to the disparate voting powers associated with our two classes of ordinary shares, as of March 18, 2026, Mr. Liu was able to exercise 73.1% of the aggregate voting power of our company, including 3.6% of the aggregate voting power of our company that he may exercise on behalf of Fortune Rising Holdings Limited. See “Item 6.E. Directors, Senior Management and Employees—Share Ownership.” As a result, Mr. Liu has considerable influence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320" w:top="476" w:right="5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policies and rising political tensions, particularly between the United States and China, may adversely impact our business and operating results.</w:t>
      </w:r>
    </w:p>
    <w:p>
      <w:pPr>
        <w:spacing w:after="0" w:line="58" w:lineRule="exact"/>
        <w:rPr>
          <w:sz w:val="20"/>
          <w:szCs w:val="20"/>
          <w:color w:val="auto"/>
        </w:rPr>
      </w:pPr>
    </w:p>
    <w:p>
      <w:pPr>
        <w:ind w:left="240" w:right="20" w:firstLine="971"/>
        <w:spacing w:after="0" w:line="263" w:lineRule="auto"/>
        <w:rPr>
          <w:sz w:val="20"/>
          <w:szCs w:val="20"/>
          <w:color w:val="auto"/>
        </w:rPr>
      </w:pPr>
      <w:r>
        <w:rPr>
          <w:rFonts w:ascii="Times New Roman" w:cs="Times New Roman" w:eastAsia="Times New Roman" w:hAnsi="Times New Roman"/>
          <w:sz w:val="17"/>
          <w:szCs w:val="17"/>
          <w:color w:val="auto"/>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For example, since early 2025, the U.S. has implemented significant changes to the U.S. trade policy with China, including by imposing additional tariffs on Chinese imports. There remains considerable uncertainty regarding future tariff rates and the trajectory of the U.S.-China trade relations. The continued tensions and the prospect of escalating tariffs could potentially impact the Chinese economy. As of the date of this annual report, there is still a high degree of uncertainty surrounding the U.S. tariff policy, how it will be implemented, and how other countries will react to it. It also remains uncertain whether increased tariffs and trade tensions will create further disruptions and uncertainties to the international trade and lead to a downturn to the global economy. In addition, regional conflicts, such as the Russia-Ukraine conflict and the unstable situations in the Middle East and the Red Sea, have heightened geopolitical tensions across the world, which may create disruptions and uncertainties to oil prices, inflation, the international finance market and the global economy. Any severe or prolonged slowdown or unstable situations in the Chinese or global economy may materially and adversely affect our business, results of operations and financial condition.</w:t>
      </w:r>
    </w:p>
    <w:p>
      <w:pPr>
        <w:spacing w:after="0" w:line="176" w:lineRule="exact"/>
        <w:rPr>
          <w:sz w:val="20"/>
          <w:szCs w:val="20"/>
          <w:color w:val="auto"/>
        </w:rPr>
      </w:pPr>
    </w:p>
    <w:p>
      <w:pPr>
        <w:ind w:left="240" w:right="80" w:firstLine="971"/>
        <w:spacing w:after="0" w:line="250" w:lineRule="auto"/>
        <w:rPr>
          <w:sz w:val="20"/>
          <w:szCs w:val="20"/>
          <w:color w:val="auto"/>
        </w:rPr>
      </w:pPr>
      <w:r>
        <w:rPr>
          <w:rFonts w:ascii="Times New Roman" w:cs="Times New Roman" w:eastAsia="Times New Roman" w:hAnsi="Times New Roman"/>
          <w:sz w:val="18"/>
          <w:szCs w:val="18"/>
          <w:color w:val="auto"/>
        </w:rPr>
        <w:t>In addition, we have been closely monitoring policies in the United States designed to restrict certain Chinese companies from supplying or operating in the U.S. market. These policies include the Clean Network project initiated by the U.S. Department of State in August 2020, new authorities granted to the Department of Commerce to prohibit or restrict the use of information and communications technology and services, or ICTS, and Executive Order on Protecting America’s Sensitive Data from Foreign Adversaries published in June 2021. While a substantial majority of our business is conducted in China, policies like these may deter U.S. users from accessing and/or using our apps, products and services, which could adversely impact our user experience and reputation.</w:t>
      </w:r>
    </w:p>
    <w:p>
      <w:pPr>
        <w:spacing w:after="0" w:line="187"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The United States government has taken efforts to limit the outbound U.S. investments to China. In August 2023, an executive order was issued by the Biden administration to restrict U.S. investments in sensitive technologies in the Chinese mainland, Hong Kong, and Macau, such as advanced computing chips, quantum technology, and artificial intelligence. On October 28, 2024, the U.S.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JD.com, Inc. would be defined as a Covered Foreign Person under the Outbound Investment Rule. However, there is no assurance that the U.S. Department of Treasury will take the same view as ours. If JD.com, Inc.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December 18, 2025, the Comprehensive Outbound Investment National Security Act of 2025, or the COINS Act, was signed into law. The COINS Act largely preserves the core framework of the Outbound Investment Rule, while expanding its scope and coverage in certain respects.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Furthermore,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potentially narrow related exceptions (including those related to publicly traded securities)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If our ability to raise such capital is significantly and negatively affected, it could be detrimental to our business, financial condition and prospects, and our ADSs may significantly decline in value.</w:t>
      </w:r>
    </w:p>
    <w:p>
      <w:pPr>
        <w:spacing w:after="0" w:line="3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320" w:top="476"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The U.S. government may potentially impose a ban prohibiting U.S. persons from making investments in or engaging in transactions with companies in certain countries, including China. The United States and various foreign governments have also imposed controls, license requirements and restrictions on the import or export of technologies and products (or voiced the intention to do so). For example, on September 29, 2025, the U.S. Department of Commerce’s Bureau of Industry and Security (BIS) issued an immediately effective interim final rule that, among others, extends Entity List and Military End-User List restrictions to entities that are 50% or more owned, directly or indirectly, by parties designated on those lists. This rule is currently suspended for one year. If implemented, these measures are expected to have significant impact on the targeted countries, markets and/or entities, making compliance more complicated and time-consuming and increasing the risk of inadvertent omissions. Measures such as these could deter suppliers in the United States and/or other countries that impose sanctions, export controls and other restrictions from providing technologies and products to, making investments in, or otherwise engaging in transactions with Chinese companies. As a result, Chinese companies would have to identify and secure alternative supplies or sources of financing, while they may not be able to do so in a timely manner and at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Like other Chinese companies, we may be affected by such sanctions, export controls or other restrictions, and we may also be exposed to risks in dealing with business partners that are subject to sanctions, export controls or other restrictions. As a result, we could be required to incur additional costs to comply with these complicated regulations and measures and could face penalties for any violation, even inadvertent, which could adversely affect our business, financial condition and results of operations.</w:t>
      </w:r>
    </w:p>
    <w:p>
      <w:pPr>
        <w:spacing w:after="0" w:line="303" w:lineRule="exact"/>
        <w:rPr>
          <w:sz w:val="20"/>
          <w:szCs w:val="20"/>
          <w:color w:val="auto"/>
        </w:rPr>
      </w:pPr>
    </w:p>
    <w:p>
      <w:pPr>
        <w:ind w:left="240" w:right="2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the subject of anti-competitive, harassing, or other detrimental conduct by third parties including complaints to regulatory agencies, negative blog postings, and the public dissemination of malicious assessments of our business that could harm our reputation and cause us to lose market share, customers and revenues and adversely affect the price of our Class A ordinary shares and/or ADSs.</w:t>
      </w:r>
    </w:p>
    <w:p>
      <w:pPr>
        <w:spacing w:after="0" w:line="7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We may be the target of anti-competitive, harassing, or other detrimental conduct by third parties. Such conduct includes complaints, anonymous or otherwise, to regulatory agencies. Our brand name and our business may be harmed by aggressive marketing and communications strategies of our competitors. We may be subject to government or regulatory investigation as a result of such third-party conduct and may be required to expend significant time and incur substantial costs to address such third-party conduct, and there is no assurance that we will be able to conclusively refute each of the allegations within a reasonable period of time, or at all. Additionally, allegations, directly or indirectly against us, may be posted on social media or websites by anyone, whether or not related to us, on an anonymous basis. Consumers value readily available information concerning retailers, manufacturers, and their goods and services and often act on such information without further investigation or authentication and without regard to its accuracy. The availability of information on social media platforms and devices is virtually immediate, as is its impact. Social media platforms and devices immediately publish the content their subscribers and participants post, often without filters or checks on the accuracy of the content posted. Information posted may be inaccurate and adverse to us, and it may harm our financial performance, prospects or business. The harm may be immediate without affording us an opportunity for redress or correction. Our reputation may be negatively affected as a result of the public dissemination of anonymous allegations or malicious statements about our business, which in turn may cause us to lose market share, customers and revenues and adversely affect the price of our Class A ordinary shares and/or ADSs.</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476"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public safety concerns.</w:t>
      </w:r>
    </w:p>
    <w:p>
      <w:pPr>
        <w:spacing w:after="0" w:line="114"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natural disasters, health epidemics or other public safety concerns affecting the PRC. Any such occurrences could cause severe disruption to our daily operations, including our fulfillment infrastructure and our customer service centers, and may even require a temporary closure of our facilities. In addition, our results of operations could be adversely affected to the extent that any such occurrence affects our suppliers, customers or business partners or harms the Chinese economy in general. Furthermore, to the extent that a natural disaster, health epidemic or other public safety concern adversely affects our business and financial results, it may also have the effect of heightening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 If any natural disasters, health epidemics or other public safety concerns were to cause our operations to experience material disruptions, our business, financial condition and results of operations may be materially and adversely affected.</w:t>
      </w:r>
    </w:p>
    <w:p>
      <w:pPr>
        <w:spacing w:after="0" w:line="292" w:lineRule="exact"/>
        <w:rPr>
          <w:sz w:val="20"/>
          <w:szCs w:val="20"/>
          <w:color w:val="auto"/>
        </w:rPr>
      </w:pPr>
    </w:p>
    <w:p>
      <w:pPr>
        <w:ind w:left="240" w:right="1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Class A ordinary shares and/or ADSs may be adversely affected.</w:t>
      </w:r>
    </w:p>
    <w:p>
      <w:pPr>
        <w:spacing w:after="0" w:line="72"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We are subject to reporting obligations under the U.S. securities laws. The SEC, as required under Section 404 of the Sarbanes-Oxley Act of 2002, adopted rules requiring every public company to include a management report on such company’s internal control over financial reporting in its annual report, which contains management’s assessment of the effectiveness of the company’s internal control over financial reporting. In addition, an independent registered public accounting firm must attest to and report on the effectiveness of the company’s internal control over financial reporting. Our management has concluded that our internal control over financial reporting was effective as of December 31, 2025.See “Item 15. Controls and Procedures.”</w:t>
      </w:r>
    </w:p>
    <w:p>
      <w:pPr>
        <w:spacing w:after="0" w:line="187" w:lineRule="exact"/>
        <w:rPr>
          <w:sz w:val="20"/>
          <w:szCs w:val="20"/>
          <w:color w:val="auto"/>
        </w:rPr>
      </w:pPr>
    </w:p>
    <w:p>
      <w:pPr>
        <w:ind w:left="240" w:right="80" w:firstLine="971"/>
        <w:spacing w:after="0" w:line="251" w:lineRule="auto"/>
        <w:rPr>
          <w:sz w:val="20"/>
          <w:szCs w:val="20"/>
          <w:color w:val="auto"/>
        </w:rPr>
      </w:pPr>
      <w:r>
        <w:rPr>
          <w:rFonts w:ascii="Times New Roman" w:cs="Times New Roman" w:eastAsia="Times New Roman" w:hAnsi="Times New Roman"/>
          <w:sz w:val="18"/>
          <w:szCs w:val="18"/>
          <w:color w:val="auto"/>
        </w:rPr>
        <w:t>However, if we fail to maintain effective internal control over financial reporting in the future, our management and our independent registered public accounting firm may not be able to conclude that we have effective internal control over financial reporting at a reasonable assurance level. This could in turn result in the loss of investor confidence in the reliability of our financial statements and negatively impact the trading price of our Class A ordinary shares and ADSs. Furthermore, we have incurred and may need to incur additional costs and use additional management and other resources in an effort to comply with Section 404 of the Sarbanes-Oxley Act and other requirements going forward.</w:t>
      </w:r>
    </w:p>
    <w:p>
      <w:pPr>
        <w:spacing w:after="0" w:line="288" w:lineRule="exact"/>
        <w:rPr>
          <w:sz w:val="20"/>
          <w:szCs w:val="20"/>
          <w:color w:val="auto"/>
        </w:rPr>
      </w:pPr>
    </w:p>
    <w:p>
      <w:pPr>
        <w:ind w:left="240" w:right="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58" w:lineRule="exact"/>
        <w:rPr>
          <w:sz w:val="20"/>
          <w:szCs w:val="20"/>
          <w:color w:val="auto"/>
        </w:rPr>
      </w:pPr>
    </w:p>
    <w:p>
      <w:pPr>
        <w:ind w:left="240" w:right="80" w:firstLine="971"/>
        <w:spacing w:after="0" w:line="267" w:lineRule="auto"/>
        <w:rPr>
          <w:sz w:val="20"/>
          <w:szCs w:val="20"/>
          <w:color w:val="auto"/>
        </w:rPr>
      </w:pPr>
      <w:r>
        <w:rPr>
          <w:rFonts w:ascii="Times New Roman" w:cs="Times New Roman" w:eastAsia="Times New Roman" w:hAnsi="Times New Roman"/>
          <w:sz w:val="17"/>
          <w:szCs w:val="17"/>
          <w:color w:val="auto"/>
        </w:rPr>
        <w:t>PRC laws and regulations in relation to overseas issuance and listing of shares have been evolving. 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As a follow-up, on February 17, 2023, the CSRC released the Trial Administrative Measures of Overseas Securities Offering and Listing by Domestic Companies and five supporting guidelines, or, collectively, the Trial Measures, which came into effect on March 31, 2023.</w:t>
      </w:r>
    </w:p>
    <w:p>
      <w:pPr>
        <w:spacing w:after="0" w:line="176" w:lineRule="exact"/>
        <w:rPr>
          <w:sz w:val="20"/>
          <w:szCs w:val="20"/>
          <w:color w:val="auto"/>
        </w:rPr>
      </w:pPr>
    </w:p>
    <w:p>
      <w:pPr>
        <w:ind w:left="240" w:firstLine="971"/>
        <w:spacing w:after="0" w:line="265" w:lineRule="auto"/>
        <w:rPr>
          <w:sz w:val="20"/>
          <w:szCs w:val="20"/>
          <w:color w:val="auto"/>
        </w:rPr>
      </w:pPr>
      <w:r>
        <w:rPr>
          <w:rFonts w:ascii="Times New Roman" w:cs="Times New Roman" w:eastAsia="Times New Roman" w:hAnsi="Times New Roman"/>
          <w:sz w:val="17"/>
          <w:szCs w:val="17"/>
          <w:color w:val="auto"/>
        </w:rPr>
        <w:t>The Trial Measures establish a new filing-based regime to regulate overseas offerings of stocks, depository receipts, convertible corporate bond, or other equity securities, and overseas listing of these securities for trading, by domestic companies. According to the Trial Measures, an overseas offering and listing by a domestic company, whether directly or indirectly, shall be filed with the CSRC. According to the Trial Measures, an issuer like us is required to submit the filing with respect to its follow-on offering and other equivalent offering activities, within a specific time frame. The Trial Measures also sets forth certain regulatory red lines for overseas offerings and listings by domestic enterprises and additional reporting obligations for listed companies in the case of material changes. Any failure to perform such filing or reporting procedure would subject us to administrative penalties by the CSRC which could harm our reputation and may adversely affect our results of financial condition. For more details of the Trial Measures, please refer to “Item 4.B. Information on the Company—Business Overview—Regulation—Regulations Relating to Overseas Listing and M&amp;A.”</w:t>
      </w:r>
    </w:p>
    <w:p>
      <w:pPr>
        <w:spacing w:after="0" w:line="177"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Furthermore, on February 24, 2023, the CSRC released the Provisions on Strengthening the Confidentiality and Archives Administration Related to the Overseas Securities Offering and Listing by Domestic Enterprises, or, the Confidentiality Provisions, which came into effect on March 31, 2023. Pursuant to the Confidentiality Provisions, any future inspection or investigation conducted by overseas securities regulator or the competent authorities on our PRC domestic companies with respect to our overseas issuance and listing shall be carried out in the manner in compliance with PRC laws and regulations.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320" w:top="476"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20" w:firstLine="971"/>
        <w:spacing w:after="0" w:line="248" w:lineRule="auto"/>
        <w:rPr>
          <w:sz w:val="20"/>
          <w:szCs w:val="20"/>
          <w:color w:val="auto"/>
        </w:rPr>
      </w:pPr>
      <w:r>
        <w:rPr>
          <w:rFonts w:ascii="Times New Roman" w:cs="Times New Roman" w:eastAsia="Times New Roman" w:hAnsi="Times New Roman"/>
          <w:sz w:val="18"/>
          <w:szCs w:val="18"/>
          <w:color w:val="auto"/>
        </w:rPr>
        <w:t>In addition, we cannot assure you that any new rules or regulations promulgated in the future will not impose additional requirements on us. If it is determined in the future that approval and filing from the CSRC or other regulatory authorities or other procedures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Any uncertainties or negative publicity regarding such approval requirement could materially and adversely affect our business, prospects, financial condition, reputation, and the trading price of our listed securities.</w:t>
      </w:r>
    </w:p>
    <w:p>
      <w:pPr>
        <w:spacing w:after="0" w:line="294" w:lineRule="exact"/>
        <w:rPr>
          <w:sz w:val="20"/>
          <w:szCs w:val="20"/>
          <w:color w:val="auto"/>
        </w:rPr>
      </w:pPr>
    </w:p>
    <w:p>
      <w:pPr>
        <w:ind w:left="240" w:right="500"/>
        <w:spacing w:after="0" w:line="305" w:lineRule="auto"/>
        <w:rPr>
          <w:sz w:val="20"/>
          <w:szCs w:val="20"/>
          <w:color w:val="auto"/>
        </w:rPr>
      </w:pPr>
      <w:r>
        <w:rPr>
          <w:rFonts w:ascii="Times New Roman" w:cs="Times New Roman" w:eastAsia="Times New Roman" w:hAnsi="Times New Roman"/>
          <w:sz w:val="17"/>
          <w:szCs w:val="17"/>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36"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China, a jurisdiction where the PCAOB was historically unable to conduct inspections and investigations completely before 2022. As a result, we and investors in our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the Chinese mainland and Hong Kong from the list of jurisdictions where it is unable to inspect or investigate completely registered public accounting firms. However, if the PCAOB determines in the future that it no longer has full access to inspect and investigate completely accounting firms in the Chinese mainland or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our ADSs to lose confidence in the audit procedures and reported financial information and the quality of our financial statements.</w:t>
      </w:r>
    </w:p>
    <w:p>
      <w:pPr>
        <w:spacing w:after="0" w:line="294" w:lineRule="exact"/>
        <w:rPr>
          <w:sz w:val="20"/>
          <w:szCs w:val="20"/>
          <w:color w:val="auto"/>
        </w:rPr>
      </w:pPr>
    </w:p>
    <w:p>
      <w:pPr>
        <w:ind w:lef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72" w:lineRule="exact"/>
        <w:rPr>
          <w:sz w:val="20"/>
          <w:szCs w:val="20"/>
          <w:color w:val="auto"/>
        </w:rPr>
      </w:pPr>
    </w:p>
    <w:p>
      <w:pPr>
        <w:ind w:left="240" w:right="20" w:firstLine="971"/>
        <w:spacing w:after="0" w:line="258"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an independent registered public accounting firm that has not been subject to inspection for the PCAOB for two consecutive years, the SEC will prohibit our shares or ADSs from being traded on a national securities exchange or in the over-the-counter trading market in the United States.</w:t>
      </w:r>
    </w:p>
    <w:p>
      <w:pPr>
        <w:spacing w:after="0" w:line="179" w:lineRule="exact"/>
        <w:rPr>
          <w:sz w:val="20"/>
          <w:szCs w:val="20"/>
          <w:color w:val="auto"/>
        </w:rPr>
      </w:pPr>
    </w:p>
    <w:p>
      <w:pPr>
        <w:ind w:left="240" w:right="100" w:firstLine="971"/>
        <w:spacing w:after="0" w:line="248"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independent registered public accounting firms headquartered in the Chinese mainland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the Chinese mainland and Hong Kong from the list of jurisdictions where it is unable to inspect or investigate completely independent registered public accounting firms. For this reason, we were not identified as a Commission-Identified Issuer under the HFCAA after we filed our annual report on Form 20-F for the fiscal year ended December 31, 2022, 2023 or 2024 and do not expect to be identified so after we file this annual report on Form 20-F for the fiscal year ended December 31, 2025.</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320" w:top="476" w:right="5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the Chinese mainland and Hong Kong, among other jurisdictions. If the PCAOB determines in the future that it no longer has full access to inspect and investigate completely accounting firms in the Chinese mainland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our ADSs and Class A ordinary shares are fully fungible, we cannot assure your that an active trading market for our Class A ordinary shares on the Hong Kong Stock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and Class A ordinary shares. Also, such a prohibition would significantly affect our ability to raise capital on terms acceptable to us, or at all, which would have a material adverse impact on our business, financial condition and prospects.</w:t>
      </w:r>
    </w:p>
    <w:p>
      <w:pPr>
        <w:spacing w:after="0" w:line="294" w:lineRule="exact"/>
        <w:rPr>
          <w:sz w:val="20"/>
          <w:szCs w:val="20"/>
          <w:color w:val="auto"/>
        </w:rPr>
      </w:pPr>
    </w:p>
    <w:p>
      <w:pPr>
        <w:ind w:left="240" w:right="1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have increased both our costs and the risk of non-compliance.</w:t>
      </w:r>
    </w:p>
    <w:p>
      <w:pPr>
        <w:spacing w:after="0" w:line="58"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7" w:lineRule="exact"/>
        <w:rPr>
          <w:sz w:val="20"/>
          <w:szCs w:val="20"/>
          <w:color w:val="auto"/>
        </w:rPr>
      </w:pPr>
    </w:p>
    <w:p>
      <w:pPr>
        <w:ind w:left="240" w:right="280" w:firstLine="971"/>
        <w:spacing w:after="0" w:line="253"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ongoing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87"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international expansion strategy and ability to conduct business in international markets may be adversely affected by legal, regulatory, political and economic risks.</w:t>
      </w:r>
    </w:p>
    <w:p>
      <w:pPr>
        <w:spacing w:after="0" w:line="58" w:lineRule="exact"/>
        <w:rPr>
          <w:sz w:val="20"/>
          <w:szCs w:val="20"/>
          <w:color w:val="auto"/>
        </w:rPr>
      </w:pPr>
    </w:p>
    <w:p>
      <w:pPr>
        <w:ind w:left="240" w:right="300" w:firstLine="971"/>
        <w:spacing w:after="0" w:line="253" w:lineRule="auto"/>
        <w:rPr>
          <w:sz w:val="20"/>
          <w:szCs w:val="20"/>
          <w:color w:val="auto"/>
        </w:rPr>
      </w:pPr>
      <w:r>
        <w:rPr>
          <w:rFonts w:ascii="Times New Roman" w:cs="Times New Roman" w:eastAsia="Times New Roman" w:hAnsi="Times New Roman"/>
          <w:sz w:val="18"/>
          <w:szCs w:val="18"/>
          <w:color w:val="auto"/>
        </w:rPr>
        <w:t>International expansion is a significant component of our growth strategy and may require significant capital investment, which could strain our resources and adversely impact current performance, while adding complexity to our current operations. We are subject to PRC law in addition to the laws of the foreign countries in which we operate. If any of our overseas operations, or our associates or agents, violate such laws, we could become subject to sanctions or other penalties, which could negatively affect our reputation, business and operating results.</w:t>
      </w:r>
    </w:p>
    <w:p>
      <w:pPr>
        <w:spacing w:after="0" w:line="185" w:lineRule="exact"/>
        <w:rPr>
          <w:sz w:val="20"/>
          <w:szCs w:val="20"/>
          <w:color w:val="auto"/>
        </w:rPr>
      </w:pPr>
    </w:p>
    <w:p>
      <w:pPr>
        <w:ind w:left="240" w:right="120" w:firstLine="971"/>
        <w:spacing w:after="0" w:line="270" w:lineRule="auto"/>
        <w:rPr>
          <w:sz w:val="20"/>
          <w:szCs w:val="20"/>
          <w:color w:val="auto"/>
        </w:rPr>
      </w:pPr>
      <w:r>
        <w:rPr>
          <w:rFonts w:ascii="Times New Roman" w:cs="Times New Roman" w:eastAsia="Times New Roman" w:hAnsi="Times New Roman"/>
          <w:sz w:val="18"/>
          <w:szCs w:val="18"/>
          <w:color w:val="auto"/>
        </w:rPr>
        <w:t>In addition, we may face operational issues that could have a material adverse effect on our reputation, business and results of operations, if we fail to address certain factors including the following:</w:t>
      </w:r>
    </w:p>
    <w:p>
      <w:pPr>
        <w:spacing w:after="0" w:line="76" w:lineRule="exact"/>
        <w:rPr>
          <w:sz w:val="20"/>
          <w:szCs w:val="20"/>
          <w:color w:val="auto"/>
        </w:rPr>
      </w:pPr>
    </w:p>
    <w:p>
      <w:pPr>
        <w:ind w:left="1180" w:right="740" w:hanging="421"/>
        <w:spacing w:after="0" w:line="270"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staffing and simultaneously managing a foreign operation as a result of distance, language and cultural differences;</w:t>
      </w:r>
    </w:p>
    <w:p>
      <w:pPr>
        <w:spacing w:after="0" w:line="76" w:lineRule="exact"/>
        <w:rPr>
          <w:rFonts w:ascii="Times New Roman" w:cs="Times New Roman" w:eastAsia="Times New Roman" w:hAnsi="Times New Roman"/>
          <w:sz w:val="18"/>
          <w:szCs w:val="18"/>
          <w:color w:val="auto"/>
        </w:rPr>
      </w:pPr>
    </w:p>
    <w:p>
      <w:pPr>
        <w:ind w:left="1180" w:right="120" w:hanging="421"/>
        <w:spacing w:after="0" w:line="270" w:lineRule="auto"/>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 who have a diverse range of preferences and demands;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platforms in marketing our international products and services overseas;</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320" w:top="476" w:right="5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selecting suitable geographical regions for international business;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customer payment cycles;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w:t>
      </w:r>
    </w:p>
    <w:p>
      <w:pPr>
        <w:spacing w:after="0" w:line="123" w:lineRule="exact"/>
        <w:rPr>
          <w:rFonts w:ascii="Times New Roman" w:cs="Times New Roman" w:eastAsia="Times New Roman" w:hAnsi="Times New Roman"/>
          <w:sz w:val="18"/>
          <w:szCs w:val="18"/>
          <w:color w:val="auto"/>
        </w:rPr>
      </w:pPr>
    </w:p>
    <w:p>
      <w:pPr>
        <w:ind w:left="1180" w:right="520" w:hanging="421"/>
        <w:spacing w:after="0" w:line="258"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or national security policies that restrict our ability to invest in or acquire companies; develop, import or export certain technologies, such as the national AI initiative proposed by the U.S. government; or utilize technologies that are deemed by local governmental regulators to pose a threat to their national security;</w:t>
      </w:r>
    </w:p>
    <w:p>
      <w:pPr>
        <w:spacing w:after="0" w:line="85" w:lineRule="exact"/>
        <w:rPr>
          <w:rFonts w:ascii="Times New Roman" w:cs="Times New Roman" w:eastAsia="Times New Roman" w:hAnsi="Times New Roman"/>
          <w:sz w:val="18"/>
          <w:szCs w:val="18"/>
          <w:color w:val="auto"/>
        </w:rPr>
      </w:pPr>
    </w:p>
    <w:p>
      <w:pPr>
        <w:jc w:val="both"/>
        <w:ind w:left="1180" w:right="480" w:hanging="421"/>
        <w:spacing w:after="0" w:line="258"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and unexpected changes in laws or regulations, including compliance with privacy laws and data security laws, including the European Union General Data Protection Regulation and compliance costs across different legal systems;</w:t>
      </w:r>
    </w:p>
    <w:p>
      <w:pPr>
        <w:spacing w:after="0" w:line="85" w:lineRule="exact"/>
        <w:rPr>
          <w:rFonts w:ascii="Times New Roman" w:cs="Times New Roman" w:eastAsia="Times New Roman" w:hAnsi="Times New Roman"/>
          <w:sz w:val="18"/>
          <w:szCs w:val="18"/>
          <w:color w:val="auto"/>
        </w:rPr>
      </w:pPr>
    </w:p>
    <w:p>
      <w:pPr>
        <w:ind w:left="1180" w:right="200" w:hanging="421"/>
        <w:spacing w:after="0" w:line="258" w:lineRule="auto"/>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complex and potentially adverse customs, import/export laws, tax rules and regulations or other trade barriers or restrictions which may be applicable to transactions conducted through our international and cross-border platforms, related compliance obligations and consequences of non-compliance, and any new developments in these areas; and</w:t>
      </w:r>
    </w:p>
    <w:p>
      <w:pPr>
        <w:spacing w:after="0" w:line="85"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foreign jurisdictions.</w:t>
      </w:r>
    </w:p>
    <w:p>
      <w:pPr>
        <w:spacing w:after="0" w:line="216"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One or more of these factors could harm our overseas operations and consequently, could harm our overall results of operations. In addition, legislatures and taxing authorities in many jurisdictions in which we operate may enact changes to, or seek to enforce novel interpretations of, their tax rules. These changes could include amendments that have temporary effect as well as more permanent changes. For example, the Organization for Economic Cooperation and Development, or the OECD, the European Union and other countries (including countries in which we operate) have committed to enacting substantial changes to numerous long-standing tax principles impacting how large multinational enterprises are taxed. In particular, the OECD’s Pillar Two initiative introduces a 15% global minimum tax applied on a country-by-country basis, which became effective in many jurisdictions in which we operate starting January 1, 2024. The impact of these potential new rules and any other changes in domestic and international tax rules and regulations could have a material and adverse effect on our effective tax rate, and we will continue to evaluate the impact of these changes.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08" w:lineRule="exact"/>
        <w:rPr>
          <w:sz w:val="20"/>
          <w:szCs w:val="20"/>
          <w:color w:val="auto"/>
        </w:rPr>
      </w:pPr>
    </w:p>
    <w:p>
      <w:pPr>
        <w:ind w:left="240"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w:t>
      </w:r>
    </w:p>
    <w:p>
      <w:pPr>
        <w:spacing w:after="0" w:line="72"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Under current PRC laws and regulations, foreign ownership of certain of our businesses is subject to restrictions, such as value-added telecommunication services and domestic document delivery services. For example, foreign investors are not allowed to own more than 50% of the equity interests in a value-added telecommunication service provider (excluding e-commerce, domestic multi-party communications, data collection and transmission services and call centers), except for certain limited pilot regions under a pilot program.</w:t>
      </w:r>
    </w:p>
    <w:p>
      <w:pPr>
        <w:spacing w:after="0" w:line="185" w:lineRule="exact"/>
        <w:rPr>
          <w:sz w:val="20"/>
          <w:szCs w:val="20"/>
          <w:color w:val="auto"/>
        </w:rPr>
      </w:pPr>
    </w:p>
    <w:p>
      <w:pPr>
        <w:ind w:left="240" w:right="20" w:firstLine="971"/>
        <w:spacing w:after="0" w:line="269" w:lineRule="auto"/>
        <w:rPr>
          <w:sz w:val="20"/>
          <w:szCs w:val="20"/>
          <w:color w:val="auto"/>
        </w:rPr>
      </w:pPr>
      <w:r>
        <w:rPr>
          <w:rFonts w:ascii="Times New Roman" w:cs="Times New Roman" w:eastAsia="Times New Roman" w:hAnsi="Times New Roman"/>
          <w:sz w:val="17"/>
          <w:szCs w:val="17"/>
          <w:color w:val="auto"/>
        </w:rPr>
        <w:t>We are a Cayman Islands exempted company and our PRC subsidiaries Jingdong Century, Shanghai Shengdayuan and Jiangsu Xinchuan Hailian are considered foreign-invested enterprises. Accordingly, our PRC subsidiaries may not be eligible to provide certain restricted services related to our businesses. As a result, we conduct or will conduct such business activities through the consolidated variable interest entities and their subsidiaries in PRC, including Jingdong 360, Jiangsu Yuanzhou, Xi’an Jingdong Xincheng and Beijing Jingbangda. Jingdong 360 holds our ICP license as an internet information provider. Xi’an Jingdong Xincheng primarily provides courier services through Beijing Jingbangda and its subsidiaries.</w:t>
      </w:r>
    </w:p>
    <w:p>
      <w:pPr>
        <w:spacing w:after="0" w:line="1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320" w:top="476" w:right="5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60" w:firstLine="971"/>
        <w:spacing w:after="0" w:line="270" w:lineRule="auto"/>
        <w:rPr>
          <w:sz w:val="20"/>
          <w:szCs w:val="20"/>
          <w:color w:val="auto"/>
        </w:rPr>
      </w:pPr>
      <w:r>
        <w:rPr>
          <w:rFonts w:ascii="Times New Roman" w:cs="Times New Roman" w:eastAsia="Times New Roman" w:hAnsi="Times New Roman"/>
          <w:sz w:val="18"/>
          <w:szCs w:val="18"/>
          <w:color w:val="auto"/>
        </w:rPr>
        <w:t>We entered into a series of contractual arrangements with Jingdong 360, Jiangsu Yuanzhou, Xi’an Jingdong Xincheng and other variable interest entities in China and their respective shareholders, which enable us to:</w:t>
      </w:r>
    </w:p>
    <w:p>
      <w:pPr>
        <w:spacing w:after="0" w:line="76" w:lineRule="exact"/>
        <w:rPr>
          <w:sz w:val="20"/>
          <w:szCs w:val="20"/>
          <w:color w:val="auto"/>
        </w:rPr>
      </w:pPr>
    </w:p>
    <w:p>
      <w:pPr>
        <w:ind w:left="1180" w:right="40" w:hanging="421"/>
        <w:spacing w:after="0" w:line="270"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Jingdong 360, Jiangsu Yuanzhou, Xi’an Jingdong Xincheng and other variable interest entities in China; and</w:t>
      </w:r>
    </w:p>
    <w:p>
      <w:pPr>
        <w:spacing w:after="0" w:line="76" w:lineRule="exact"/>
        <w:rPr>
          <w:rFonts w:ascii="Times New Roman" w:cs="Times New Roman" w:eastAsia="Times New Roman" w:hAnsi="Times New Roman"/>
          <w:sz w:val="18"/>
          <w:szCs w:val="18"/>
          <w:color w:val="auto"/>
        </w:rPr>
      </w:pPr>
    </w:p>
    <w:p>
      <w:pPr>
        <w:ind w:left="1180" w:right="180" w:hanging="421"/>
        <w:spacing w:after="0" w:line="270" w:lineRule="auto"/>
        <w:tabs>
          <w:tab w:leader="none" w:pos="1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Jingdong 360, Jiangsu Yuanzhou, Xi’an Jingdong Xincheng and other variable interest entities in China when and to the extent permitted by PRC law.</w:t>
      </w:r>
    </w:p>
    <w:p>
      <w:pPr>
        <w:spacing w:after="0" w:line="169"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Because of these contractual arrangements, we are the primary beneficiary of Jingdong 360, Jiangsu Yuanzhou, Xi’an Jingdong Xincheng and other variable interest entities in China and hence consolidate their financial results as the consolidated variable interest entities. For a detailed discussion of these contractual arrangements, see “Item 4.C. Information on the Company—Organizational Structure.”</w:t>
      </w:r>
    </w:p>
    <w:p>
      <w:pPr>
        <w:spacing w:after="0" w:line="179"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In the opinion of Shihui Partners, our PRC legal counsel, (i) the ownership structures of the consolidated variable interest entities in China and the PRC subsidiaries that have entered into contractual arrangements with the variable interest entities, including Jingdong Century, comply with all existing PRC laws and regulations; and (ii) the contractual arrangements between the PRC subsidiaries, including Jingdong Century, the variable interest entities and their respective shareholders governed by PRC law are valid, legally binding and enforceable, and will not result in any violation of PRC laws or regulations currently in effect.</w:t>
      </w:r>
    </w:p>
    <w:p>
      <w:pPr>
        <w:spacing w:after="0" w:line="187"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However, we are a Cayman Islands holding company with no equity ownership in the consolidated variable interest entities and we conduct certain of our operations in China through the consolidated variable interest entities with which we have maintained contractual arrangements. Investors in our ADSs or Class A ordinary shares thus are not purchasing equity interest in the consolidated variable interest entities in China but instead are purchasing equity interest in a Cayman Islands holding company. If the PRC government determines that the contractual arrangements with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 We may not be able to repay the notes and other indebtedness, and the securities we are registering may decline in value or become worthless, if the determinations, changes, or interpretations result in our inability to assert contractual control over the assets of the consolidated variable interest entities. Our holding company in the Cayman Islands,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group.</w:t>
      </w:r>
    </w:p>
    <w:p>
      <w:pPr>
        <w:spacing w:after="0" w:line="182"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Our PRC legal counsel has also advised us that there are uncertainties regarding the interpretation and application of current and future PRC laws, regulations and rules; accordingly, the PRC regulatory authorities may take a view that is different from the opinion of our PRC legal counsel in the future. It is uncertain whether any other new PRC laws or regulations relating to variable interest entity structures will be adopted or if adopted, what they would provide. If we or any of the consolidated variable interest entities are found to be in violation of any existing or future PRC laws or regulations, or fail to obtain or maintain any of the required permits or approvals, the PRC regulatory authorities would have broad discretion to take action in dealing with such violations or failures, including:</w:t>
      </w:r>
    </w:p>
    <w:p>
      <w:pPr>
        <w:spacing w:after="0" w:line="94" w:lineRule="exact"/>
        <w:rPr>
          <w:sz w:val="20"/>
          <w:szCs w:val="20"/>
          <w:color w:val="auto"/>
        </w:rPr>
      </w:pPr>
    </w:p>
    <w:p>
      <w:pPr>
        <w:ind w:left="1180" w:hanging="421"/>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certain of our PRC subsidiaries and variable interest entities;</w:t>
      </w:r>
    </w:p>
    <w:p>
      <w:pPr>
        <w:spacing w:after="0" w:line="123" w:lineRule="exact"/>
        <w:rPr>
          <w:rFonts w:ascii="Times New Roman" w:cs="Times New Roman" w:eastAsia="Times New Roman" w:hAnsi="Times New Roman"/>
          <w:sz w:val="18"/>
          <w:szCs w:val="18"/>
          <w:color w:val="auto"/>
        </w:rPr>
      </w:pPr>
    </w:p>
    <w:p>
      <w:pPr>
        <w:ind w:left="1180" w:right="120" w:hanging="421"/>
        <w:spacing w:after="0" w:line="270"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from the consolidated variable interest entities, or imposing other requirements with which we or the consolidated variable interest entities may not be able to comply;</w:t>
      </w:r>
    </w:p>
    <w:p>
      <w:pPr>
        <w:spacing w:after="0" w:line="76" w:lineRule="exact"/>
        <w:rPr>
          <w:rFonts w:ascii="Times New Roman" w:cs="Times New Roman" w:eastAsia="Times New Roman" w:hAnsi="Times New Roman"/>
          <w:sz w:val="18"/>
          <w:szCs w:val="18"/>
          <w:color w:val="auto"/>
        </w:rPr>
      </w:pPr>
    </w:p>
    <w:p>
      <w:pPr>
        <w:ind w:left="1180" w:right="60" w:hanging="421"/>
        <w:spacing w:after="0" w:line="258" w:lineRule="auto"/>
        <w:tabs>
          <w:tab w:leader="none" w:pos="1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restructure our ownership structure or operations, including terminating the contractual arrangements with the consolidated variable interest entities and deregistering the equity pledges of the consolidated variable interest entities, which in turn would affect our ability to consolidate or derive economic interests from the consolidated variable interest entities; or</w:t>
      </w:r>
    </w:p>
    <w:p>
      <w:pPr>
        <w:spacing w:after="0" w:line="85" w:lineRule="exact"/>
        <w:rPr>
          <w:rFonts w:ascii="Times New Roman" w:cs="Times New Roman" w:eastAsia="Times New Roman" w:hAnsi="Times New Roman"/>
          <w:sz w:val="18"/>
          <w:szCs w:val="18"/>
          <w:color w:val="auto"/>
        </w:rPr>
      </w:pPr>
    </w:p>
    <w:p>
      <w:pPr>
        <w:ind w:left="5540" w:right="300" w:hanging="4781"/>
        <w:spacing w:after="0" w:line="439" w:lineRule="auto"/>
        <w:tabs>
          <w:tab w:leader="none" w:pos="11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our use of the proceeds of any of our financing outside China to finance our business and operations in China. 58</w:t>
      </w:r>
    </w:p>
    <w:p>
      <w:pPr>
        <w:sectPr>
          <w:pgSz w:w="11900" w:h="16838" w:orient="portrait"/>
          <w:cols w:equalWidth="0" w:num="1">
            <w:col w:w="11000"/>
          </w:cols>
          <w:pgMar w:left="320" w:top="476" w:right="5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the consolidated variable interest entities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consolidated variable interest entities or our right to receive substantially all the economic benefits and residual returns from the consolidated variable interest entities and we are not able to restructure our ownership structure and operations in a satisfactory manner, we would no longer be able to consolidate the financial results of the consolidated variable interest entities in our consolidated financial statements. Either of these results, or any other significant penalties that might be imposed on us in this event, would have a material adverse effect on our financial condition and results of operations.</w:t>
      </w:r>
    </w:p>
    <w:p>
      <w:pPr>
        <w:spacing w:after="0" w:line="190" w:lineRule="exact"/>
        <w:rPr>
          <w:sz w:val="20"/>
          <w:szCs w:val="20"/>
          <w:color w:val="auto"/>
        </w:rPr>
      </w:pPr>
    </w:p>
    <w:p>
      <w:pPr>
        <w:ind w:left="240" w:right="20" w:firstLine="971"/>
        <w:spacing w:after="0" w:line="246" w:lineRule="auto"/>
        <w:rPr>
          <w:sz w:val="20"/>
          <w:szCs w:val="20"/>
          <w:color w:val="auto"/>
        </w:rPr>
      </w:pPr>
      <w:r>
        <w:rPr>
          <w:rFonts w:ascii="Times New Roman" w:cs="Times New Roman" w:eastAsia="Times New Roman" w:hAnsi="Times New Roman"/>
          <w:sz w:val="18"/>
          <w:szCs w:val="18"/>
          <w:color w:val="auto"/>
        </w:rPr>
        <w:t>Although we believe we, our PRC subsidiaries and the consolidated variable interest entities comply with current PRC laws and regulations, we cannot assure you that the PRC government would agree that our contractual arrangements comply with PRC licensing, registration or other regulatory requirements, with existing policies or with requirements or policies that may be adopted in the future. The PRC government has broad discretion in determining rectifiable or punitive measures for non-compliance with or violations of PRC laws and regulations. If the PRC government determines that we or the consolidated variable interest entities do not comply with applicable law, it could revoke the consolidated variable interest entities’ business and operating licenses, require the consolidated variable interest entities to discontinue or restrict the consolidated variable interest entities’ operations, restrict the consolidated variable interest entities’ right to collect revenues, block the consolidated variable interest entities’ websites, require the consolidated variable interest entities to restructure our operations, impose additional conditions or requirements with which the consolidated variable interest entities may not be able to comply, impose restrictions on the consolidated variable interest entities’ business operations or on their customers, or take other regulatory or enforcement actions against the consolidated variable interest entities that could be harmful to their business. Any of these or similar occurrences could significantly disrupt our or the consolidated variable interest entities’ business operations or restrict the consolidated variable interest entities from conducting a substantial portion of their business operations, which could materially and adversely affect the consolidated variable interest entities’ business, financial condition and results of operations. If any of these occurrences results in our inability to direct the activities of any of the consolidated variable interest entities that most significantly impact its economic performance, and/or our failure to receive the economic benefits from any of the consolidated variable interest entities, we may not be able to consolidate these entities in our consolidated financial statements in accordance with U.S. GAAP.</w:t>
      </w:r>
    </w:p>
    <w:p>
      <w:pPr>
        <w:spacing w:after="0" w:line="303"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the consolidated variable interest entities and their owners for a portion of our business operations, which may not be as effective as direct ownership in providing operational control.</w:t>
      </w:r>
    </w:p>
    <w:p>
      <w:pPr>
        <w:spacing w:after="0" w:line="58"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Jingdong 360 and its shareholders to hold our ICP license as an internet information provider, contractual arrangements with Jiangsu Yuanzhou and its shareholders to conduct the distribution of books and audio and video products and contractual arrangements with other variable interest entities for the restricted businesses. For a description of these contractual arrangements, see “Item 4.C. Information on the Company—Organizational Structure.” These contractual arrangements may not be as effective as direct ownership in providing us with control over the consolidated variable interest entities.</w:t>
      </w:r>
    </w:p>
    <w:p>
      <w:pPr>
        <w:spacing w:after="0" w:line="187"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If we had direct ownership of the consolidated variable interest entities, we would be able to exercise our rights as a shareholder to effect changes in the board of directors of those entities, which in turn could effect changes, subject to any applicable fiduciary obligations, at the management level. However, under the current contractual arrangements, we rely on the performance by the consolidated variable interest entities and their respective shareholders of their obligations under the contracts to exercise control over the consolidated variable interest entities. However, the shareholders of the consolidated variable interest entities may not act in the best interests of our company or may not perform their obligations under these contracts. Such risks exist throughout the period in which we intend to operate our business through the contractual arrangements with the consolidated variable interest entities. We may replace the shareholders of the consolidated variable interest entities at any time pursuant to our contractual arrangements with them and their shareholders. However, if any dispute relating to these contracts remains unresolved, we will have to enforce our rights under these contracts through the operations of PRC law and courts and therefore will be subject to uncertainties in the PRC legal system. See “—Any failure by the consolidated variable interest entities or their shareholders to perform their obligations under our contractual arrangements with them would have a material and adverse effect on our business.” Therefore, our contractual arrangements with the consolidated variable interest entities may not be as effective in ensuring our control over the relevant portion of our business operations as direct ownership would be.</w:t>
      </w:r>
    </w:p>
    <w:p>
      <w:pPr>
        <w:spacing w:after="0" w:line="1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320" w:top="476"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failure by the consolidated variable interest entities or their shareholders to perform their obligations under our contractual arrangements with them would have a material and adverse effect on our business.</w:t>
      </w:r>
    </w:p>
    <w:p>
      <w:pPr>
        <w:spacing w:after="0" w:line="58" w:lineRule="exact"/>
        <w:rPr>
          <w:sz w:val="20"/>
          <w:szCs w:val="20"/>
          <w:color w:val="auto"/>
        </w:rPr>
      </w:pPr>
    </w:p>
    <w:p>
      <w:pPr>
        <w:ind w:left="240" w:right="120" w:firstLine="971"/>
        <w:spacing w:after="0" w:line="250" w:lineRule="auto"/>
        <w:rPr>
          <w:sz w:val="20"/>
          <w:szCs w:val="20"/>
          <w:color w:val="auto"/>
        </w:rPr>
      </w:pPr>
      <w:r>
        <w:rPr>
          <w:rFonts w:ascii="Times New Roman" w:cs="Times New Roman" w:eastAsia="Times New Roman" w:hAnsi="Times New Roman"/>
          <w:sz w:val="18"/>
          <w:szCs w:val="18"/>
          <w:color w:val="auto"/>
        </w:rPr>
        <w:t>If the consolidated variable interest entities or their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claiming damages, which we cannot assure you will be effective. For example, if the shareholders of the consolidated variable interest entities were to refuse to transfer their equity interest in the variable interest entities to us or our designee when we exercise the purchase option pursuant to these contractual arrangements, or if they were otherwise to act in bad faith toward us, we may have to take legal actions to compel them to perform their contractual obligations.</w:t>
      </w:r>
    </w:p>
    <w:p>
      <w:pPr>
        <w:spacing w:after="0" w:line="187"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See “—Risks Related to Doing Business in China—Uncertainties with respect to the legal system in the Chinese mainland could adversely affect us.” Meanwhile, there are very few precedents and little formal guidance as to how contractual arrangements in the context of a variable interest entity should be interpreted or enforced under PRC law, and as a result it may be difficult to predict how an arbitration panel would view such contractual arrangements. As a result, uncertainties in the PRC legal system could limit our ability to enforce these contractual arrangements. Additionally,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w:t>
      </w:r>
    </w:p>
    <w:p>
      <w:pPr>
        <w:spacing w:after="0" w:line="190" w:lineRule="exact"/>
        <w:rPr>
          <w:sz w:val="20"/>
          <w:szCs w:val="20"/>
          <w:color w:val="auto"/>
        </w:rPr>
      </w:pPr>
    </w:p>
    <w:p>
      <w:pPr>
        <w:ind w:left="240" w:right="140" w:firstLine="971"/>
        <w:spacing w:after="0" w:line="250" w:lineRule="auto"/>
        <w:rPr>
          <w:sz w:val="20"/>
          <w:szCs w:val="20"/>
          <w:color w:val="auto"/>
        </w:rPr>
      </w:pPr>
      <w:r>
        <w:rPr>
          <w:rFonts w:ascii="Times New Roman" w:cs="Times New Roman" w:eastAsia="Times New Roman" w:hAnsi="Times New Roman"/>
          <w:sz w:val="18"/>
          <w:szCs w:val="18"/>
          <w:color w:val="auto"/>
        </w:rPr>
        <w:t>The consolidated variable interest entities, including their subsidiaries, hold our necessary licenses and permits, including ICP licenses, Courier Service Operation Permits and Practicing License for Medical Institutions, and conduct our sales of books and audio and video products (including publication of e-books and online audio and video products). In the event we are unable to enforce our contractual arrangements, our ability to conduct these businesses may be negatively affected. We generate the majority of our revenues from products and services that are offered to customers through our mobile apps and websites and any interruption in our ability to use our mobile apps and websites may have a material and adverse effect on our financial condition and results of operations.</w:t>
      </w:r>
    </w:p>
    <w:p>
      <w:pPr>
        <w:spacing w:after="0" w:line="289" w:lineRule="exact"/>
        <w:rPr>
          <w:sz w:val="20"/>
          <w:szCs w:val="20"/>
          <w:color w:val="auto"/>
        </w:rPr>
      </w:pPr>
    </w:p>
    <w:p>
      <w:pPr>
        <w:ind w:left="240"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the consolidated variable interest entities may have potential conflicts of interest with us, which may materially and adversely affect our business and financial condition.</w:t>
      </w:r>
    </w:p>
    <w:p>
      <w:pPr>
        <w:spacing w:after="0" w:line="58"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Mr. Qin Miao, Ms. Yayun Li, Ms. Pang Zhang and Ms. Tingting Sui are the shareholders of our significant consolidated variable interest entities. Mr. Qin Miao is a vice president of our company, Ms. Yayun Li was a senior vice president of our company, Ms. Pang Zhang is our chief human resources officer, and Ms. Tingting Sui is a vice president of our company.</w:t>
      </w:r>
    </w:p>
    <w:p>
      <w:pPr>
        <w:spacing w:after="0" w:line="179"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The shareholders of the consolidated variable interest entities may have potential conflicts of interest with us. These shareholders may breach, or cause the consolidated variable interest entities to breach, or refuse to renew, the existing contractual arrangements we have with them and the consolidated variable interest entities, which would have a material and adverse effect on our ability to effectively control the consolidated variable interest entities and receive substantially all the economic benefits from them. For example, the shareholders may be able to cause our agreements with the consolidated variable interest entities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89"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If we cannot resolve any conflict of interest or dispute between us and the shareholders of the consolidated variable interest entities, we would have to rely on legal proceedings, which could result in disruption of our business and subject us to substantial uncertainty as to the outcome of any such legal proceedings.</w:t>
      </w:r>
    </w:p>
    <w:p>
      <w:pPr>
        <w:spacing w:after="0" w:line="287" w:lineRule="exact"/>
        <w:rPr>
          <w:sz w:val="20"/>
          <w:szCs w:val="20"/>
          <w:color w:val="auto"/>
        </w:rPr>
      </w:pPr>
    </w:p>
    <w:p>
      <w:pPr>
        <w:ind w:left="2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We are a holding company, and we may rely on dividends and other distributions on equity paid by our PRC subsidiaries like Jingdong Century for our cash and financing requirements, including the funds necessary to pay dividends and other cash distributions to our shareholders and service any debt we may incur. If these subsidiaries incur debt on their own behalf in the future, the instruments governing the debt may restrict their ability to pay dividends or make other distributions to us. In addition, the PRC tax authorities may require Jingdong Century or any other relevant PRC subsidiary to adjust its taxable income under the contractual arrangements it currently has in place with the consolidated variable interest entities in a manner that would materially and adversely affect its ability to pay dividends and other distributions to us. See “—Contractual arrangements in relation to the consolidated variable interest entities may be subject to scrutiny by the PRC tax authorities and they may determine that we or the variable interest entities owe additional taxes, which could negatively affect our financial condition and the value of your investment.”</w:t>
      </w:r>
    </w:p>
    <w:p>
      <w:pPr>
        <w:sectPr>
          <w:pgSz w:w="11900" w:h="16838" w:orient="portrait"/>
          <w:cols w:equalWidth="0" w:num="1">
            <w:col w:w="11000"/>
          </w:cols>
          <w:pgMar w:left="320" w:top="476" w:right="579" w:bottom="1440" w:gutter="0" w:footer="0" w:header="0"/>
        </w:sectPr>
      </w:pP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320" w:top="476" w:right="5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Under PRC laws and regulations, our wholly foreign-owned subsidiaries in the Chinese mainland may pay dividends only out of their respective accumulated profits as determined in accordance with PRC accounting standards and regulations. In addition, a PRC enterprise is required to set aside at least 10% of its accumulated after-tax profits each year, if any, to fund certain statutory reserve fund, until the aggregate amount of such fund reaches 50% of its registered capital.</w:t>
      </w:r>
    </w:p>
    <w:p>
      <w:pPr>
        <w:spacing w:after="0" w:line="185" w:lineRule="exact"/>
        <w:rPr>
          <w:sz w:val="20"/>
          <w:szCs w:val="20"/>
          <w:color w:val="auto"/>
        </w:rPr>
      </w:pPr>
    </w:p>
    <w:p>
      <w:pPr>
        <w:ind w:left="240" w:right="80" w:firstLine="971"/>
        <w:spacing w:after="0" w:line="248"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The funds in our PRC subsidiaries or the consolidated variable interest entities in the Chinese mainland may not be available to fund operations or for other use outside of the Chinese mainland due to interventions in or the imposition of restrictions and limitations on the ability of our holding company, our subsidiaries, or the consolidated variable interest entities by the PRC government on cash transfers. Although currently there are not equivalent or similar restrictions or limitations in Hong Kong on cash transfers in, or out of, our Hong Kong entities, if certain restrictions or limitations in the Chinese mainland were to become applicable to cash transfers in and out of Hong Kong entities in the future, the funds in our Hong Kong entities, likewise, may not be available to fund operations or for other use outside of Hong Kong. See also “—Risks Related to Doing Business in China—If we are classified as a PRC resident enterprise for PRC income tax purposes, such classification could result in unfavorable tax consequences to us and our non-PRC shareholders or ADS holders.”</w:t>
      </w:r>
    </w:p>
    <w:p>
      <w:pPr>
        <w:spacing w:after="0" w:line="290" w:lineRule="exact"/>
        <w:rPr>
          <w:sz w:val="20"/>
          <w:szCs w:val="20"/>
          <w:color w:val="auto"/>
        </w:rPr>
      </w:pPr>
    </w:p>
    <w:p>
      <w:pPr>
        <w:ind w:left="240"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making loans to our PRC subsidiaries and the consolidated variable interest entities or making additional capital contributions to our wholly foreign-owned subsidiaries in the Chinese mainland, which could materially and adversely affect our liquidity and our ability to fund and expand our business.</w:t>
      </w:r>
    </w:p>
    <w:p>
      <w:pPr>
        <w:spacing w:after="0" w:line="76"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the Chinese mainland through our PRC subsidiaries and the consolidated variable interest entities. We may make loans to our PRC subsidiaries and the consolidated variable interest entities subject to the approval from governmental authorities and limitation of amount, or we may make additional capital contributions to our wholly foreign-owned subsidiaries in the Chinese mainland.</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320" w:top="476" w:right="5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Any loans to our wholly foreign-owned subsidiaries in the Chinese mainland, which are treated as foreign-invested enterprises under PRC law, are subject to PRC regulations and foreign exchange loan registrations. For example, loans by us to our wholly foreign-owned subsidiaries in the Chinese mainland to finance their activities cannot exceed statutory limits, i.e., the difference between its total amount of investment and its registered capital, or certain amount calculated based on elements including capital or net assets, the cross-border financing leverage ratio and the macro prudential coefficient (“Macro-prudential Management Mode”) under PRC laws and the loans must be registered with the local counterpart of the State Administration of Foreign Exchange, or SAFE, or filed with SAFE in its information system. We may also provide loans to the consolidated variable interest entities or other domestic PRC entities under the Macro-prudential Management Mode. According to the Circular of the People’s Bank of China and the State Administration of Foreign Exchange on Upregulating the Macro-prudent Adjustment Parameter for Cross-border Financing issued on January 13, 2025, the People’s Bank of China and the SAFE have decided to raise the macro prudential coefficient for cross-border financing of enterprises and financial institutions from 1.5 to 1.75. As a result, the limit for the total amount of foreign debt under the Macro-prudential Management Mode is adjusted to three and a half times of their respective net assets.</w:t>
      </w:r>
    </w:p>
    <w:p>
      <w:pPr>
        <w:spacing w:after="0" w:line="195"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8"/>
          <w:szCs w:val="18"/>
          <w:color w:val="auto"/>
        </w:rPr>
        <w:t>Moreover, any medium or long-term loan to be provided by us to the consolidated variable interest entities or other domestic PRC entities must also be registered with the NDRC.</w:t>
      </w:r>
    </w:p>
    <w:p>
      <w:pPr>
        <w:spacing w:after="0" w:line="169" w:lineRule="exact"/>
        <w:rPr>
          <w:sz w:val="20"/>
          <w:szCs w:val="20"/>
          <w:color w:val="auto"/>
        </w:rPr>
      </w:pPr>
    </w:p>
    <w:p>
      <w:pPr>
        <w:ind w:left="240" w:right="40" w:firstLine="971"/>
        <w:spacing w:after="0" w:line="247" w:lineRule="auto"/>
        <w:rPr>
          <w:sz w:val="20"/>
          <w:szCs w:val="20"/>
          <w:color w:val="auto"/>
        </w:rPr>
      </w:pPr>
      <w:r>
        <w:rPr>
          <w:rFonts w:ascii="Times New Roman" w:cs="Times New Roman" w:eastAsia="Times New Roman" w:hAnsi="Times New Roman"/>
          <w:sz w:val="18"/>
          <w:szCs w:val="18"/>
          <w:color w:val="auto"/>
        </w:rPr>
        <w:t>We may also decide to finance our wholly foreign-owned subsidiaries in the Chinese mainland by means of capital contributions. These capital contributions shall go through record-filing procedures from competent administration for market regulation. SAFE issued the Circular on the Management Concerning the Reform of the Payment and Settlement of Foreign Currency Capital of Foreign-Invested Enterprises, which took effect on June 1, 2015. This circular allows for the use of RMB converted from the foreign currency-denominated capital for equity investments in the PRC provided that such usage shall fall into the scope of business of the foreign-invested enterprise, which will be regarded as the reinvestment of foreign-invested enterprise. In addition, SAFE promulgated the Circular Regarding Further Promotion of the Facilitation of Cross-Border Trade and Investment on October 23, 2019, pursuant to which all foreign-invested enterprises can make equity investments in the PRC with their capital funds in accordance with the law. The Circular Regarding Further Optimizing the Cross-border RMB Policy to Support the Stabilization of Foreign Trade and Foreign Investment jointly promulgated by the People’s Bank of China, NDRC, the Ministry of Commerce, the State-owned Assets Supervision and Administration Commission of the State Council, the China Banking and Insurance Regulatory Commission and SAFE on December 31, 2020 and effective on February 4, 2021 allows the non-investment foreign-invested enterprises to make domestic reinvestment with RMB capital in accordance with the law on the premise that they comply with prevailing regulations and the invested projects in China are authentic and compliant. In addition, if a foreign-invested enterprise uses RMB income under capital accounts to conduct domestic reinvestment, the invested enterprise is not required to open a special deposit account for RMB capital.</w:t>
      </w:r>
    </w:p>
    <w:p>
      <w:pPr>
        <w:spacing w:after="0" w:line="190"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Due to the restrictions imposed on loans in foreign currencies extended to any PRC domestic companies, we may not be able to make such loans to the subsidiaries of our wholly foreign-owned subsidiaries in the Chinese mainland and the consolidated variable interest entities in the Chinese mainland. Meanwhile, we may not be able to finance the activities of the consolidated variable interest entities by means of capital contributions given the restrictions on foreign investment in the businesses that are currently conducted by the consolidated variable interest entities.</w:t>
      </w:r>
    </w:p>
    <w:p>
      <w:pPr>
        <w:spacing w:after="0" w:line="185"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record-filings on a timely basis, if at all, with respect to future loans to our PRC subsidiaries or any consolidated variable interest entity or future capital contributions by us to our wholly foreign-owned subsidiaries in the Chinese mainland. As a result, uncertainties exist as to our ability to provide prompt financial support to our PRC subsidiaries or consolidated variable interest entities when needed. If we fail to complete such registrations or record-filings, our ability to use foreign currency, including the proceeds we received from our initial public offering, and to capitalize or otherwise fund our PRC operations may be negatively affected, which could materially and adversely affect our liquidity and our ability to fund and expand our business.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320" w:top="476" w:right="5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the consolidated variable interest entities may be subject to scrutiny by the PRC tax authorities and they may determine that we or the variable interest entities owe additional taxes, which could negatively affect our financial condition and the value of your investment.</w:t>
      </w:r>
    </w:p>
    <w:p>
      <w:pPr>
        <w:spacing w:after="0" w:line="72" w:lineRule="exact"/>
        <w:rPr>
          <w:sz w:val="20"/>
          <w:szCs w:val="20"/>
          <w:color w:val="auto"/>
        </w:rPr>
      </w:pPr>
    </w:p>
    <w:p>
      <w:pPr>
        <w:ind w:left="240" w:right="120" w:firstLine="971"/>
        <w:spacing w:after="0" w:line="250" w:lineRule="auto"/>
        <w:rPr>
          <w:sz w:val="20"/>
          <w:szCs w:val="20"/>
          <w:color w:val="auto"/>
        </w:rPr>
      </w:pPr>
      <w:r>
        <w:rPr>
          <w:rFonts w:ascii="Times New Roman" w:cs="Times New Roman" w:eastAsia="Times New Roman" w:hAnsi="Times New Roman"/>
          <w:sz w:val="18"/>
          <w:szCs w:val="18"/>
          <w:color w:val="auto"/>
        </w:rPr>
        <w:t>Under applicable PRC laws and regulations, transactions among related parties may be subject to audit or challenge by the PRC tax authorities. If the PRC tax authorities deem the transactions between the PRC subsidiaries and the consolidated variable interest entities in China, and their respective shareholders were not entered into on an arm’s-length basis and resulted in deferral or underpayment in taxes, they are entitled to make special tax adjustments which might result in the increase of the variable interest entities’ tax liabilities. If the tax authorities conduct special tax adjustments, they might impose interest charges for the underpaid taxes. Our financial position could be adversely affected if the consolidated variable interest entities’ tax liabilities increase or if they are required to pay interest charge.</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current corporate structure and business operations may be affected by the PRC Foreign Investment Law.</w:t>
      </w:r>
    </w:p>
    <w:p>
      <w:pPr>
        <w:spacing w:after="0" w:line="114" w:lineRule="exact"/>
        <w:rPr>
          <w:sz w:val="20"/>
          <w:szCs w:val="20"/>
          <w:color w:val="auto"/>
        </w:rPr>
      </w:pPr>
    </w:p>
    <w:p>
      <w:pPr>
        <w:ind w:left="240" w:right="140" w:firstLine="971"/>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PRC Foreign Investment Law, which has become effective on January 1, 2020 and replaced the outgoing laws regulating foreign investment in China, namely, the PRC Equity Joint Venture Law, the PRC Cooperative Joint Venture Law and the Wholly Foreign-owned Enterprise Law, as well their implementation rules and ancillary regulations. See “Item 4.B. Information on the Company—Business Overview—Regulation—Regulations Relating to Foreign Investment.”</w:t>
      </w:r>
    </w:p>
    <w:p>
      <w:pPr>
        <w:spacing w:after="0" w:line="185"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Meanwhile, the Implementation Rules to the Foreign Investment Law came into effect as of January 1, 2020, which clarified and elaborated the relevant provisions of the Foreign Investment Law. However, uncertainties still exist in relation to interpretation and implementation of the Foreign Investment Law, especially in regard to, including, among other things, the nature of variable interest entities contractual arrangements and specific rules regulating the organization form of foreign-invested enterprises within the five-year transition period. While Foreign Investment Law does not define contractual arrangements as a form of foreign investment explicitly, it has a catch-all provision under definition of “foreign investment” that includes investments made by foreign investors in the PRC through other means as provided by laws, administrative regulations or the State Council, we cannot assure you that future laws and regulations will not provide for contractual arrangements as a form of foreign investment. Therefore, there can be no assurance that our control over the consolidated variable interest entities through contractual arrangements will not be deemed as foreign investment in the future. In the event that any possible implementing regulations of the Foreign Investment Law, any other future laws, administrative regulations or provisions deem contractual arrangements as a way of foreign investment, or if any of our operations through contractual arrangements is classified in the “restricted” or “prohibited” industry in the future “negative list” under the Foreign Investment Law, our contractual arrangements may be deemed as invalid and illegal, and we may be required to unwind the variable interest entity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Furthermore, under the Foreign Investment Law, foreign investors or the foreign investment enterprise should be imposed legal liabilities for failing to report investment information in accordance with the requirements. In addition, the Foreign Investment Law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in such transition period. Failure to take timely and appropriate measures to cope with any of these or similar regulatory compliance challenges could materially and adversely affect our current corporate structure, corporate governance, financial condition and business operations.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08" w:lineRule="exact"/>
        <w:rPr>
          <w:sz w:val="20"/>
          <w:szCs w:val="20"/>
          <w:color w:val="auto"/>
        </w:rPr>
      </w:pPr>
    </w:p>
    <w:p>
      <w:pPr>
        <w:ind w:left="240" w:right="5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Changes in China’s or global economic, political or social conditions or government policies could have a material and adverse effect on our business and operations.</w:t>
      </w:r>
    </w:p>
    <w:p>
      <w:pPr>
        <w:spacing w:after="0" w:line="58" w:lineRule="exact"/>
        <w:rPr>
          <w:sz w:val="20"/>
          <w:szCs w:val="20"/>
          <w:color w:val="auto"/>
        </w:rPr>
      </w:pPr>
    </w:p>
    <w:p>
      <w:pPr>
        <w:jc w:val="both"/>
        <w:ind w:left="240" w:firstLine="971"/>
        <w:spacing w:after="0" w:line="258" w:lineRule="auto"/>
        <w:rPr>
          <w:sz w:val="20"/>
          <w:szCs w:val="20"/>
          <w:color w:val="auto"/>
        </w:rPr>
      </w:pPr>
      <w:r>
        <w:rPr>
          <w:rFonts w:ascii="Times New Roman" w:cs="Times New Roman" w:eastAsia="Times New Roman" w:hAnsi="Times New Roman"/>
          <w:sz w:val="18"/>
          <w:szCs w:val="18"/>
          <w:color w:val="auto"/>
        </w:rPr>
        <w:t>Substantially all of our operations are located in China. Accordingly, our business, financial condition, results of operations and prospects may be influenced to a significant degree by political, economic and social conditions in China generally and by continued economic growth in China as a whole.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320" w:top="476" w:right="5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there can be no assurance that the growth would be maintained or equitable across sectors. The Chinese government has implemented various measures to encourage economic growth and guide the allocation of resources. Some of these measures may benefit the overall Chinese economy, but may not have the same effect on us.</w:t>
      </w:r>
    </w:p>
    <w:p>
      <w:pPr>
        <w:spacing w:after="0" w:line="179" w:lineRule="exact"/>
        <w:rPr>
          <w:sz w:val="20"/>
          <w:szCs w:val="20"/>
          <w:color w:val="auto"/>
        </w:rPr>
      </w:pPr>
    </w:p>
    <w:p>
      <w:pPr>
        <w:ind w:left="240" w:right="80" w:firstLine="971"/>
        <w:spacing w:after="0" w:line="253" w:lineRule="auto"/>
        <w:rPr>
          <w:sz w:val="20"/>
          <w:szCs w:val="20"/>
          <w:color w:val="auto"/>
        </w:rPr>
      </w:pPr>
      <w:r>
        <w:rPr>
          <w:rFonts w:ascii="Times New Roman" w:cs="Times New Roman" w:eastAsia="Times New Roman" w:hAnsi="Times New Roman"/>
          <w:sz w:val="18"/>
          <w:szCs w:val="18"/>
          <w:color w:val="auto"/>
        </w:rPr>
        <w:t>In addition, the global macroeconomic environment is facing challenges. Geopolitical tension and conflicts, energy crisis, inflation risk, interest rate increases, instability in the financial system, and the tightening of monetary policy by the U.S. Federal Reserve impose new challenges and uncertainties on the global economy. It is unclear whether these challenges and uncertainties will be contained or resolved, and what effects they may have on the global political and economic conditions in the long term.</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legal system in the Chinese mainland could adversely affect us.</w:t>
      </w:r>
    </w:p>
    <w:p>
      <w:pPr>
        <w:spacing w:after="0" w:line="114"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We conduct our business primarily through our PRC subsidiaries and the consolidated variable interest entities in the Chinese mainland. Our operations in the Chinese mainland are governed by PRC laws and regulations. Our PRC subsidiaries are subject to laws and regulations applicable to foreign investment in the Chinese mainland. The PRC legal system is a civil law system based on written statutes. Unlike the common law system, prior court decisions may be cited for reference but have limited precedential value. The PRC legal system is evolving rapidly, the rules and regulations in the Chinese mainland can change quickly with little advance notice, and the interpretation and enforcement of many laws, regulations and rules may involves uncertainties.</w:t>
      </w:r>
    </w:p>
    <w:p>
      <w:pPr>
        <w:spacing w:after="0" w:line="187"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may have significant discretion in interpreting and implementing statutory and contractual terms, it may be difficult to evaluate the outcome of administrative and court proceedings and the level of legal protection we enjoy. These uncertainties may impede our ability to enforce the contracts we have entered into and could materially and adversely affect our business and results of operations. Furthermore, the PRC legal system is based, in part, on government policies and internal rules, some of which may have retroactive effect. As a result, we may not always be aware of any potential violation of these policies and rules. Such unpredictability towards our contractual, property and procedural rights could adversely affect our business and impede our ability to continue our operations.</w:t>
      </w:r>
    </w:p>
    <w:p>
      <w:pPr>
        <w:spacing w:after="0" w:line="193" w:lineRule="exact"/>
        <w:rPr>
          <w:sz w:val="20"/>
          <w:szCs w:val="20"/>
          <w:color w:val="auto"/>
        </w:rPr>
      </w:pPr>
    </w:p>
    <w:p>
      <w:pPr>
        <w:ind w:left="240" w:right="120" w:firstLine="971"/>
        <w:spacing w:after="0" w:line="280" w:lineRule="auto"/>
        <w:rPr>
          <w:sz w:val="20"/>
          <w:szCs w:val="20"/>
          <w:color w:val="auto"/>
        </w:rPr>
      </w:pPr>
      <w:r>
        <w:rPr>
          <w:rFonts w:ascii="Times New Roman" w:cs="Times New Roman" w:eastAsia="Times New Roman" w:hAnsi="Times New Roman"/>
          <w:sz w:val="17"/>
          <w:szCs w:val="17"/>
          <w:color w:val="auto"/>
        </w:rPr>
        <w:t>PRC government has significant oversight over the conduct of our business and it has recently indicated an intent to exert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 worthless.</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consumer protection laws that could require us to modify our current business practices and incur increased costs.</w:t>
      </w:r>
    </w:p>
    <w:p>
      <w:pPr>
        <w:spacing w:after="0" w:line="114"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We are subject to numerous PRC laws and regulations that regulate retailers generally or govern online retailers specifically, such as the Consumer Protection Law. If these regulations were to change or if we, suppliers or third-party merchants on our marketplace were to violate them, the costs of certain products or services could increase, or we could be subject to fines or penalties or suffer reputational harm, which could reduce demand for the products or services offered on our mobile apps and websites and hurt our business and results of operations. For example, the amended Consumer Protection Law, which became effective in March 2014, further strengthens the protection of consumers and imposes more stringent requirements and obligations on business operators, especially on businesses that operate on the internet. Pursuant to the Consumer Protection Law, except for certain types of products, such as custom-made goods, fresh and perishable goods, consumers are generally entitled to return goods purchased within seven days upon receipt without giving any reasons if they purchased the goods over the internet. Consumers whose interests have been damaged due to their purchase of goods or acceptance of services on online marketplace platforms may claim damages from merchants or service providers. Where the operators of an online marketplace platform are unable to provide the real names, addresses and valid contact details of the merchants or service providers, the consumers may also claim damages from the operators of the online marketplace platforms. Operators of online marketplace platforms that know or should have known that merchants or service providers use their platforms to infringe upon the legitimate rights and interests of consumers but fail to take necessary measures must bear joint and several liability with the merchants or service providers. Moreover, if business operators deceive consumers or knowingly sell substandard or defective products, they should not only compensate consumers for their losses, but also pay additional damages equal to three times the price of the goods or services. Legal requirements are frequently changed and subject to interpretation, and we are unable to predict the ultimate cost of compliance with these requirements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320" w:top="476" w:right="5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complexity, uncertainties and changes in PRC regulation of internet-related business and companies such as e-commerce business and internet platforms.</w:t>
      </w:r>
    </w:p>
    <w:p>
      <w:pPr>
        <w:spacing w:after="0" w:line="58" w:lineRule="exact"/>
        <w:rPr>
          <w:sz w:val="20"/>
          <w:szCs w:val="20"/>
          <w:color w:val="auto"/>
        </w:rPr>
      </w:pPr>
    </w:p>
    <w:p>
      <w:pPr>
        <w:ind w:left="240" w:right="300" w:firstLine="971"/>
        <w:spacing w:after="0" w:line="251" w:lineRule="auto"/>
        <w:rPr>
          <w:sz w:val="20"/>
          <w:szCs w:val="20"/>
          <w:color w:val="auto"/>
        </w:rPr>
      </w:pPr>
      <w:r>
        <w:rPr>
          <w:rFonts w:ascii="Times New Roman" w:cs="Times New Roman" w:eastAsia="Times New Roman" w:hAnsi="Times New Roman"/>
          <w:sz w:val="18"/>
          <w:szCs w:val="18"/>
          <w:color w:val="auto"/>
        </w:rPr>
        <w:t>The PRC government extensively regulates the internet industry, including foreign ownership of, and the licensing and permit requirements pertaining to, companies in the internet industry. These internet-related laws and regulations are evolving, and their interpretation and enforcement involve significant uncertainties. As a result, in certain circumstances it may be difficult to determine what actions or omissions may be deemed to be in violation of applicable laws and regulations. Issues, risks and uncertainties relating to PRC government regulation of the internet industry include, but are not limited to, the following:</w:t>
      </w:r>
    </w:p>
    <w:p>
      <w:pPr>
        <w:spacing w:after="0" w:line="187"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We only have control over our websites through contractual arrangements. We do not own the websites in the Chinese mainland due to the restriction of foreign investment in businesses providing value-added telecommunication services in the Chinese mainland, including internet information provision services. This may significantly disrupt our business, subject us to sanctions, compromise enforceability of related contractual arrangements, or have other harmful effects on us.</w:t>
      </w:r>
    </w:p>
    <w:p>
      <w:pPr>
        <w:spacing w:after="0" w:line="185" w:lineRule="exact"/>
        <w:rPr>
          <w:sz w:val="20"/>
          <w:szCs w:val="20"/>
          <w:color w:val="auto"/>
        </w:rPr>
      </w:pPr>
    </w:p>
    <w:p>
      <w:pPr>
        <w:jc w:val="both"/>
        <w:ind w:left="240" w:right="140" w:firstLine="971"/>
        <w:spacing w:after="0" w:line="251" w:lineRule="auto"/>
        <w:rPr>
          <w:sz w:val="20"/>
          <w:szCs w:val="20"/>
          <w:color w:val="auto"/>
        </w:rPr>
      </w:pPr>
      <w:r>
        <w:rPr>
          <w:rFonts w:ascii="Times New Roman" w:cs="Times New Roman" w:eastAsia="Times New Roman" w:hAnsi="Times New Roman"/>
          <w:sz w:val="18"/>
          <w:szCs w:val="18"/>
          <w:color w:val="auto"/>
        </w:rPr>
        <w:t>The evolving PRC regulatory system for the internet industry may lead to the establishment of new regulatory agencies. For example, in May 2011, the State Council announced the establishment of a new department, the Cyberspace Administration of China (with the involvement of the State Council Information Office, the MIIT, and the Ministry of Public Security). The primary role of this agency is to facilitate the policy-making and legislative development in this field to direct and coordinate with the relevant departments in connection with online content administration and to deal with cross-ministry regulatory matters in relation to the internet industry.</w:t>
      </w:r>
    </w:p>
    <w:p>
      <w:pPr>
        <w:spacing w:after="0" w:line="187"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New laws and regulations may be promulgated that will regulate internet activities, including online retail and internet information service. If these new laws and regulations are promulgated, additional licenses may be required for our operations. If our operations do not comply with these new regulations at the time they become effective, or if we fail to obtain any licenses required under these new laws and regulations, we could be subject to penalties. For example, on February 25, 2023, the SAMR released the Administrative Measures for Internet Advertising, which came into effect on May 1, 2023 and replaced Interim Measures for the Administration of Internet Advertising. The Administrative Measures for Internet Advertising further strengthen the responsibilities of Internet platform operators and enhance their review obligation in Internet advertising activities. see “Item 4.B. Information on the Company—Business Overview—Regulation—Regulations relating to Advertising Business.” Any failure to comply with the Administrative Measures for Internet Advertising may result in administrative liabilities, including warnings, public denouncement, fines, enforcement orders requiring us to correct, suspension of business or even criminal liabilities, all of which may materially and adversely affect our business and results of operations.</w:t>
      </w:r>
    </w:p>
    <w:p>
      <w:pPr>
        <w:spacing w:after="0" w:line="188" w:lineRule="exact"/>
        <w:rPr>
          <w:sz w:val="20"/>
          <w:szCs w:val="20"/>
          <w:color w:val="auto"/>
        </w:rPr>
      </w:pPr>
    </w:p>
    <w:p>
      <w:pPr>
        <w:ind w:left="240" w:right="120" w:firstLine="971"/>
        <w:spacing w:after="0" w:line="247" w:lineRule="auto"/>
        <w:rPr>
          <w:sz w:val="20"/>
          <w:szCs w:val="20"/>
          <w:color w:val="auto"/>
        </w:rPr>
      </w:pPr>
      <w:r>
        <w:rPr>
          <w:rFonts w:ascii="Times New Roman" w:cs="Times New Roman" w:eastAsia="Times New Roman" w:hAnsi="Times New Roman"/>
          <w:sz w:val="18"/>
          <w:szCs w:val="18"/>
          <w:color w:val="auto"/>
        </w:rPr>
        <w:t xml:space="preserve">The Circular on Strengthening the Administration of Foreign Investment in and Operation of Value-added Telecommunications Business, issued by the MIIT in July 2006, prohibits domestic telecommunication service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this circular, either the holder of a value-added telecommunication services operation permit or its shareholders must directly own the domain names and trademarks used by such license holders in their provision of value-added telecommunication services. The circular also requires each license holder to have the necessary facilities, including servers, for its approved business operations and to maintain such facilities in the regions covered by its license. If an ICP license holder fails to comply with the requirements and also fails to remedy such non-compliance within a specified period of time, the MIIT or its local counterparts have the discretion to take administrative measures against such license holder, including revoking its ICP license. Currently, Jingdong 360, one of the consolidated variable interest entities, holds an ICP license and operates our </w:t>
      </w:r>
      <w:r>
        <w:rPr>
          <w:rFonts w:ascii="Times New Roman" w:cs="Times New Roman" w:eastAsia="Times New Roman" w:hAnsi="Times New Roman"/>
          <w:sz w:val="18"/>
          <w:szCs w:val="18"/>
          <w:i w:val="1"/>
          <w:iCs w:val="1"/>
          <w:color w:val="auto"/>
        </w:rPr>
        <w:t>www.jd.com</w:t>
      </w:r>
      <w:r>
        <w:rPr>
          <w:rFonts w:ascii="Times New Roman" w:cs="Times New Roman" w:eastAsia="Times New Roman" w:hAnsi="Times New Roman"/>
          <w:sz w:val="18"/>
          <w:szCs w:val="18"/>
          <w:color w:val="auto"/>
        </w:rPr>
        <w:t xml:space="preserve"> website. Jingdong 360 owns the domain names and registered trademarks and has the necessary personnel to operate such website.</w:t>
      </w:r>
    </w:p>
    <w:p>
      <w:pPr>
        <w:spacing w:after="0" w:line="1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320" w:top="476"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60" w:lineRule="auto"/>
        <w:rPr>
          <w:sz w:val="20"/>
          <w:szCs w:val="20"/>
          <w:color w:val="auto"/>
        </w:rPr>
      </w:pPr>
      <w:r>
        <w:rPr>
          <w:rFonts w:ascii="Times New Roman" w:cs="Times New Roman" w:eastAsia="Times New Roman" w:hAnsi="Times New Roman"/>
          <w:sz w:val="17"/>
          <w:szCs w:val="17"/>
          <w:color w:val="auto"/>
        </w:rPr>
        <w:t>On February 7, 2021, the Anti-monopoly Commission of the State Council officially promulgated the Guidelines to Anti-Monopoly in the Field of Internet Platforms. Pursuant to an official interpretation from the Anti-monopoly Commission of the State Council, these guidelines mainly cover five aspects, including general provisions, monopoly agreements, abuse of market dominance, concentration of undertakings, and abuse of administrative powers that eliminate or restrict competition. These guidelines prohibit certain monopolistic acts of internet platforms to protect market competition and safeguard interests of users and undertakings participating in internet platform economy, including without limitation, prohibiting platforms with dominant position from abusing their market dominance. Notably, the guidelines provide that any concentration of undertakings involving variable interest entities fall within the scope of anti-monopoly review. If a concentration of undertakings meets the criteria for declaration as stipulated by the State Council, an operator must report such concentration of undertakings to the anti-monopoly enforcement agency. On June 24, 2022, the Standing Committee of the National People’s Congress issued the amended Anti-Monopoly Law of the PRC (the “Anti-Monopoly Law”), which came into effect on August 1, 2022. The Anti-monopoly Law increases the fines on business operators for illegal concentration from no more than RMB500,000 to “no more than ten percent of the preceding year’s sales revenue of the business operators if the concentration of business operators has or may have an effect of excluding or limiting competition; or a fine of up to RMB5 million if the concentration of business operators does not have an effect of excluding or limiting competition.” The Anti-Monopoly Law also specifies that the government authority may require the operators to make a declaration where there is evidence that the concentration has or may have the effect of eliminating or restricting competition, even if such concentration does not reach the filing threshold. In addition, as an Internet platform operator, we also need to comply with the prohibitions against abusing market dominance under the Anti-Monopoly Law. In particular, operators with a dominant market position are prohibited from abusing their market position by leveraging data and algorithms, technologies, and platform rules. This includes prohibiting, without justified reasons, forcing counterparties to trade exclusively with themselves or with designated operators. Therefore, acquisitions of other entities that we have completed before or may attempt in the future (whether by ourselves, our subsidiaries or through the consolidated variable interest entities) and that meet the criteria for declaration may be required to be reported to, and approved by, the Anti-Monopoly Law enforcement agency. We may be subject to penalty if we fail to comply with such requirement and, in extreme case, may be ordered to terminate the contemplated concentration, to dispose of our equity or asset within a prescribed period, to transfer the business within a prescribed time or to take any other necessary measures to return to the pre-concentration status. We received inquiries from SAMR in the past. Due to the enhanced enforcement of the Anti-Monopoly Law, we may receive greater scrutiny and attention from regulators and more frequent and rigid investigation or review by regulators, which will increase our compliance costs and subject us to heightened risks and challenges. We cannot assure you that our business operations comply with the regulations and authorities’ requirements in all respects. If any non-compliance is raised by the authorities and determined against us, we may be subject to fines and other penalties. In addition, the Anti-Unfair Competition Law of the People’s Republic of China (the “Anti-Unfair Competition Law”), which was amended by the Standing Committee of the National People’s Congress on June 27, 2025 and became effective on October 15, 2025, and the principal amendments include (i) improving provisions that explicitly prohibit business operators from engaging in unfair competition practices by utilizing data and algorithms, technology, platform rules and other means; (ii) expanding the targets of commercial defamation from competitors to other business operators; (iii) adding provisions to address “involution-style competition”; (iv) raising the maximum fines for certain unfair competition acts such as commercial bribery and commercial defamation; and (v) introducing an administrative regulatory interview system. There are significant uncertainties on the evolving legislative activities and varied local implementation practices of anti-monopoly and competition laws and regulations in China, especially with respect to the interpretation and implementation of the Anti-Monopoly Law and Anti-Unfair Competition Law. We may have to spend much more personnel cost and time evaluating and managing these risks and challenges in connection with our products and services as well as our investments in our ordinary business course to avoid any failure to comply with these regulations. Any failure or perceived failure by us to comply with these regulations may result in governmental investigations, regulatory proceedings or enforcement actions such as imposing fines and/or other penalties, litigations or claims against us and could have an adverse effect on our reputation, business, financial condition and results of operations.</w:t>
      </w:r>
    </w:p>
    <w:p>
      <w:pPr>
        <w:spacing w:after="0" w:line="200" w:lineRule="exact"/>
        <w:rPr>
          <w:sz w:val="20"/>
          <w:szCs w:val="20"/>
          <w:color w:val="auto"/>
        </w:rPr>
      </w:pPr>
    </w:p>
    <w:p>
      <w:pPr>
        <w:spacing w:after="0" w:line="213"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new ones.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320" w:top="476" w:right="5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1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 and Class A ordinary shares.</w:t>
      </w:r>
    </w:p>
    <w:p>
      <w:pPr>
        <w:spacing w:after="0" w:line="58"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China are governed by PRC laws and regulations. The PRC government has significant oversight over the conduct of our business, and may intervene or influence our operations at any time, which could result in a material adverse change in our operation and/or the value of our ADSs and Class A ordinary shares. Also, the PRC government has recently indicated an intent to exert more oversight and control over offerings that are conducted overseas and/or foreign investment in China-based issuers. For example, on July 6, 2021, the PRC government authorities made public the Opinions on Strictly Scrutinizing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December 28, 2021, the NDRC, the MIIT, and several other administrations jointly published the Cybersecurity Review Measures, effective on February 15, 2022, which required that, among others, operators of “critical information infrastructure” purchasing network products and services or network platform operators carrying out data processing activities, that affect or may affect national security, shall apply with the Cybersecurity Review Office for a cybersecurity review. In addition, a network platform operator holding over one million users’ personal information shall apply with the Cybersecurity Review Office for a cybersecurity review before any public offering at a foreign stock exchange. It remains uncertain how PRC governmental authorities will regulate overseas listing in general and whether we are required to obtain any specific regulatory approvals from the CSRC, CAC or any other PRC governmental authorities for our offshore offerings. If the CSRC, CAC or other regulatory agencies later promulgate new rules or explanations requiring that we obtain their approvals for our future offshore offerings, we may be unable to obtain such approvals in a timely manner, or at all, and such approvals may be rescinded even if obtained. Any such circumstance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affecting our business.</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PRC regulations may subject us to penalties.</w:t>
      </w:r>
    </w:p>
    <w:p>
      <w:pPr>
        <w:spacing w:after="0" w:line="11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Companies operating in the Chinese mainland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the Chinese mainland given the different levels of economic development in different locations. The government authorities may examine whether an employer has made adequate payments of the requisite employee benefit payments, and employers who fail to make adequate payments may be subject to late payment fees, fines and/or other penalties. Although almost all of our PRC operating entities incorporated in various locations in the Chinese mainland have made the required employee benefit payments, we cannot assure you that we are able to make adequate contribution in a timely manner at all time. If we are subject to late fees or fines in relation to the underpaid employee benefits, our financial condition and results of operations may be adversely affected.</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register some operating offices as branch offices under PRC law.</w:t>
      </w:r>
    </w:p>
    <w:p>
      <w:pPr>
        <w:spacing w:after="0" w:line="114" w:lineRule="exact"/>
        <w:rPr>
          <w:sz w:val="20"/>
          <w:szCs w:val="20"/>
          <w:color w:val="auto"/>
        </w:rPr>
      </w:pPr>
    </w:p>
    <w:p>
      <w:pPr>
        <w:ind w:left="240" w:right="120" w:firstLine="971"/>
        <w:spacing w:after="0" w:line="264" w:lineRule="auto"/>
        <w:rPr>
          <w:sz w:val="20"/>
          <w:szCs w:val="20"/>
          <w:color w:val="auto"/>
        </w:rPr>
      </w:pPr>
      <w:r>
        <w:rPr>
          <w:rFonts w:ascii="Times New Roman" w:cs="Times New Roman" w:eastAsia="Times New Roman" w:hAnsi="Times New Roman"/>
          <w:sz w:val="17"/>
          <w:szCs w:val="17"/>
          <w:color w:val="auto"/>
        </w:rPr>
        <w:t>Under PRC law, a company setting up premises for business operations outside its residence address must register them as branch offices with the local market regulation bureau at the place where the premises are located and obtain business licenses for them as branch offices. As of December 31, 2025, our comprehensive fulfillment facilities cover almost all the counties and districts across China. We may be required to register those operating offices outside of the residence addresses of our relevant PRC entities as branch offices under PRC law. As of the date of this annual report, we were able to register branch offices in all of the important locations where we had meaningful presence. Furthermore, we may expand our fulfillment network in the future to additional locations in China, and we may not be able to register branch offices in a timely manner due to complex procedural requirements and relocation of branch offices from time to time. If the PRC regulatory authorities determine that we are in violation of the applicable laws and regulations, we may be subject to penalties, including fines, confiscation of income and suspension of operation. If we become subject to these penalties, our business, results of operations, financial condition and prospects could be materially and adversely affected.</w:t>
      </w:r>
    </w:p>
    <w:p>
      <w:pPr>
        <w:spacing w:after="0" w:line="11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320" w:top="476"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4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we may be liable for content that is displayed on our websites.</w:t>
      </w:r>
    </w:p>
    <w:p>
      <w:pPr>
        <w:spacing w:after="0" w:line="58" w:lineRule="exact"/>
        <w:rPr>
          <w:sz w:val="20"/>
          <w:szCs w:val="20"/>
          <w:color w:val="auto"/>
        </w:rPr>
      </w:pPr>
    </w:p>
    <w:p>
      <w:pPr>
        <w:ind w:left="240" w:right="80" w:firstLine="971"/>
        <w:spacing w:after="0" w:line="264" w:lineRule="auto"/>
        <w:rPr>
          <w:sz w:val="20"/>
          <w:szCs w:val="20"/>
          <w:color w:val="auto"/>
        </w:rPr>
      </w:pPr>
      <w:r>
        <w:rPr>
          <w:rFonts w:ascii="Times New Roman" w:cs="Times New Roman" w:eastAsia="Times New Roman" w:hAnsi="Times New Roman"/>
          <w:sz w:val="17"/>
          <w:szCs w:val="17"/>
          <w:color w:val="auto"/>
        </w:rPr>
        <w:t>China has enacted laws and regulations governing internet access and the distribution of products, services, news, information, audio-video programs and other content through the internet. In the past, the PRC government has prohibited the distribution of information through the internet that it deems to be in violation of PRC laws and regulations. In November 2016, the Standing Committee of the National People’s Congress of China promulgated the Cyber Security Law, with the most recent amendment coming into effect on January 1, 2026, to protect cyberspace security and order. Cyber Security Law tightens control of cyber security and sets forth various security protection obligations for network operators. If any of our internet information were deemed by the PRC government to violate any content restrictions, we would not be able to continue to display such content and could become subject to penalties, including confiscation of income, fines, suspension of business and revocation of required licenses, which could materially and adversely affect our business, financial condition and results of operations. We may also be subject to potential liability for any unlawful actions of our customers or users of our websites or for content we distribute that is deemed inappropriate. It may be difficult to determine the type of content that may result in liability to us, and if we are found to be liable, we may be prevented from operating our websites in China.</w:t>
      </w:r>
    </w:p>
    <w:p>
      <w:pPr>
        <w:spacing w:after="0" w:line="2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14"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The RMB may fluctuate significantly in value against the U.S. dollar in the future. It is difficult to predict how market forces or PRC or U.S. government policy may impact the exchange rate between RMB and the U.S. dollar in the future.</w:t>
      </w:r>
    </w:p>
    <w:p>
      <w:pPr>
        <w:spacing w:after="0" w:line="187" w:lineRule="exact"/>
        <w:rPr>
          <w:sz w:val="20"/>
          <w:szCs w:val="20"/>
          <w:color w:val="auto"/>
        </w:rPr>
      </w:pPr>
    </w:p>
    <w:p>
      <w:pPr>
        <w:ind w:left="240" w:right="80" w:firstLine="971"/>
        <w:spacing w:after="0" w:line="269" w:lineRule="auto"/>
        <w:rPr>
          <w:sz w:val="20"/>
          <w:szCs w:val="20"/>
          <w:color w:val="auto"/>
        </w:rPr>
      </w:pPr>
      <w:r>
        <w:rPr>
          <w:rFonts w:ascii="Times New Roman" w:cs="Times New Roman" w:eastAsia="Times New Roman" w:hAnsi="Times New Roman"/>
          <w:sz w:val="17"/>
          <w:szCs w:val="17"/>
          <w:color w:val="auto"/>
        </w:rPr>
        <w:t>Any significant appreciation or depreciation of RMB may materially and adversely affect our revenues, earnings and financial position, and the value of, and any dividends payable on, our Class A ordinary shares and/or ADSs.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Class A ordinary shares and/or ADSs.</w:t>
      </w:r>
    </w:p>
    <w:p>
      <w:pPr>
        <w:spacing w:after="0" w:line="174"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We adopt a risk-neutral strategy to manage foreign exchange risks. For each entity with foreign exchange exposure, currency position or accounts balance are reallocated to achieve natural hedging. While we may enter into hedging transactions,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China.</w:t>
      </w:r>
    </w:p>
    <w:p>
      <w:pPr>
        <w:spacing w:after="0" w:line="114"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rules under Article 177 of the PRC Securities Law have yet to be promulgated, the inability for an overseas securities regulator to directly conduct investigation or evidence collection activities within China may further increase difficulties faced by you in protecting your interests.</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320" w:top="476" w:right="5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14" w:lineRule="exact"/>
        <w:rPr>
          <w:sz w:val="20"/>
          <w:szCs w:val="20"/>
          <w:color w:val="auto"/>
        </w:rPr>
      </w:pPr>
    </w:p>
    <w:p>
      <w:pPr>
        <w:ind w:left="240" w:right="40" w:firstLine="971"/>
        <w:spacing w:after="0" w:line="246"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RMB into foreign currencies and, in certain cases, the remittance of currency out of the Chinese mainland. We receive substantially all of our revenues in RMB. Under our current corporate structure, our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wholly foreign-owned subsidiaries in the Chinese mainland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our shareholders or the ultimate shareholders of our corporate shareholders who are PRC residents. But approval from or registration with appropriate government authorities or delegated banks is required where RMB is to be converted into foreign currency and remitted out of the Chinese mainland to pay capital expenses such as the repayment of loans denominated in foreign currencies. The PRC government may also at its discretion restrict access in the future to foreign currencies for current account transactions. Although currently there are not equivalent or similar restrictions or limitations in Hong Kong on cash transfers in, or out of, our Hong Kong entities (including currency conversion), if certain restrictions or limitations in the Chinese mainland were to become applicable to cash transfers in and out of Hong Kong entities (including currency conversion) in the future, the funds in our Hong Kong entities, likewise, may not be available to meet our currency demand. If the foreign exchange control system prevents us from obtaining sufficient foreign currencies to satisfy our foreign currency demands, we may not be able to pay dividends in foreign currencies to our shareholders, including holders of our ADSs. As a result, the funds in our PRC subsidiaries or the consolidated variable interest entities in the Chinese mainland may not be available to fund operations or for other use outside of the Chinese mainland due to interventions in, or the imposition of restrictions and limitations on, the ability of our holding company, our subsidiaries, or the consolidated variable interest entities by the PRC government on currency conversion.</w:t>
      </w:r>
    </w:p>
    <w:p>
      <w:pPr>
        <w:spacing w:after="0" w:line="301" w:lineRule="exact"/>
        <w:rPr>
          <w:sz w:val="20"/>
          <w:szCs w:val="20"/>
          <w:color w:val="auto"/>
        </w:rPr>
      </w:pPr>
    </w:p>
    <w:p>
      <w:pPr>
        <w:ind w:left="240" w:right="3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PRC regulations establish comprehensive procedures and requirements for some acquisitions of Chinese companies by foreign investors, which could make it more difficult for us to pursue growth through acquisitions in China.</w:t>
      </w:r>
    </w:p>
    <w:p>
      <w:pPr>
        <w:spacing w:after="0" w:line="58" w:lineRule="exact"/>
        <w:rPr>
          <w:sz w:val="20"/>
          <w:szCs w:val="20"/>
          <w:color w:val="auto"/>
        </w:rPr>
      </w:pPr>
    </w:p>
    <w:p>
      <w:pPr>
        <w:ind w:left="240" w:right="140" w:firstLine="971"/>
        <w:spacing w:after="0" w:line="249" w:lineRule="auto"/>
        <w:rPr>
          <w:sz w:val="20"/>
          <w:szCs w:val="20"/>
          <w:color w:val="auto"/>
        </w:rPr>
      </w:pPr>
      <w:r>
        <w:rPr>
          <w:rFonts w:ascii="Times New Roman" w:cs="Times New Roman" w:eastAsia="Times New Roman" w:hAnsi="Times New Roman"/>
          <w:sz w:val="18"/>
          <w:szCs w:val="18"/>
          <w:color w:val="auto"/>
        </w:rPr>
        <w:t>PRC regulations and rules concerning mergers and acquisitions including the Regulations on Mergers and Acquisitions of Domestic Companies by Foreign Investors, established additional procedures and requirements that could make merger and acquisition activities by foreign investors more time consuming and complex. For example, the Regulations on Mergers and Acquisitions of Domestic Companies by Foreign Investors require that the Ministry of Commerce be notified in advance of any change-of-control transaction in which a foreign investor takes control of a PRC domestic enterprise, if (i) any important industry is concerned, (ii) such transaction involves factors that have or may have impact on the national economic security, or (iii) such transaction will lead to a change in control of a domestic enterprise which holds famous trademarks or PRC time-honored brands.</w:t>
      </w:r>
    </w:p>
    <w:p>
      <w:pPr>
        <w:spacing w:after="0" w:line="189" w:lineRule="exact"/>
        <w:rPr>
          <w:sz w:val="20"/>
          <w:szCs w:val="20"/>
          <w:color w:val="auto"/>
        </w:rPr>
      </w:pPr>
    </w:p>
    <w:p>
      <w:pPr>
        <w:ind w:left="240" w:firstLine="971"/>
        <w:spacing w:after="0" w:line="262" w:lineRule="auto"/>
        <w:rPr>
          <w:sz w:val="20"/>
          <w:szCs w:val="20"/>
          <w:color w:val="auto"/>
        </w:rPr>
      </w:pPr>
      <w:r>
        <w:rPr>
          <w:rFonts w:ascii="Times New Roman" w:cs="Times New Roman" w:eastAsia="Times New Roman" w:hAnsi="Times New Roman"/>
          <w:sz w:val="17"/>
          <w:szCs w:val="17"/>
          <w:color w:val="auto"/>
        </w:rPr>
        <w:t>In addition, the security review rules issued by the Ministry of Commerce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the rules prohibit any activities attempting to bypass a security review, including by structuring the transaction through a proxy or contractual control arrangement. These laws and regulations are continually evolving as newly enacted Foreign Investment Law took effect. On December 19, 2020, the Measures for the Security Review for Foreign Investment was jointly issued by the NDRC and Ministry of Commerce and took effect from January 18, 2021. The Measures for the Security Review for Foreign Investment specified provisions concerning the security review mechanism on foreign investment, including the types of investments subject to review, review scopes and procedures, among others. As these measures are recently promulgated, official guidance has not been issued by the designated office in charge of such security review yet. At this stage, the interpretation of those measures remains unclear in many aspects such as what would constitute “important information technology and internet services and products” and whether these measures may apply to foreign investment that is implemented or completed before the enactment of these new measures. In the future, we may grow our business by acquiring complementary businesses. Complying with the requirements of the above-mentioned regulations and other applicable rules to complete such transactions could be time consuming, and any required approval processes may delay or inhibit our ability to complete such transactions. It is unclear whether our business would be deemed to be in an industry that raises “national defense and security” or “national security” concerns. However, the Ministry of Commerce, NDRC or other government agencies may publish explanations in the future determining that our business is in an industry subject to the security review, in which case our future acquisitions in the PRC, including those by way of entering into contractual control arrangements with target entities, may be closely scrutinized or prohibited. Our ability to expand our business or maintain or expand our market share through future acquisitions would as such be materially and adversely affected.</w:t>
      </w:r>
    </w:p>
    <w:p>
      <w:pPr>
        <w:spacing w:after="0" w:line="1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76"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the establishment of offshore special purpose companies by PRC residents may subject our PRC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spacing w:after="0" w:line="72"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The Notice on Issues Relating to the Administration of Foreign Exchange in Fund-Raising and Round-Trip Investment Activities of Domestic Residents Conducted via Offshore Special Purpose Companies, or SAFE Circular 75, requires PRC residents to register with the relevant local branch of SAFE before establishing or controlling any company outside of China, referred to as an offshore special purpose company, for the purpose of raising funds from overseas to acquire or exchange the assets of, or acquiring equity interests in, PRC entities held by such PRC residents and to update such registration in the event of any significant changes with respect to that offshore company. SAFE promulgated the Circular on Relevant Issues Concerning Foreign Exchange Control on Domestic Residents’ Offshore Investment and Financing and Roundtrip Investment through Special Purpose Vehicles, or SAFE Circular 37, in July 2014, which replaced SAFE Circular 75.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37 further requires amendment to the registration in the event of any changes with respect to the basic information of the special purpose vehicle, such as changes in a PRC resident individual shareholder, name or operation period; or any significant changes with respect to the special purpose vehicle, such as increase or decrease of capital contributed by PRC individuals, share transfer or exchange, merger, division or other material event. If the shareholders of the offshore holding company who are PRC residents do not complete their registration with the local SAFE branches, the PRC subsidiaries may be prohibited from distributing their profits and proceeds from any reduction in capital, share transfer or liquidation to the offshore company, and the offshore company may be restricted in its ability to contribute additional capital to its PRC subsidiaries. Moreover, failure to comply with SAFE registration and amendment requirements described above could result in liability under PRC law for evasion of applicable foreign exchange restrictions. In February 2015, SAFE issued the Circular on Further Simplifying and Improving the Policies Concerning Foreign Exchange Control on Direct Investment, which took effect on June 1, 2015. This circular has delegated to the qualified banks the authority to register all PRC residents’ investment in “special purpose vehicle” pursuant to SAFE Circular 37, except that those PRC residents who have failed to comply with SAFE Circular 37 will remain to fall into the jurisdiction of the local SAFE branch and must make their supplementary registration application with the local SAFE branch.</w:t>
      </w:r>
    </w:p>
    <w:p>
      <w:pPr>
        <w:spacing w:after="0" w:line="399" w:lineRule="exact"/>
        <w:rPr>
          <w:sz w:val="20"/>
          <w:szCs w:val="20"/>
          <w:color w:val="auto"/>
        </w:rPr>
      </w:pPr>
    </w:p>
    <w:p>
      <w:pPr>
        <w:ind w:left="240" w:right="60" w:firstLine="971"/>
        <w:spacing w:after="0" w:line="263" w:lineRule="auto"/>
        <w:rPr>
          <w:sz w:val="20"/>
          <w:szCs w:val="20"/>
          <w:color w:val="auto"/>
        </w:rPr>
      </w:pPr>
      <w:r>
        <w:rPr>
          <w:rFonts w:ascii="Times New Roman" w:cs="Times New Roman" w:eastAsia="Times New Roman" w:hAnsi="Times New Roman"/>
          <w:sz w:val="17"/>
          <w:szCs w:val="17"/>
          <w:color w:val="auto"/>
        </w:rPr>
        <w:t>We have requested PRC residents who we know hold direct or indirect interest in our company to make the necessary applications, filings and amendments as required under SAFE Circular 37 and other related rules. Mr. Richard Qiangdong Liu, our founder and beneficial owner, has completed required registrations with SAFE in relation to our financing and restructuring and will make amendments when needed and required in accordance with SAFE Circular 37. However, we may not be informed of the identities of all the PRC residents holding direct or indirect interest in our company, and we cannot provide any assurance that these PRC residents will comply with our request to make or obtain any applicable registrations or comply with other requirements under SAFE Circular 37 or other related rules. The failure or inability of our PRC resident shareholders to comply with the registration procedures set forth in these regulations may subject us to fines and legal sanctions, restrict our cross-border investment activities, limit the ability of our wholly foreign-owned subsidiaries in China to distribute dividends and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PRC law for circumventing applicable foreign exchange restrictions. As a result, our business operations and our ability to distribute profits to you could be materially and adversely affected.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320" w:top="476" w:right="5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8"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Pursuant to the Notice on Issues Concerning the Foreign Exchange Administration for Domestic Individuals Participating in Stock Incentive Plan of Overseas Publicly Listed Company, issued by SAFE in February 2012, employees, directors, supervisors and other senior management participating in any stock incentive plan of an overseas publicly listed company who are PRC citizens or who are non-PRC citizens residing in China for a continuous period of not less than one year, subject to a few exceptions, are required to register with SAFE through a domestic qualified agent, which could be a PRC subsidiary of such overseas listed company, and complete certain other procedures. We and our directors, executive officers and other employees who are PRC citizens or who reside in the PRC for a continuous period of not less than one year and who have been granted restricted shares, restricted share units or options are subject to these regulations. Failure to complete the SAFE registrations may subject them to fines and legal sanctions and may also limit our ability to contribute additional capital into our wholly foreign-owned subsidiaries in China and limit these subsidiaries’ ability to distribute dividends to us. We also face regulatory uncertainties that could restrict our ability to adopt additional incentive plans for our directors and employees under PRC law.</w:t>
      </w:r>
    </w:p>
    <w:p>
      <w:pPr>
        <w:spacing w:after="0" w:line="290" w:lineRule="exact"/>
        <w:rPr>
          <w:sz w:val="20"/>
          <w:szCs w:val="20"/>
          <w:color w:val="auto"/>
        </w:rPr>
      </w:pPr>
    </w:p>
    <w:p>
      <w:pPr>
        <w:ind w:left="240"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8"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April 2009, the State Taxation Administration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0" w:lineRule="exact"/>
        <w:rPr>
          <w:sz w:val="20"/>
          <w:szCs w:val="20"/>
          <w:color w:val="auto"/>
        </w:rPr>
      </w:pPr>
    </w:p>
    <w:p>
      <w:pPr>
        <w:ind w:left="240" w:right="40" w:firstLine="971"/>
        <w:spacing w:after="0" w:line="263" w:lineRule="auto"/>
        <w:rPr>
          <w:sz w:val="20"/>
          <w:szCs w:val="20"/>
          <w:color w:val="auto"/>
        </w:rPr>
      </w:pPr>
      <w:r>
        <w:rPr>
          <w:rFonts w:ascii="Times New Roman" w:cs="Times New Roman" w:eastAsia="Times New Roman" w:hAnsi="Times New Roman"/>
          <w:sz w:val="17"/>
          <w:szCs w:val="17"/>
          <w:color w:val="auto"/>
        </w:rPr>
        <w:t>We believe that none of JD.com, Inc. and its subsidiaries outside of the Chinese mainland is a PRC resident enterprise for PRC tax purposes. See “Item 10.E Additional Information—Taxation—People’s Republic of China Taxation.” However, the tax resident status of an enterprise is subject to determination by the PRC tax authorities and uncertainties remain with respect to the interpretation of the term “de facto management body.” If the PRC tax authorities determine that JD.com, Inc. or any of its subsidiaries outside of the Chinese mainland is a PRC resident enterprise for enterprise income tax purposes, they would be subject to a 25% enterprise income tax on their global income. If these entities derive income other than dividends from their wholly-owned subsidiaries in the Chinese mainland, a 25% enterprise income tax on their global income may increase our tax burden. If JD.com, Inc. or any of its subsidiaries outside of the Chinese mainland is classified as a PRC resident enterprise, dividends paid to it from its wholly-owned subsidiaries in the Chinese mainland may be regarded as tax-exempted income if such dividends are deemed to be “dividends between qualified PRC resident enterprises” under the PRC Enterprise Income Tax Law and its implementation rules. However, we cannot assure you that such dividends will not be subject to PRC withholding tax, as the PRC tax authorities, which enforce the withholding tax, have not yet issued guidance with respect to the processing of outbound remittances to entities that are treated as resident enterprises for PRC income tax purposes.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20"/>
          </w:cols>
          <w:pgMar w:left="320" w:top="476"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In addition, if JD.com, Inc. is classified as a PRC resident enterprise for PRC tax purposes and unless a tax treaty or similar arrangement provides otherwise,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Furthermore, gains derived by our non-PRC individual shareholders from the sale of our shares and ADSs may be subject to a 20% PRC withholding tax. It is unclear whether our non-PRC individual shareholders (including our ADS holders) would be subject to any PRC tax on dividends obtained by such non-PRC individual shareholders in the event we are determined to be a PRC resident enterprise. If any PRC tax were to apply to such dividends, it would generally apply at a rate of 20% unless a reduced rate is available under an applicable tax treaty. However, it is also unclear whether non-PRC shareholders of JD.com, Inc. would be able to claim the benefits of any tax treaties between their country of tax residence and the PRC in the event that JD.com, Inc. is treated as a PRC resident enterprise.</w:t>
      </w:r>
    </w:p>
    <w:p>
      <w:pPr>
        <w:spacing w:after="0" w:line="188" w:lineRule="exact"/>
        <w:rPr>
          <w:sz w:val="20"/>
          <w:szCs w:val="20"/>
          <w:color w:val="auto"/>
        </w:rPr>
      </w:pPr>
    </w:p>
    <w:p>
      <w:pPr>
        <w:ind w:left="240" w:right="140" w:firstLine="971"/>
        <w:spacing w:after="0" w:line="246" w:lineRule="auto"/>
        <w:rPr>
          <w:sz w:val="20"/>
          <w:szCs w:val="20"/>
          <w:color w:val="auto"/>
        </w:rPr>
      </w:pPr>
      <w:r>
        <w:rPr>
          <w:rFonts w:ascii="Times New Roman" w:cs="Times New Roman" w:eastAsia="Times New Roman" w:hAnsi="Times New Roman"/>
          <w:sz w:val="18"/>
          <w:szCs w:val="18"/>
          <w:color w:val="auto"/>
        </w:rPr>
        <w:t>Under the Arrangement Between the Chinese mainland and the Hong Kong Special Administrative Region on the Avoidance of Double Taxation and Prevention of Fiscal Evasion with Respect to Taxes on Income and Capital, the dividend withholding tax rate may be reduced to 5%, if a Hong Kong resident enterprise is considered a non-PRC tax resident enterprise and holds at least 25% of the equity interests in the PRC enterprise distributing the dividends. However, if the Hong Kong resident enterprise is not considered to be the beneficial owner of such dividends under applicable PRC tax regulations, such dividends may remain subject to withholding tax at a rate of 10%. In October 2009, the State Taxation Administration issued a circular, known as Circular 601, which provides guidance on determining whether an enterprise is a “beneficial owner” under China’s tax treaties and tax arrangements. Circular 601 provides that, in order to be a beneficial owner, an entity generally must be engaged in substantive business activities, and that a company that is set up for the purpose of avoiding or reducing taxes or transferring or accumulating profits will not be regarded as a beneficial owner and will not qualify for treaty benefits such as preferential dividend withholding tax rates. In February 2018, the State Taxation Administration issued a new circular, the Circular 9, to replace Circular 601, which came into effect on April 1, 2018. Circular 9 provides a more flexible framework in determining whether an applicant engages in substantive business activities. In addition, in the event that an enterprise does not satisfy the criteria for “beneficial owner,” but the person who holds 100% ownership interests in the enterprise directly or indirectly satisfies the criteria for “beneficial owner” and the circumstances fall under Circular 9, the enterprise will be deemed as a “beneficial owner.” If our Hong Kong subsidiaries are, in the light of Circular 9, considered to be a non-beneficial owner for purposes of the tax arrangement mentioned above, any dividends paid to them by our wholly foreign-owned PRC subsidiaries would not qualify for the preferential dividend withholding tax rate of 5%, but rather would be subject to a rate of 10%.</w:t>
      </w:r>
    </w:p>
    <w:p>
      <w:pPr>
        <w:spacing w:after="0" w:line="303" w:lineRule="exact"/>
        <w:rPr>
          <w:sz w:val="20"/>
          <w:szCs w:val="20"/>
          <w:color w:val="auto"/>
        </w:rPr>
      </w:pPr>
    </w:p>
    <w:p>
      <w:pPr>
        <w:ind w:left="240"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 and heightened scrutiny over acquisition transactions by the PRC tax authorities may have a negative impact on potential acquisitions we may pursue in the future.</w:t>
      </w:r>
    </w:p>
    <w:p>
      <w:pPr>
        <w:spacing w:after="0" w:line="72"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The State Taxation Administration has issued several rules and notices to tighten the scrutiny over acquisition transactions in recent years, including the Notice on Strengthening Administration of Enterprise Income Tax for Share Transfers by Non-PRC Resident Enterprises issued in December 2009, the Notice on Several Issues Regarding the Income Tax of Non-PRC Resident Enterprises promulgated issued in March 2011, and the Notice on Certain Corporate Income Tax Matters on Indirect Transfer of Properties by Non-PRC Resident Enterprises issued in February 2015, or STA Circular 7. Pursuant to these rules and notices, if a non-PRC resident enterprise indirectly transfers PRC taxable properties, referring to properties of an establishment or a place in the PRC, real estate properties in the PRC or equity investments in a PRC tax resident enterprise, by disposing of equity interest in an overseas holding company, such indirect transfer should be deemed as a direct transfer of PRC taxable properties and gains derived from such indirect transfer may be subject to the PRC withholding tax at a rate of up to 10%. STA Circular 7 sets out several factors to be taken into consideration by tax authorities in determining whether an indirect transfer has a reasonable commercial purpose. An indirect transfer satisfying all the following criteria will be deemed to lack reasonable commercial purpose and be taxable under PRC law: (i) 75% or more of the equity value of the intermediary enterprise being transferred is derived directly or indirectly from the PRC taxable properties; (ii) at any time during the one-year period before the indirect transfer, 90% or more of the asset value of the intermediary enterprise (excluding cash) is comprised directly or indirectly of investments in the PRC, or 90% or more of its income is derived directly or indirectly from the PRC; (iii) the functions performed and risks assumed by the intermediary enterprise and any of its subsidiaries that directly or indirectly hold the PRC taxable properties are limited and are insufficient to prove their economic substance; and (iv) the foreign tax payable on the gain derived from the indirect transfer of the PRC taxable properties is lower than the potential PRC income tax on the direct transfer of such assets. Nevertheless, the indirect transfer falling into the safe harbor available under STA Circular 7 may not be subject to PRC tax and the scope of the safe harbor includes qualified group restructuring as specifically set out in STA Circular 7, public market trading and tax treaty exemptions.</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76" w:right="5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67" w:lineRule="auto"/>
        <w:rPr>
          <w:sz w:val="20"/>
          <w:szCs w:val="20"/>
          <w:color w:val="auto"/>
        </w:rPr>
      </w:pPr>
      <w:r>
        <w:rPr>
          <w:rFonts w:ascii="Times New Roman" w:cs="Times New Roman" w:eastAsia="Times New Roman" w:hAnsi="Times New Roman"/>
          <w:sz w:val="17"/>
          <w:szCs w:val="17"/>
          <w:color w:val="auto"/>
        </w:rPr>
        <w:t>In October 2017, the State Taxation Administration released the Public Notice Regarding Issues Concerning the Withholding of Non-resident Enterprise Income Tax at Source, or STA Public Notice 37, effective from December 2017. STA Public Notice 37 replaced a series of important circulars, including Notice on Strengthening Administration of Enterprise Income Tax for Share Transfers by Non-PRC Resident Enterprises, and revised the rules governing the administration of withholding tax on China-source income derived by a nonresident enterprise. STA Public Notice 37 provides for certain key changes to the previous withholding regime. For example, the withholding obligation for a non-resident enterprise deriving dividend arises on the date on which the payment is actually made rather than on the date of the resolution that declared the dividends.</w:t>
      </w:r>
    </w:p>
    <w:p>
      <w:pPr>
        <w:spacing w:after="0" w:line="176" w:lineRule="exact"/>
        <w:rPr>
          <w:sz w:val="20"/>
          <w:szCs w:val="20"/>
          <w:color w:val="auto"/>
        </w:rPr>
      </w:pPr>
    </w:p>
    <w:p>
      <w:pPr>
        <w:ind w:left="240" w:firstLine="971"/>
        <w:spacing w:after="0" w:line="266" w:lineRule="auto"/>
        <w:rPr>
          <w:sz w:val="20"/>
          <w:szCs w:val="20"/>
          <w:color w:val="auto"/>
        </w:rPr>
      </w:pPr>
      <w:r>
        <w:rPr>
          <w:rFonts w:ascii="Times New Roman" w:cs="Times New Roman" w:eastAsia="Times New Roman" w:hAnsi="Times New Roman"/>
          <w:sz w:val="17"/>
          <w:szCs w:val="17"/>
          <w:color w:val="auto"/>
        </w:rPr>
        <w:t>Under STA Circular 7 and STA Public Notice 37, the entities or individuals obligated to pay the transfer price to the transferor are the withholding agents and must withhold the PRC income tax from the transfer price if the indirect transfer is subject to the PRC enterprise income tax. If the withholding agent fails to do so, the transferor should report to and pay the tax to the PRC tax authorities. In the event that neither the withholding agent nor the transferor fulfills their obligations under STA Circular 7 and STA Public Notice 37, according to the applicable law, apart from imposing penalties such as late payment interest on the transferor, the tax authority may also hold the withholding agent liable and impose a penalty of 50% to 300% of the unpaid tax on the withholding agent. The penalty imposed on the withholding agent may be reduced or waived if the withholding agent has submitted the relevant materials in connection with the indirect transfer to the PRC tax authorities in accordance with STA Circular 7.</w:t>
      </w:r>
    </w:p>
    <w:p>
      <w:pPr>
        <w:spacing w:after="0" w:line="175" w:lineRule="exact"/>
        <w:rPr>
          <w:sz w:val="20"/>
          <w:szCs w:val="20"/>
          <w:color w:val="auto"/>
        </w:rPr>
      </w:pPr>
    </w:p>
    <w:p>
      <w:pPr>
        <w:ind w:left="240" w:right="40" w:firstLine="971"/>
        <w:spacing w:after="0" w:line="262" w:lineRule="auto"/>
        <w:rPr>
          <w:sz w:val="20"/>
          <w:szCs w:val="20"/>
          <w:color w:val="auto"/>
        </w:rPr>
      </w:pPr>
      <w:r>
        <w:rPr>
          <w:rFonts w:ascii="Times New Roman" w:cs="Times New Roman" w:eastAsia="Times New Roman" w:hAnsi="Times New Roman"/>
          <w:sz w:val="17"/>
          <w:szCs w:val="17"/>
          <w:color w:val="auto"/>
        </w:rPr>
        <w:t>However, as there is a lack of clear statutory interpretation, we face uncertainties on the reporting and consequences on future private equity financing transactions, share exchange or other transactions involving the transfer of shares in our company by investors that are non-PRC resident enterprises, or sale or purchase of shares in other non-PRC resident companies or other taxable assets by us. Our company and other non-resident enterprises in our group may be subject to filing obligations or being taxed if our company and other non-resident enterprises in our group are transferors in such transactions, and may be subject to withholding obligations if our company and other non-resident enterprises in our group are transferees in such transactions. For the transfer of shares in our company by investors that are non-PRC resident enterprises, our PRC subsidiaries may be requested to assist in the filing under the rules and notices. As a result, we may be required to expend valuable resources to comply with these rules and notices or to request the transferors from whom we purchase taxable assets to comply, or to establish that our company and other non-resident enterprises in our group should not be taxed under these rules and notices, which may have a material adverse effect on our financial condition and results of operations. There is no assurance that the tax authorities will not apply the rules and notices to our offshore restructuring transactions where non-PRC residents were involved if any of such transactions were determined by the tax authorities to lack reasonable commercial purpose. As a result, we and our non-PRC resident investors may be at risk of being taxed under these rules and notices and may be required to comply with or to establish that we should not be taxed under such rules and notices, which may have a material adverse effect on our financial condition and results of operations or such non-PRC resident investors’ investments in us. We have conducted acquisition transactions in the past and may conduct additional acquisition transactions in the future. We cannot assure you that the PRC tax authorities will not, at their discretion, adjust any capital gains and impose tax return filing obligations on us or require us to provide assistance for the investigation of PRC tax authorities with respect thereto. Heightened scrutiny over acquisition transactions by the PRC tax authorities may have a negative impact on potential acquisitions we may pursue in the future.</w:t>
      </w:r>
    </w:p>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60"/>
          </w:cols>
          <w:pgMar w:left="320" w:top="476"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Risks Related to Our ADSs and Class A Ordinary Shares</w:t>
      </w:r>
    </w:p>
    <w:p>
      <w:pPr>
        <w:spacing w:after="0" w:line="108" w:lineRule="exact"/>
        <w:rPr>
          <w:sz w:val="20"/>
          <w:szCs w:val="20"/>
          <w:color w:val="auto"/>
        </w:rPr>
      </w:pPr>
    </w:p>
    <w:p>
      <w:pPr>
        <w:ind w:left="240" w:right="3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and Class A ordinary shares have been and are likely to continue to be volatile, which could result in substantial losses to holders of our Class A ordinary shares and/or ADSs.</w:t>
      </w:r>
    </w:p>
    <w:p>
      <w:pPr>
        <w:spacing w:after="0" w:line="5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The trading prices of our ADSs and Class A ordinary shares have been and are likely to continue to be volatile and could fluctuate widely in response to a variety of factors, many of which are beyond our control. For example, the highest and lowest closing prices of our ADSs on Nasdaq in 2025 were US$45.21 and US$28.39, respectively. Likewise, the highest and lowest closing prices of our Class A ordinary shares on the Hong Kong Stock Exchange in 2025 were HK$179.00 and HK$110.30, respectively. In addition, the performance and fluctuation of the market prices of other companies with business operations located mainly in China that have listed their securities in Hong Kong and/or the United States may affect the volatility in the prices of and trading volumes for our Class A ordinary shares and/or ADSs. The securities of some of these companies have experienced significant volatility since their initial public offerings, including, in some cases, substantial price declines in the trading prices of their securities. The trading performances of other Chinese companies’ securities after their offerings, including internet and e-commerce companies, may affect the attitudes of investors toward Chinese companies listed in Hong Kong and/or the United States,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in early 2020, which may have a material and adverse effect on the trading price of our Class A ordinary shares and/or ADSs.</w:t>
      </w:r>
    </w:p>
    <w:p>
      <w:pPr>
        <w:spacing w:after="0" w:line="189" w:lineRule="exact"/>
        <w:rPr>
          <w:sz w:val="20"/>
          <w:szCs w:val="20"/>
          <w:color w:val="auto"/>
        </w:rPr>
      </w:pPr>
    </w:p>
    <w:p>
      <w:pPr>
        <w:ind w:left="240" w:right="240" w:firstLine="971"/>
        <w:spacing w:after="0" w:line="270"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our Class A ordinary shares and/or ADSs may be highly volatile due to multiple factors, including the following:</w:t>
      </w:r>
    </w:p>
    <w:p>
      <w:pPr>
        <w:spacing w:after="0" w:line="76" w:lineRule="exact"/>
        <w:rPr>
          <w:sz w:val="20"/>
          <w:szCs w:val="20"/>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customers, suppliers or third-party merchants;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 offerings or those of our competitors;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online retail or e-commerce companies;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retail market;</w:t>
      </w:r>
    </w:p>
    <w:p>
      <w:pPr>
        <w:spacing w:after="0" w:line="123" w:lineRule="exact"/>
        <w:rPr>
          <w:rFonts w:ascii="Times New Roman" w:cs="Times New Roman" w:eastAsia="Times New Roman" w:hAnsi="Times New Roman"/>
          <w:sz w:val="18"/>
          <w:szCs w:val="18"/>
          <w:color w:val="auto"/>
        </w:rPr>
      </w:pPr>
    </w:p>
    <w:p>
      <w:pPr>
        <w:ind w:left="1180" w:right="160" w:hanging="421"/>
        <w:spacing w:after="0" w:line="270" w:lineRule="auto"/>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capital raisings or capital commitments;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market instability or disruptions, and actual or perceived social unrest in the United States, Hong Kong or other jurisdictions;</w:t>
      </w:r>
    </w:p>
    <w:p>
      <w:pPr>
        <w:spacing w:after="0" w:line="135" w:lineRule="exact"/>
        <w:rPr>
          <w:rFonts w:ascii="Times New Roman" w:cs="Times New Roman" w:eastAsia="Times New Roman" w:hAnsi="Times New Roman"/>
          <w:sz w:val="17"/>
          <w:szCs w:val="17"/>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among RMB, the Hong Kong dollar and the U.S. dollar;</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Class A ordinary shares or ADSs;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illegal acts of our senior management or other key employees;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by the SEC against PRC-based accounting firms, including our independent registered public accounting firm.</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320" w:top="476" w:right="5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adopt different practices as to certain matters as compared with many other companies listed on the Hong Kong Stock Exchange.</w:t>
      </w:r>
    </w:p>
    <w:p>
      <w:pPr>
        <w:spacing w:after="0" w:line="114"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We completed our public offering in Hong Kong in June 2020 and the trading of our Class A ordinary shares on the Hong Kong Stock Exchange commenced on June 18, 2020 under the stock code “9618.”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and been granted a number of waivers and/or exemptions from strict compliance with the Hong Kong Listing Rules, the Companies (Winding Up and Miscellaneous Provisions) Ordinance, the Takeovers Codes and the SFO. As a result, our practices as to those matters differ from other companies listed on the Hong Kong Stock Exchange that do not enjoy those exemptions or waivers.</w:t>
      </w:r>
    </w:p>
    <w:p>
      <w:pPr>
        <w:spacing w:after="0" w:line="193"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(Winding Up and Miscellaneous Provisions) Ordinance, the Takeovers Codes and the SFO, which could result in us having to amend our corporate structure and articles of association and our incurring of incremental compliance costs.</w:t>
      </w:r>
    </w:p>
    <w:p>
      <w:pPr>
        <w:spacing w:after="0" w:line="288" w:lineRule="exact"/>
        <w:rPr>
          <w:sz w:val="20"/>
          <w:szCs w:val="20"/>
          <w:color w:val="auto"/>
        </w:rPr>
      </w:pPr>
    </w:p>
    <w:p>
      <w:pPr>
        <w:jc w:val="both"/>
        <w:ind w:left="240"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w:t>
      </w:r>
    </w:p>
    <w:p>
      <w:pPr>
        <w:spacing w:after="0" w:line="72" w:lineRule="exact"/>
        <w:rPr>
          <w:sz w:val="20"/>
          <w:szCs w:val="20"/>
          <w:color w:val="auto"/>
        </w:rPr>
      </w:pPr>
    </w:p>
    <w:p>
      <w:pPr>
        <w:jc w:val="both"/>
        <w:ind w:left="240" w:firstLine="971"/>
        <w:spacing w:after="0" w:line="266" w:lineRule="auto"/>
        <w:rPr>
          <w:sz w:val="20"/>
          <w:szCs w:val="20"/>
          <w:color w:val="auto"/>
        </w:rPr>
      </w:pPr>
      <w:r>
        <w:rPr>
          <w:rFonts w:ascii="Times New Roman" w:cs="Times New Roman" w:eastAsia="Times New Roman" w:hAnsi="Times New Roman"/>
          <w:sz w:val="17"/>
          <w:szCs w:val="17"/>
          <w:color w:val="auto"/>
        </w:rPr>
        <w:t>On March 17, 2020, our board of directors authorized a share repurchase program, under which we may repurchase up to US$2.0 billion of our ADSs or ordinary shares over the next 24 months through March 17, 2022. On December 29, 2021, our board of directors approved modifications to the share repurchase program adopted in March 2020, pursuant to which the repurchase authorization has increased from US$2.0 billion to</w:t>
      </w:r>
    </w:p>
    <w:p>
      <w:pPr>
        <w:spacing w:after="0" w:line="2" w:lineRule="exact"/>
        <w:rPr>
          <w:sz w:val="20"/>
          <w:szCs w:val="20"/>
          <w:color w:val="auto"/>
        </w:rPr>
      </w:pPr>
    </w:p>
    <w:p>
      <w:pPr>
        <w:ind w:left="240" w:right="100"/>
        <w:spacing w:after="0" w:line="263" w:lineRule="auto"/>
        <w:rPr>
          <w:sz w:val="20"/>
          <w:szCs w:val="20"/>
          <w:color w:val="auto"/>
        </w:rPr>
      </w:pPr>
      <w:r>
        <w:rPr>
          <w:rFonts w:ascii="Times New Roman" w:cs="Times New Roman" w:eastAsia="Times New Roman" w:hAnsi="Times New Roman"/>
          <w:sz w:val="17"/>
          <w:szCs w:val="17"/>
          <w:color w:val="auto"/>
        </w:rPr>
        <w:t>US$3.0 billion and has been extended until March 17, 2024. In March 2024, our board of directors adopted a share repurchase program that became effective on March 18, 2024, pursuant to which we may repurchase up to US$3.0 billion worth of our shares (including ADSs) over the next 36 months through March 2027. We have fully utilized the repurchase amount authorized under the US$3.0 billion share repurchase program announced in March 2024, and has adopted and announced a new share repurchase program in August 2024. Pursuant to the new share repurchase program effective from September 2024, we may repurchase up to US$5.0 billion worth of our shares (including ADSs) over the next 36 months through the end of August 2027. Our share repurchase program could affect the price of our stock and increase volatility and may be suspended or terminated at any time.</w:t>
      </w:r>
    </w:p>
    <w:p>
      <w:pPr>
        <w:spacing w:after="0" w:line="280" w:lineRule="exact"/>
        <w:rPr>
          <w:sz w:val="20"/>
          <w:szCs w:val="20"/>
          <w:color w:val="auto"/>
        </w:rPr>
      </w:pPr>
    </w:p>
    <w:p>
      <w:pPr>
        <w:ind w:left="240" w:right="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Class A ordinary shares and/or ADSs and trading volume could decline.</w:t>
      </w:r>
    </w:p>
    <w:p>
      <w:pPr>
        <w:spacing w:after="0" w:line="58"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The trading market for our Class A ordinary shares and/or ADSs will depend in part on the research and reports that securities or industry analysts publish about us or our business. If research analysts do not establish and maintain adequate research coverage or if one or more of the analysts who covers us downgrades our Class A ordinary shares and/or ADSs or publishes inaccurate or unfavorable research about our business, the market price for our Class A ordinary shares and/or ADSs would likely decline. If one or more of these analysts cease coverage of our company or fail to publish reports on us regularly, we could lose visibility in the financial markets, which, in turn, could cause the market price of or trading volume for our Class A ordinary shares and/or ADSs to decline.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320" w:top="476"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You may need to rely on price appreciation of our Class A ordinary shares and/or ADSs for return on your investment due to our dividend policy.</w:t>
      </w:r>
    </w:p>
    <w:p>
      <w:pPr>
        <w:spacing w:after="0" w:line="126" w:lineRule="exact"/>
        <w:rPr>
          <w:sz w:val="20"/>
          <w:szCs w:val="20"/>
          <w:color w:val="auto"/>
        </w:rPr>
      </w:pPr>
    </w:p>
    <w:p>
      <w:pPr>
        <w:ind w:left="240" w:right="120" w:firstLine="971"/>
        <w:spacing w:after="0" w:line="264"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our current memorandum and articles of association, which were adopted by a special resolution passed at the annual general meeting of our company held on June 21, 2023, and certain restrictions under Cayman Islands law.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and/or ADSs will likely depend entirely upon any future price appreciation of our Class A ordinary shares and/or ADSs. There is no guarantee that our Class A ordinary shares and/or ADSs will appreciate in value or even maintain the price at which you purchased the Class A ordinary shares and/or ADSs. You may not realize a return on your investment in our Class A ordinary shares and/or ADSs and you may even lose your entire investment in our Class A ordinary shares and/or ADSs.</w:t>
      </w:r>
    </w:p>
    <w:p>
      <w:pPr>
        <w:spacing w:after="0" w:line="2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Conversion of our convertible senior notes may dilute the ownership interest of the existing shareholders.</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In May 2024, we issued convertible senior notes in an aggregate principal amount of US$2.0 billion due 2029, or the 2029 Notes. The 2029 Notes bear interest at a rate of 0.25% per year, payable semiannually in arrears on June 1 and December 1 of each year, beginning on December 1, 2024. The 2029 Notes will mature on June 1, 2029, unless earlier redeemed, repurchased or converted in accordance with their terms prior to such date. The initial conversion rate of the 2029 Notes is 21.8830 ADSs per US$1,000 principal amount of Notes, which is equivalent to an initial conversion price of approximately US$45.70 per ADS. The conversion of some or all of 2029 Notes will dilute the ownership interests of existing shareholders and existing ADS holders. Any sales in the public market of the ADSs and/or Class A ordinary shares issuable upon such conversion may increase the opportunities to create short positions with respect to the ADSs, which could adversely affect prevailing trading prices of our Class A ordinary shares and/or the ADSs. In addition, the existence of the 2029 Notes may encourage short selling by market participants because the conversion of the 2029 Notes could depress the price of our Class A ordinary shares and/or the ADSs. The prices of our Class A ordinary shares and/or the ADSs could be affected by possible sales of our Class A ordinary shares and/or the ADSs by investors who view the convertible senior notes as a more attractive means of equity participation in us and by hedging or arbitrage trading activity, which we expect to occur involving our Class A ordinary shares and/or the ADSs.</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convertible senior notes could discourage an acquisition of us by a third-party.</w:t>
      </w:r>
    </w:p>
    <w:p>
      <w:pPr>
        <w:spacing w:after="0" w:line="114" w:lineRule="exact"/>
        <w:rPr>
          <w:sz w:val="20"/>
          <w:szCs w:val="20"/>
          <w:color w:val="auto"/>
        </w:rPr>
      </w:pPr>
    </w:p>
    <w:p>
      <w:pPr>
        <w:ind w:left="240" w:right="40" w:firstLine="971"/>
        <w:spacing w:after="0" w:line="250" w:lineRule="auto"/>
        <w:rPr>
          <w:sz w:val="20"/>
          <w:szCs w:val="20"/>
          <w:color w:val="auto"/>
        </w:rPr>
      </w:pPr>
      <w:r>
        <w:rPr>
          <w:rFonts w:ascii="Times New Roman" w:cs="Times New Roman" w:eastAsia="Times New Roman" w:hAnsi="Times New Roman"/>
          <w:sz w:val="18"/>
          <w:szCs w:val="18"/>
          <w:color w:val="auto"/>
        </w:rPr>
        <w:t>Certain provisions of the 2029 Notes could make it more difficult or more expensive for a third-party to acquire us, or may even prevent a third-party from acquiring us. For example, upon the occurrence of certain transactions constituting a fundamental change, holders of the 2029 Notes will have the right, at their option, to require us to repurchase all of their notes or any portion of the principal amount of such notes. In the event of a fundamental change, we may also be required to increase the conversion rate for conversions in connection with such fundamental changes. By discouraging an acquisition of us by a third-party, these provisions could have the effect of depriving our shareholders of an opportunity to sell their securities at a premium over prevailing market prices.</w:t>
      </w:r>
    </w:p>
    <w:p>
      <w:pPr>
        <w:spacing w:after="0" w:line="289" w:lineRule="exact"/>
        <w:rPr>
          <w:sz w:val="20"/>
          <w:szCs w:val="20"/>
          <w:color w:val="auto"/>
        </w:rPr>
      </w:pPr>
    </w:p>
    <w:p>
      <w:pPr>
        <w:ind w:left="240" w:right="2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Class A ordinary shares and/or ADSs in the public market could cause the price of our Class A ordinary shares and/or ADSs to decline.</w:t>
      </w:r>
    </w:p>
    <w:p>
      <w:pPr>
        <w:spacing w:after="0" w:line="58"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Sales of our Class A ordinary shares and/or ADSs in the public market, or the perception that these sales could occur, could cause the market price of our Class A ordinary shares and/or ADSs to decline. Such sales also might make it more difficult for us to sell equity or equity-related securities in the future at a time and price that we deem appropriate. If any existing shareholder or shareholders sell a substantial amount of our Class A ordinary shares and/or ADSs, the prevailing market price for our Class A ordinary shares and/or ADSs could be adversely affected.</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320" w:top="476" w:right="6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have fewer rights than holders of our ordinary shares and must act through the depositary to exercise those rights.</w:t>
      </w:r>
    </w:p>
    <w:p>
      <w:pPr>
        <w:spacing w:after="0" w:line="114"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Holders of ADSs do not have the same rights of our shareholders and may only exercise the voting rights with respect to the underlying Class A ordinary shares represented by the ADSs in accordance with the provisions of the deposit agreement. Pursuant to the third amended and restated memorandum of association and articles of association of our company, or our current memorandum of association and articles of association, adopted on June 21, 2023, the minimum notice period required to convene a general meeting is 14 days, for as long as our Class A shares remain listed on the Hong Kong Stock Exchange. When a general meeting is convened, holders of ADSs may not receive sufficient notice of a shareholders’ meeting to permit withdrawal of the underlying Class A ordinary shares represented by their ADSs to allow them to cast their votes with respect to any specific matter. In addition, the depositary and its agents may not be able to send voting instructions to holders of ADSs or carry out your voting instructions in a timely manner. We will make all reasonable efforts to cause the depositary to extend voting rights to holders of ADSs in a timely manner, but we cannot assure that holders of ADSs will receive the voting materials in time to ensure that they can instruct the depositary to vote their ADSs. Furthermore, the depositary and its agents will not be responsible for any failure to carry out any instructions to vote, for the manner in which any vote is cast or for the effect of any such vote. As a result, holders of ADSs may not be able to exercise their right to vote and may lack recourse if the underlying ordinary shares represented by their ADSs are not voted as they requested. In addition, holders of ADSs will not be able to call a shareholders’ meeting.</w:t>
      </w:r>
    </w:p>
    <w:p>
      <w:pPr>
        <w:spacing w:after="0" w:line="281" w:lineRule="exact"/>
        <w:rPr>
          <w:sz w:val="20"/>
          <w:szCs w:val="20"/>
          <w:color w:val="auto"/>
        </w:rPr>
      </w:pPr>
    </w:p>
    <w:p>
      <w:pPr>
        <w:ind w:left="240"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the Class A ordinary shares underlying the ADSs if holders of these ADSs do not vote at shareholders’ meetings, which could adversely affect the interests of the holders of our Class A ordinary shares and/or ADSs.</w:t>
      </w:r>
    </w:p>
    <w:p>
      <w:pPr>
        <w:spacing w:after="0" w:line="72" w:lineRule="exact"/>
        <w:rPr>
          <w:sz w:val="20"/>
          <w:szCs w:val="20"/>
          <w:color w:val="auto"/>
        </w:rPr>
      </w:pPr>
    </w:p>
    <w:p>
      <w:pPr>
        <w:ind w:left="240" w:right="560" w:firstLine="971"/>
        <w:spacing w:after="0" w:line="270"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76" w:lineRule="exact"/>
        <w:rPr>
          <w:sz w:val="20"/>
          <w:szCs w:val="20"/>
          <w:color w:val="auto"/>
        </w:rPr>
      </w:pPr>
    </w:p>
    <w:p>
      <w:pPr>
        <w:ind w:left="1180" w:hanging="421"/>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16"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The effect of this discretionary proxy is that holders of ADSs cannot prevent our underlying Class A ordinary shares represented by their ADSs from being voted, except under the circumstances described above. This may make it more difficult for shareholders to influence the management of our company. Holders of our ordinary shares are not subject to this discretionary proxy.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The right of our ADS holders to participate in any future rights offerings may be limited, which may cause dilution to holdings of our ADS holders.</w:t>
      </w:r>
    </w:p>
    <w:p>
      <w:pPr>
        <w:spacing w:after="0" w:line="126"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holders of our ADSs in the United States unless we register both the rights and the securities to which the rights relate under the Securities Act or an exemption from the registration requirements is available. Under the deposit agreement, the depositary will not make rights available to ADS holders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our ADS holders may be unable to participate in our rights offerings and may experience dilution in their holdings.</w:t>
      </w:r>
    </w:p>
    <w:p>
      <w:pPr>
        <w:spacing w:after="0" w:line="1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320" w:top="476" w:right="5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cash dividends if the depositary decides it is impractical to make them available to them.</w:t>
      </w:r>
    </w:p>
    <w:p>
      <w:pPr>
        <w:spacing w:after="0" w:line="114" w:lineRule="exact"/>
        <w:rPr>
          <w:sz w:val="20"/>
          <w:szCs w:val="20"/>
          <w:color w:val="auto"/>
        </w:rPr>
      </w:pPr>
    </w:p>
    <w:p>
      <w:pPr>
        <w:ind w:left="240" w:right="100" w:firstLine="971"/>
        <w:spacing w:after="0" w:line="266" w:lineRule="auto"/>
        <w:rPr>
          <w:sz w:val="20"/>
          <w:szCs w:val="20"/>
          <w:color w:val="auto"/>
        </w:rPr>
      </w:pPr>
      <w:r>
        <w:rPr>
          <w:rFonts w:ascii="Times New Roman" w:cs="Times New Roman" w:eastAsia="Times New Roman" w:hAnsi="Times New Roman"/>
          <w:sz w:val="17"/>
          <w:szCs w:val="17"/>
          <w:color w:val="auto"/>
        </w:rPr>
        <w:t>The depositary will pay cash dividends on the ADSs only to the extent that we decide to distribute dividends on our Class A ordinary shares or other deposited securities. To the extent that there is a distribution, the depositary of our ADSs has agreed to pay to holders of our ADSs the cash dividends or other distributions it or the custodian receives on our Class A ordinary shares or other deposited securities after deducting its fees and expenses. ADS holders will receive these distributions in proportion to the number of Class A ordinary shares their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our ADSs.</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114"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11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We are an exempted company with limited liability registered by way of continuation under the laws of the Cayman Islands. We primarily conduct our operations in the Chinese mainland and substantially all of our assets are located in the Chinese mainland. In addition, our directors and executive officers, and some of our experts reside within the Chinese mainland, and most of the assets of these persons are located within the Chinese mainland. As cross-border service of process is typically cumbersome and time-consuming, it may be difficult or impossible for you to effect service of process within the United States or Hong Kong upon us or these persons, or to bring an action against us or against these persons in the United States or Hong Kong in the event that you believe that your rights have been infringed under the U.S. federal securities laws, Hong Kong laws or otherwise. Even if you are successful in bringing an action of this kind, the laws of the Cayman Islands and of the PRC may render you unable to enforce a judgment against our assets or the assets of our directors and officers.</w:t>
      </w:r>
    </w:p>
    <w:p>
      <w:pPr>
        <w:spacing w:after="0" w:line="193"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Hong Kong courts or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and conclusive, (d) is not in respect of taxes, a fine or a penalty, (e) is not inconsistent with a Cayman Islands judgment in respect of the same matter, and (f) is not impeachable on the grounds of fraud and was not obtained in a manner and is not of a kind the enforcement of which is contrary to natural justice or the public policy of the Cayman Islands. However, the Cayman Islands courts are unlikely to enforce a judgment obtained from the U.S. or Hong Kong courts under civil liability provisions of the U.S. federal securities law or Hong Kong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or Hong Kong courts would be enforceable in the Cayman Islands. A Cayman Islands court may stay enforcement proceedings if concurrent proceedings are being brought elsewhere.</w:t>
      </w:r>
    </w:p>
    <w:p>
      <w:pPr>
        <w:spacing w:after="0" w:line="192"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 and officers if they decide that the judgment violates the basic principles of PRC laws or national sovereignty, security or public interest. As a result, enforcement of a judgment rendered by a foreign court is subject to the judgment of PRC courts considering the foregoing factors.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320" w:top="476" w:right="5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30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Since we are a Cayman Islands exempted company, the rights of our shareholders may be more limited than those of shareholders of a company organized in the United States or Hong Kong.</w:t>
      </w:r>
    </w:p>
    <w:p>
      <w:pPr>
        <w:spacing w:after="0" w:line="58" w:lineRule="exact"/>
        <w:rPr>
          <w:sz w:val="20"/>
          <w:szCs w:val="20"/>
          <w:color w:val="auto"/>
        </w:rPr>
      </w:pPr>
    </w:p>
    <w:p>
      <w:pPr>
        <w:ind w:left="240" w:right="40" w:firstLine="971"/>
        <w:spacing w:after="0" w:line="267" w:lineRule="auto"/>
        <w:rPr>
          <w:sz w:val="20"/>
          <w:szCs w:val="20"/>
          <w:color w:val="auto"/>
        </w:rPr>
      </w:pPr>
      <w:r>
        <w:rPr>
          <w:rFonts w:ascii="Times New Roman" w:cs="Times New Roman" w:eastAsia="Times New Roman" w:hAnsi="Times New Roman"/>
          <w:sz w:val="17"/>
          <w:szCs w:val="17"/>
          <w:color w:val="auto"/>
        </w:rPr>
        <w:t>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w:t>
      </w:r>
    </w:p>
    <w:p>
      <w:pPr>
        <w:spacing w:after="0" w:line="176"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Furthermore, our directors have the power to take certain actions without shareholder approval which would require shareholder approval under Hong Kong law or the laws of most U.S. jurisdictions. Subject to provisions of the memorandum and articles of association, the directors of a Cayman Islands company, without shareholder approval, may implement a sale of any assets, property, part of the business, or securities of the company. Our ability to create and issue new classes or series of shares without shareholders’ approval could have the effect of delaying, deterring or preventing a change in control without any further action by our shareholders, including a tender offer to purchase our ordinary shares at a premium over the current market price.</w:t>
      </w:r>
    </w:p>
    <w:p>
      <w:pPr>
        <w:spacing w:after="0" w:line="187"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Furthermore, our memorandum and articles of association are specific to us and include certain provisions that may be different from common practices in Hong Kong, such as the absence of requirements that the appointment, removal and remuneration of auditors must be approved by a majority of our shareholders.</w:t>
      </w:r>
    </w:p>
    <w:p>
      <w:pPr>
        <w:spacing w:after="0" w:line="280" w:lineRule="exact"/>
        <w:rPr>
          <w:sz w:val="20"/>
          <w:szCs w:val="20"/>
          <w:color w:val="auto"/>
        </w:rPr>
      </w:pPr>
    </w:p>
    <w:p>
      <w:pPr>
        <w:ind w:left="240" w:right="2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Our current memorandum and articles of association contains anti-takeover provisions that could discourage a third party from acquiring us and adversely affect the rights of holders of our Class A ordinary shares and/or ADSs.</w:t>
      </w:r>
    </w:p>
    <w:p>
      <w:pPr>
        <w:spacing w:after="0" w:line="58"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Our current memorandum and articles of association contain certain provisions that could limit the ability of others to acquire control of our company, including a dual-class voting structure that gives disproportionate voting power to the Class B ordinary shares held by Max Smart Limited, a company beneficially owned through a trust wholly-owned by our chairman, Mr. Richard Qiangdong Liu and of which he is the sole director, and those held by Fortune Rising Holdings Limited of which Mr. Liu is the sole shareholder and sole director. As of March 18, 2026, Mr. Liu beneficially owned 73.1% of the aggregate voting power of our company, including 3.6% of the aggregate voting power of our company that he may exercise on behalf of Fortune Rising Holdings Limited. Fortune Rising Holdings Limited holds the shares for the purpose of transferring such shares to the plan participants according to our awards under our share incentive plans, and administers the awards and acts according to our instruction. In addition, our current memorandum and articles of association also contains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of the opportunity to sell their shares at a premium over the prevailing market price by discouraging third parties from seeking to obtain control of our company in a tender offer or similar transactions.</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320" w:top="476" w:right="5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right="66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8" w:lineRule="exact"/>
        <w:rPr>
          <w:sz w:val="20"/>
          <w:szCs w:val="20"/>
          <w:color w:val="auto"/>
        </w:rPr>
      </w:pPr>
    </w:p>
    <w:p>
      <w:pPr>
        <w:ind w:left="240" w:right="200" w:firstLine="971"/>
        <w:spacing w:after="0" w:line="270"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180" w:hanging="421"/>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23" w:lineRule="exact"/>
        <w:rPr>
          <w:rFonts w:ascii="Times New Roman" w:cs="Times New Roman" w:eastAsia="Times New Roman" w:hAnsi="Times New Roman"/>
          <w:sz w:val="18"/>
          <w:szCs w:val="18"/>
          <w:color w:val="auto"/>
        </w:rPr>
      </w:pPr>
    </w:p>
    <w:p>
      <w:pPr>
        <w:ind w:left="1180" w:right="140" w:hanging="421"/>
        <w:spacing w:after="0" w:line="270" w:lineRule="auto"/>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76" w:lineRule="exact"/>
        <w:rPr>
          <w:rFonts w:ascii="Times New Roman" w:cs="Times New Roman" w:eastAsia="Times New Roman" w:hAnsi="Times New Roman"/>
          <w:sz w:val="18"/>
          <w:szCs w:val="18"/>
          <w:color w:val="auto"/>
        </w:rPr>
      </w:pPr>
    </w:p>
    <w:p>
      <w:pPr>
        <w:ind w:left="1180" w:right="180" w:hanging="421"/>
        <w:spacing w:after="0" w:line="270" w:lineRule="auto"/>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principal shareholders to file public reports of their stock ownership and trading activities and liability for insiders who profit from trades made in a short period of time; and</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16"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We are required to file an annual report within four months of the end of each fiscal year. In addition, we intend to publish our results on a quarterly basis as press releases, distributed pursuant to the rules and regulations of Nasdaq. We will also furnish press releases relating to financial results and material events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8" w:lineRule="exact"/>
        <w:rPr>
          <w:sz w:val="20"/>
          <w:szCs w:val="20"/>
          <w:color w:val="auto"/>
        </w:rPr>
      </w:pPr>
    </w:p>
    <w:p>
      <w:pPr>
        <w:jc w:val="both"/>
        <w:ind w:left="240" w:right="1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Cayman Islands exempted company,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7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Nasdaq corporate governance listing standards. For example, neither the Companies Act (As Revised) of the Cayman Islands nor our current memorandum and articles of association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We have elected to follow home country practice in lieu of the corporate governance requirements of the Nasdaq with respect to the adoption of our 2023 Share Incentive Plan without the approval of our shareholders. In this respect, and in other respects if we choose to follow certain home country practice in the future, our shareholders may be afforded less protection than they otherwise would under Nasdaq corporate governance listing standards applicable to U.S. domestic issuers.</w:t>
      </w:r>
    </w:p>
    <w:p>
      <w:pPr>
        <w:spacing w:after="0" w:line="290" w:lineRule="exact"/>
        <w:rPr>
          <w:sz w:val="20"/>
          <w:szCs w:val="20"/>
          <w:color w:val="auto"/>
        </w:rPr>
      </w:pPr>
    </w:p>
    <w:p>
      <w:pPr>
        <w:ind w:left="240" w:right="4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were not a passive foreign investment company for United States federal income tax purposes, which could subject United States investors in the ADSs or ordinary shares to significant adverse tax consequences.</w:t>
      </w:r>
    </w:p>
    <w:p>
      <w:pPr>
        <w:spacing w:after="0" w:line="58" w:lineRule="exact"/>
        <w:rPr>
          <w:sz w:val="20"/>
          <w:szCs w:val="20"/>
          <w:color w:val="auto"/>
        </w:rPr>
      </w:pPr>
    </w:p>
    <w:p>
      <w:pPr>
        <w:ind w:left="240" w:right="100" w:firstLine="971"/>
        <w:spacing w:after="0" w:line="253"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PFIC, for United States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w:t>
      </w:r>
    </w:p>
    <w:p>
      <w:pPr>
        <w:spacing w:after="0" w:line="185" w:lineRule="exact"/>
        <w:rPr>
          <w:sz w:val="20"/>
          <w:szCs w:val="20"/>
          <w:color w:val="auto"/>
        </w:rPr>
      </w:pPr>
    </w:p>
    <w:p>
      <w:pPr>
        <w:ind w:left="240" w:right="200" w:firstLine="971"/>
        <w:spacing w:after="0" w:line="253" w:lineRule="auto"/>
        <w:rPr>
          <w:sz w:val="20"/>
          <w:szCs w:val="20"/>
          <w:color w:val="auto"/>
        </w:rPr>
      </w:pPr>
      <w:r>
        <w:rPr>
          <w:rFonts w:ascii="Times New Roman" w:cs="Times New Roman" w:eastAsia="Times New Roman" w:hAnsi="Times New Roman"/>
          <w:sz w:val="18"/>
          <w:szCs w:val="18"/>
          <w:color w:val="auto"/>
        </w:rPr>
        <w:t>Although the law in this regard is unclear, we treat the consolidated variable interest entities as being owned by us for United States federal income tax purposes because we control their management decisions and we are entitled to substantially all of the economic benefits, and, as a result, we consolidate their results of operations in our U.S. GAAP financial statements and treat them as being owned by us for United States federal income tax purposes.</w:t>
      </w:r>
    </w:p>
    <w:p>
      <w:pPr>
        <w:spacing w:after="0" w:line="185"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Based on our current income and assets and the value of our ADSs and outstanding ordinary shares, we may be a PFIC for our taxable year ended December 31, 2025. However, because PFIC status is a fact-intensive determination, no assurance can be given with respect to our PFIC status for the current or any future taxable years. Changes in the composition of our income or assets, or fluctuations in the market price of our Class A ordinary shares and/or ADSs, may cause us to become a PFIC for the current or future taxable years. In estimating the value of our goodwill and other unbooked intangibles, we have taken into account our market capitalization, which may fluctuate over time. The composition of our income and assets will also be affected by how, and how quickly, we use our liquid assets. If we deploy significant amounts of cash and investments for active purposes, we may be less likely to be classified as a PFIC for the current or future taxable years.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20"/>
          </w:cols>
          <w:pgMar w:left="320" w:top="476" w:right="5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“Item 10.E. Additional Information— Taxation—United States Federal Income Tax Considerations”) holds our ADSs or ordinary shares, certain adverse U.S. federal income tax consequences could apply to such U.S. Holder. U.S. Holders of our ADSs or ordinary shares are urged to consult their tax advisors concerning the United States federal income tax consequences if we are classified as a PFIC. See “Item 10.E. Additional Information—Taxation—United States Federal Income Tax Considerations.”</w:t>
      </w:r>
    </w:p>
    <w:p>
      <w:pPr>
        <w:spacing w:after="0" w:line="288" w:lineRule="exact"/>
        <w:rPr>
          <w:sz w:val="20"/>
          <w:szCs w:val="20"/>
          <w:color w:val="auto"/>
        </w:rPr>
      </w:pPr>
    </w:p>
    <w:p>
      <w:pPr>
        <w:ind w:left="240" w:right="3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different characteristics of the capital markets in Hong Kong and the U.S. may negatively affect the trading prices of our ADSs and Class A ordinary shares.</w:t>
      </w:r>
    </w:p>
    <w:p>
      <w:pPr>
        <w:spacing w:after="0" w:line="58" w:lineRule="exact"/>
        <w:rPr>
          <w:sz w:val="20"/>
          <w:szCs w:val="20"/>
          <w:color w:val="auto"/>
        </w:rPr>
      </w:pPr>
    </w:p>
    <w:p>
      <w:pPr>
        <w:ind w:left="240" w:right="60" w:firstLine="971"/>
        <w:spacing w:after="0" w:line="266" w:lineRule="auto"/>
        <w:rPr>
          <w:sz w:val="20"/>
          <w:szCs w:val="20"/>
          <w:color w:val="auto"/>
        </w:rPr>
      </w:pPr>
      <w:r>
        <w:rPr>
          <w:rFonts w:ascii="Times New Roman" w:cs="Times New Roman" w:eastAsia="Times New Roman" w:hAnsi="Times New Roman"/>
          <w:sz w:val="17"/>
          <w:szCs w:val="17"/>
          <w:color w:val="auto"/>
        </w:rPr>
        <w:t>As a dual-listed company, we are subject to Hong Kong and Nasdaq listing and regulatory requirements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ADSs and our Class A ordinary shares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generally or to the same extent, or vice versa.</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between our Class A ordinary shares and our ADSs may adversely affect the liquidity and/or trading price of each other.</w:t>
      </w:r>
    </w:p>
    <w:p>
      <w:pPr>
        <w:spacing w:after="0" w:line="114"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Our ADSs are currently traded on Nasdaq. Subject to compliance with U.S. securities law and the terms of the deposit agreement, holders of our Class A ordinary shares may deposit Class A ordinary shares with the depositary in exchange for the issuance of our ADSs. Any holder of ADSs may also withdraw the underlying Class A ordinary shares represented by the ADSs pursuant to the terms of the deposit agreement for trading on the Hong Kong Stock Exchange. In the event that a substantial number of Class A ordinary shares are deposited with the depositary in exchange for ADSs or vice versa, the liquidity and trading price of our Class A ordinary shares on the Hong Kong Stock Exchange and our ADSs on Nasdaq may be adversely affected.</w:t>
      </w:r>
    </w:p>
    <w:p>
      <w:pPr>
        <w:spacing w:after="0" w:line="289" w:lineRule="exact"/>
        <w:rPr>
          <w:sz w:val="20"/>
          <w:szCs w:val="20"/>
          <w:color w:val="auto"/>
        </w:rPr>
      </w:pPr>
    </w:p>
    <w:p>
      <w:pPr>
        <w:ind w:left="240" w:right="32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The time required for the exchange between Class A ordinary shares and ADSs might be longer than expected and investors might not be able to settle or effect any sale of their securities during this period, and the exchange of Class A ordinary shares into ADSs involves costs.</w:t>
      </w:r>
    </w:p>
    <w:p>
      <w:pPr>
        <w:spacing w:after="0" w:line="58" w:lineRule="exact"/>
        <w:rPr>
          <w:sz w:val="20"/>
          <w:szCs w:val="20"/>
          <w:color w:val="auto"/>
        </w:rPr>
      </w:pPr>
    </w:p>
    <w:p>
      <w:pPr>
        <w:ind w:left="240" w:right="20" w:firstLine="971"/>
        <w:spacing w:after="0" w:line="269" w:lineRule="auto"/>
        <w:rPr>
          <w:sz w:val="20"/>
          <w:szCs w:val="20"/>
          <w:color w:val="auto"/>
        </w:rPr>
      </w:pPr>
      <w:r>
        <w:rPr>
          <w:rFonts w:ascii="Times New Roman" w:cs="Times New Roman" w:eastAsia="Times New Roman" w:hAnsi="Times New Roman"/>
          <w:sz w:val="17"/>
          <w:szCs w:val="17"/>
          <w:color w:val="auto"/>
        </w:rPr>
        <w:t>There is no direct trading or settlement between Nasdaq and the Hong Kong Stock Exchange on which our ADSs and our Class A ordinary shares are respectively traded. In addition, the time differences between Hong Kong and New York and unforeseen market circumstances or other factors may delay the deposit of Class A ordinary shares in exchange of ADSs or the withdrawal of Class A ordinary shares underlying the ADSs. Investors will be prevented from settling or effecting the sale of their securities during such periods of delay. In addition, there is no assurance that any exchange of Class A ordinary shares into ADSs (and vice versa) will be completed in accordance with the timelines investors may anticipate.</w:t>
      </w:r>
    </w:p>
    <w:p>
      <w:pPr>
        <w:spacing w:after="0" w:line="174" w:lineRule="exact"/>
        <w:rPr>
          <w:sz w:val="20"/>
          <w:szCs w:val="20"/>
          <w:color w:val="auto"/>
        </w:rPr>
      </w:pPr>
    </w:p>
    <w:p>
      <w:pPr>
        <w:ind w:left="240" w:right="240" w:firstLine="971"/>
        <w:spacing w:after="0" w:line="273" w:lineRule="auto"/>
        <w:rPr>
          <w:sz w:val="20"/>
          <w:szCs w:val="20"/>
          <w:color w:val="auto"/>
        </w:rPr>
      </w:pPr>
      <w:r>
        <w:rPr>
          <w:rFonts w:ascii="Times New Roman" w:cs="Times New Roman" w:eastAsia="Times New Roman" w:hAnsi="Times New Roman"/>
          <w:sz w:val="17"/>
          <w:szCs w:val="17"/>
          <w:color w:val="auto"/>
        </w:rPr>
        <w:t>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spacing w:after="0" w:line="2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the potential spin-off of one or more of our businesses.</w:t>
      </w:r>
    </w:p>
    <w:p>
      <w:pPr>
        <w:spacing w:after="0" w:line="114" w:lineRule="exact"/>
        <w:rPr>
          <w:sz w:val="20"/>
          <w:szCs w:val="20"/>
          <w:color w:val="auto"/>
        </w:rPr>
      </w:pPr>
    </w:p>
    <w:p>
      <w:pPr>
        <w:ind w:left="240" w:right="60" w:firstLine="971"/>
        <w:spacing w:after="0" w:line="247" w:lineRule="auto"/>
        <w:rPr>
          <w:sz w:val="20"/>
          <w:szCs w:val="20"/>
          <w:color w:val="auto"/>
        </w:rPr>
      </w:pPr>
      <w:r>
        <w:rPr>
          <w:rFonts w:ascii="Times New Roman" w:cs="Times New Roman" w:eastAsia="Times New Roman" w:hAnsi="Times New Roman"/>
          <w:sz w:val="18"/>
          <w:szCs w:val="18"/>
          <w:color w:val="auto"/>
        </w:rPr>
        <w:t>We are exposed to risks associated with the potential spin-off of one or more of our businesses. On December 8, 2020, we completed the spin-off and listing of JD Health, a consolidated subsidiary of our company, on the Main Board of the Hong Kong Stock Exchange. On May 28, 2021, we completed the spin-off and listing of JD Logistics, a consolidated subsidiary of our company, on the Main Board of the Hong Kong Stock Exchange. On December 11, 2025, we completed the spin-off and listing of JD Industrials, a consolidated subsidiary of our company, on the Main Board of the Hong Kong Stock Exchange. On January 26, 2026, JD Property, through the joint sponsors, submitted a listing application form (Form A1) to the Hong Kong Stock Exchange to apply for the listing of, and permission to deal in, its shares on the Main Board of the Hong Kong Stock Exchange. There is no assurance as to whether or when the proposed listing may take place. We may continue to explore the ongoing financing requirements for our various other businesses and may consider a spin-off listing for one or more of those businesses. We cannot assure you that any spin-off will ultimately be consummated, any such spin-off will be subject to market conditions at the time and approval by the listing committee of the Hong Kong Stock Exchange or other equivalent regulatory agencies. In the event that we proceed with a spin-off, our interest in the entity to be spun-off (and its corresponding contribution to the financial results of our company) will be reduced accordingly.</w:t>
      </w:r>
    </w:p>
    <w:p>
      <w:pPr>
        <w:spacing w:after="0" w:line="1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320" w:top="476" w:right="5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on the Hong Kong Stock Exchange might not develop or be sustained and trading prices of our Class A ordinary shares might fluctuate significantly.</w:t>
      </w:r>
    </w:p>
    <w:p>
      <w:pPr>
        <w:spacing w:after="0" w:line="58"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Since the listing of our Class A ordinary shares on the Hong Kong Stock Exchange, we have consistently been an actively-traded company on the Hong Kong Stock Exchange. However, we cannot assure you that an active trading market for our ordinary shares on the Hong Kong Stock Exchange will be sustained. The trading price or liquidity for our ADSs on Nasdaq might not be indicative of those of our Class A ordinary shares on the Hong Kong Stock Exchange. If an active trading market of our ordinary shares on the Hong Kong Stock Exchange is not sustained, the market price and liquidity of our ordinary shares could be materially and adversely affected.</w:t>
      </w:r>
    </w:p>
    <w:p>
      <w:pPr>
        <w:spacing w:after="0" w:line="187"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In October 2019, the Shanghai and Shenzhen Stock Exchanges separately announced their amended implementation rules in connection with Southbound Trading to include shares of companies of a dual-class voting structure to be traded through Stock Connect, which was most recently amended in June 2024. Under prevailing practice and published baseline rules, however, dual-class companies that are secondarily listed in Hong Kong, as we are, are generally not eligible for southbound inclusion. The ineligibility or any delay of our Class A ordinary shares for trading through Stock Connect will affect mainland Chinese investors’ ability to trade our Class A ordinary shares and therefore may limit the liquidity of the trading of our Class A ordinary shares on the Hong Kong Stock Exchange.</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There is uncertainty as to whether Hong Kong stamp duty will apply to the trading or conversion of our ADSs.</w:t>
      </w:r>
    </w:p>
    <w:p>
      <w:pPr>
        <w:spacing w:after="0" w:line="114"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In connection with our initial public offering of Class A ordinary shares in Hong Kong, we have established a branch register of members in Hong Kong, which we refer to as our Hong Kong share register. Our Class A ordinary shares that are traded on the Hong Kong Stock Exchange, including those that were issued in our initial public offering of Class A ordinary shares in Hong Kong and those that may be converted from ADSs, are registered on our Hong Kong share register, and the trading of these Class A ordinary shares on the Hong Kong Stock Exchange will be subject to the Hong Kong stamp duty. To facilitate conversion between ADSs and ordinary shares and trading between Nasdaq and the Hong Kong Stock Exchange, we also moved a portion of our issued Class A ordinary shares from our register of members maintained in the Cayman Islands to our Hong Kong share register.</w:t>
      </w:r>
    </w:p>
    <w:p>
      <w:pPr>
        <w:spacing w:after="0" w:line="189"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0.1% (rounded up to the nearest dollar) on the value of the transaction, on both the buyer and the seller.</w:t>
      </w:r>
    </w:p>
    <w:p>
      <w:pPr>
        <w:spacing w:after="0" w:line="179" w:lineRule="exact"/>
        <w:rPr>
          <w:sz w:val="20"/>
          <w:szCs w:val="20"/>
          <w:color w:val="auto"/>
        </w:rPr>
      </w:pPr>
    </w:p>
    <w:p>
      <w:pPr>
        <w:ind w:left="240" w:right="20" w:firstLine="971"/>
        <w:spacing w:after="0" w:line="267" w:lineRule="auto"/>
        <w:rPr>
          <w:sz w:val="20"/>
          <w:szCs w:val="20"/>
          <w:color w:val="auto"/>
        </w:rPr>
      </w:pPr>
      <w:r>
        <w:rPr>
          <w:rFonts w:ascii="Times New Roman" w:cs="Times New Roman" w:eastAsia="Times New Roman" w:hAnsi="Times New Roman"/>
          <w:sz w:val="17"/>
          <w:szCs w:val="17"/>
          <w:color w:val="auto"/>
        </w:rPr>
        <w:t>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your investment in our Class A ordinary shares and/or ADSs may be affected.</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320" w:top="476" w:right="5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Information on the Company</w:t>
      </w:r>
    </w:p>
    <w:p>
      <w:pPr>
        <w:spacing w:after="0" w:line="124" w:lineRule="exact"/>
        <w:rPr>
          <w:sz w:val="20"/>
          <w:szCs w:val="20"/>
          <w:color w:val="auto"/>
        </w:rPr>
      </w:pPr>
    </w:p>
    <w:p>
      <w:pPr>
        <w:ind w:left="660" w:hanging="430"/>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12" w:lineRule="exact"/>
        <w:rPr>
          <w:sz w:val="20"/>
          <w:szCs w:val="20"/>
          <w:color w:val="auto"/>
        </w:rPr>
      </w:pPr>
    </w:p>
    <w:p>
      <w:pPr>
        <w:ind w:left="240" w:right="320" w:firstLine="971"/>
        <w:spacing w:after="0" w:line="258" w:lineRule="auto"/>
        <w:rPr>
          <w:sz w:val="20"/>
          <w:szCs w:val="20"/>
          <w:color w:val="auto"/>
        </w:rPr>
      </w:pPr>
      <w:r>
        <w:rPr>
          <w:rFonts w:ascii="Times New Roman" w:cs="Times New Roman" w:eastAsia="Times New Roman" w:hAnsi="Times New Roman"/>
          <w:sz w:val="18"/>
          <w:szCs w:val="18"/>
          <w:color w:val="auto"/>
        </w:rPr>
        <w:t>Our chairman, Mr. Richard Qiangdong Liu, launched an online retail website in January 2004. He subsequently formed a company in Beijing and another company in Shanghai and conducted his online retail business through these two companies. In April 2007, we established a wholly-owned PRC subsidiary, Beijing Jingdong Century Trade Co., Ltd., or Jingdong Century.</w:t>
      </w:r>
    </w:p>
    <w:p>
      <w:pPr>
        <w:spacing w:after="0" w:line="179"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In November 2006, we incorporated Star Wave Investments Holdings Limited under the laws of the British Virgin Islands as our offshore holding company in order to facilitate international financing. We later changed the name of this entity to 360buy Jingdong Inc.. In January 2014, 360buy Jingdong Inc. was redomiciled in the Cayman Islands as an exempted company registered under the laws of the Cayman Islands, and was renamed JD.com, Inc..</w:t>
      </w:r>
    </w:p>
    <w:p>
      <w:pPr>
        <w:spacing w:after="0" w:line="185" w:lineRule="exact"/>
        <w:rPr>
          <w:sz w:val="20"/>
          <w:szCs w:val="20"/>
          <w:color w:val="auto"/>
        </w:rPr>
      </w:pPr>
    </w:p>
    <w:p>
      <w:pPr>
        <w:ind w:left="240" w:right="280" w:firstLine="971"/>
        <w:spacing w:after="0" w:line="270" w:lineRule="auto"/>
        <w:rPr>
          <w:sz w:val="20"/>
          <w:szCs w:val="20"/>
          <w:color w:val="auto"/>
        </w:rPr>
      </w:pPr>
      <w:r>
        <w:rPr>
          <w:rFonts w:ascii="Times New Roman" w:cs="Times New Roman" w:eastAsia="Times New Roman" w:hAnsi="Times New Roman"/>
          <w:sz w:val="18"/>
          <w:szCs w:val="18"/>
          <w:color w:val="auto"/>
        </w:rPr>
        <w:t>We have established subsidiaries inside and outside of China and assisted in establishing PRC consolidated variable interest entities to conduct our business operations.</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significant subsidiaries that conduct business operations in China include, among others, the following:</w:t>
      </w:r>
    </w:p>
    <w:p>
      <w:pPr>
        <w:spacing w:after="0" w:line="124" w:lineRule="exact"/>
        <w:rPr>
          <w:sz w:val="20"/>
          <w:szCs w:val="20"/>
          <w:color w:val="auto"/>
        </w:rPr>
      </w:pPr>
    </w:p>
    <w:p>
      <w:pPr>
        <w:ind w:left="1180" w:hanging="421"/>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Century, established in April 2007, and certain of its subsidiaries in China, which primarily engage in retail business;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Shengdayuan, which was established in April 2011 and primarily operates our online marketplace business; and</w:t>
      </w:r>
    </w:p>
    <w:p>
      <w:pPr>
        <w:spacing w:after="0" w:line="123" w:lineRule="exact"/>
        <w:rPr>
          <w:rFonts w:ascii="Times New Roman" w:cs="Times New Roman" w:eastAsia="Times New Roman" w:hAnsi="Times New Roman"/>
          <w:sz w:val="18"/>
          <w:szCs w:val="18"/>
          <w:color w:val="auto"/>
        </w:rPr>
      </w:pPr>
    </w:p>
    <w:p>
      <w:pPr>
        <w:ind w:left="1180" w:right="380" w:hanging="421"/>
        <w:spacing w:after="0" w:line="270" w:lineRule="auto"/>
        <w:tabs>
          <w:tab w:leader="none" w:pos="1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Jiangsu Xinchuan Hailian (previously Xi’an Jingxundi Supply Chain Technology Co., Ltd.), which was established in May 2017 and primarily provides technology and consulting services relating to logistics services.</w:t>
      </w:r>
    </w:p>
    <w:p>
      <w:pPr>
        <w:spacing w:after="0" w:line="169"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8"/>
          <w:szCs w:val="18"/>
          <w:color w:val="auto"/>
        </w:rPr>
        <w:t>The significant consolidated variable interest entities and their subsidiaries that conduct our business operations in China include, among others, the following:</w:t>
      </w:r>
    </w:p>
    <w:p>
      <w:pPr>
        <w:spacing w:after="0" w:line="76" w:lineRule="exact"/>
        <w:rPr>
          <w:sz w:val="20"/>
          <w:szCs w:val="20"/>
          <w:color w:val="auto"/>
        </w:rPr>
      </w:pPr>
    </w:p>
    <w:p>
      <w:pPr>
        <w:ind w:left="1180" w:right="580" w:hanging="421"/>
        <w:spacing w:after="0" w:line="270"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360, which was established in April 2007 and holds our ICP license as an internet information provider and operates our www.jd.com website;</w:t>
      </w:r>
    </w:p>
    <w:p>
      <w:pPr>
        <w:spacing w:after="0" w:line="76" w:lineRule="exact"/>
        <w:rPr>
          <w:rFonts w:ascii="Times New Roman" w:cs="Times New Roman" w:eastAsia="Times New Roman" w:hAnsi="Times New Roman"/>
          <w:sz w:val="18"/>
          <w:szCs w:val="18"/>
          <w:color w:val="auto"/>
        </w:rPr>
      </w:pPr>
    </w:p>
    <w:p>
      <w:pPr>
        <w:ind w:left="1180" w:right="360" w:hanging="421"/>
        <w:spacing w:after="0" w:line="270"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Jiangsu Yuanzhou, which was established in September 2010 and primarily engages in the business of selling books, audio and video products;</w:t>
      </w:r>
    </w:p>
    <w:p>
      <w:pPr>
        <w:spacing w:after="0" w:line="76" w:lineRule="exact"/>
        <w:rPr>
          <w:rFonts w:ascii="Times New Roman" w:cs="Times New Roman" w:eastAsia="Times New Roman" w:hAnsi="Times New Roman"/>
          <w:sz w:val="18"/>
          <w:szCs w:val="18"/>
          <w:color w:val="auto"/>
        </w:rPr>
      </w:pPr>
    </w:p>
    <w:p>
      <w:pPr>
        <w:ind w:left="1180" w:right="400" w:hanging="421"/>
        <w:spacing w:after="0" w:line="270" w:lineRule="auto"/>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Xi’an Jingdong Xincheng, which was established in June 2017 and primarily provides technology and consulting services relating to logistics services;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Jiangsu Jingdong Bangneng, which was established in August 2015 and primarily engages in the business of investment management; and</w:t>
      </w:r>
    </w:p>
    <w:p>
      <w:pPr>
        <w:spacing w:after="0" w:line="135" w:lineRule="exact"/>
        <w:rPr>
          <w:rFonts w:ascii="Times New Roman" w:cs="Times New Roman" w:eastAsia="Times New Roman" w:hAnsi="Times New Roman"/>
          <w:sz w:val="17"/>
          <w:szCs w:val="17"/>
          <w:color w:val="auto"/>
        </w:rPr>
      </w:pPr>
    </w:p>
    <w:p>
      <w:pPr>
        <w:ind w:left="1180" w:hanging="421"/>
        <w:spacing w:after="0"/>
        <w:tabs>
          <w:tab w:leader="none" w:pos="1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Suqian Hanyu, which was established in December 2024 and primarily provides technology services.</w:t>
      </w:r>
    </w:p>
    <w:p>
      <w:pPr>
        <w:spacing w:after="0" w:line="1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40"/>
          </w:cols>
          <w:pgMar w:left="320" w:top="476"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right="280" w:firstLine="971"/>
        <w:spacing w:after="0" w:line="258" w:lineRule="auto"/>
        <w:rPr>
          <w:sz w:val="20"/>
          <w:szCs w:val="20"/>
          <w:color w:val="auto"/>
        </w:rPr>
      </w:pPr>
      <w:r>
        <w:rPr>
          <w:rFonts w:ascii="Times New Roman" w:cs="Times New Roman" w:eastAsia="Times New Roman" w:hAnsi="Times New Roman"/>
          <w:sz w:val="18"/>
          <w:szCs w:val="18"/>
          <w:color w:val="auto"/>
        </w:rPr>
        <w:t>We also conduct certain of our business operations through other consolidated variable interest entities and their subsidiaries, including Suqian Jingdong Tianning Jiankang Technology Co., Ltd., or Suqian Jingdong Tianning, which was established in June 2019 and primarily provides pharmacy sales and healthcare services in connection with JD Health’s operations.</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On May 22, 2014, our ADSs commenced trading on Nasdaq under the symbol “JD.”</w:t>
      </w:r>
    </w:p>
    <w:p>
      <w:pPr>
        <w:spacing w:after="0" w:line="216" w:lineRule="exact"/>
        <w:rPr>
          <w:sz w:val="20"/>
          <w:szCs w:val="20"/>
          <w:color w:val="auto"/>
        </w:rPr>
      </w:pPr>
    </w:p>
    <w:p>
      <w:pPr>
        <w:jc w:val="both"/>
        <w:ind w:left="240" w:right="260" w:firstLine="971"/>
        <w:spacing w:after="0" w:line="258"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June 18, 2020 under the stock code “9618.” Our RMB counter was launched and became effective since June 19, 2023 under the stock code “89618.” Our principal address in Hong Kong is at 31/F Jardine House, 1 Connaught Place, Central, Hong Kong, China.</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Strategic Cooperations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Strategic Cooperation with Tencent</w:t>
      </w:r>
    </w:p>
    <w:p>
      <w:pPr>
        <w:spacing w:after="0" w:line="112"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On March 10, 2014, we acquired certain e-commerce businesses and assets from, and entered into a strategic cooperation agreement and formed a strategic partnership with Tencent, a leading internet company serving the largest online community in China. Tencent offers a wide variety of internet services in China, including social communications, online games and digital content and payment. Under the strategic partnership, Tencent offers us prominent access points in its mobile apps Weixin and Mobile QQ and provide us with traffic and other support from other key platforms, which has helped us generate mobile user traffic from Tencent’s large mobile user base and enhance our customers’ mobile shopping experience. The two parties agree to cooperate in a number of areas including mobile-related products, social networking services, membership systems and payment solutions. The strategic cooperation agreement applies within the territory of China. Under the strategic cooperation agreement, we are Tencent’s preferred partner for all physical goods e-commerce businesses, and Tencent agrees not to engage in any retail or managed marketplace business model in physical goods e-commerce businesses in China and a few selected international markets for a period of eight years, other than through its controlled affiliate, Shanghai Icson E-Commerce Development Company Limited.</w:t>
      </w:r>
    </w:p>
    <w:p>
      <w:pPr>
        <w:spacing w:after="0" w:line="18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On May 10, 2019, we renewed the strategic cooperation agreement with Tencent for a period of three years starting from May 27, 2019.</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Tencent continued to offer us prominent Level I and Level II access points on its Weixin platform to provide traffic support, and the two companies</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continued to cooperate in a number of areas including communications, advertising and membership services, among others. Such traffic support,</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advertising spending and other cooperation amounted to over US$800 million, which was paid or spent over the next three years. We agreed to issue to</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Tencent a certain number of our Class A ordinary shares for a total consideration of approximately US$250 million at prevailing market prices at certain</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predetermined dates during the subsequent three-year period, of which 8,127,302, 2,938,584 and 1,914,998 of our Class A ordinary shares were issued</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May 2019, May 2020 and June 2021, respectively. The issuance of Class A ordinary shares of US$250 million formed part of the total amount of</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US$800 million that was paid or spent for the traffic support, advertising and other cooperation from Tencent under the strategic cooperation agreement.</w:t>
      </w:r>
    </w:p>
    <w:p>
      <w:pPr>
        <w:spacing w:after="0" w:line="210"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On March 25, 2022, Tencent completed a distribution of approximately 460 million Class A ordinary shares of our company owned by Tencent to its shareholders. Following the distribution, Tencent’s shareholding in us was below 5% pursuant to a 13G amendment file by Tencent Holdings Limited and Huang River Investment Limited with the SEC on March 30, 2022 and the shareholders of Tencent who receive our shares in the distribution have become our shareholders. We and Tencent continue to maintain our mutually beneficial business relationship, including our ongoing strategic partnership agreement. On June 29, 2022, we renewed the strategic cooperation agreement with Tencent for another period of three years. Tencent continues to offer us prominent Level I and Level II access points on its Weixin platform to provide traffic support, and we also continue to cooperate in a number of areas including communications, technology services, marketing and advertising, and membership services, among others. The value of such cooperation is to be paid or spent in cash and in the form of our shares combined over the next three years. As a part of the total consideration, we agreed to issue to Tencent a certain number of our Class A ordinary shares for a consideration of up to US$220 million by reference to prevailing market prices at certain predetermined dates during the three-year period, of which 2,164,326, 3,761,270 and 4,119,434 of our Class A ordinary shares were issued in July 2022, May 2023 and May 2024, respectively.</w:t>
      </w:r>
    </w:p>
    <w:p>
      <w:pPr>
        <w:spacing w:after="0" w:line="195" w:lineRule="exact"/>
        <w:rPr>
          <w:sz w:val="20"/>
          <w:szCs w:val="20"/>
          <w:color w:val="auto"/>
        </w:rPr>
      </w:pPr>
    </w:p>
    <w:p>
      <w:pPr>
        <w:ind w:left="240" w:right="80" w:firstLine="971"/>
        <w:spacing w:after="0" w:line="280" w:lineRule="auto"/>
        <w:rPr>
          <w:sz w:val="20"/>
          <w:szCs w:val="20"/>
          <w:color w:val="auto"/>
        </w:rPr>
      </w:pPr>
      <w:r>
        <w:rPr>
          <w:rFonts w:ascii="Times New Roman" w:cs="Times New Roman" w:eastAsia="Times New Roman" w:hAnsi="Times New Roman"/>
          <w:sz w:val="17"/>
          <w:szCs w:val="17"/>
          <w:color w:val="auto"/>
        </w:rPr>
        <w:t>In May 2025, we renewed the strategic cooperation agreement with Tencent for another period of five years, pursuant to which we cooperate with Tencent on access point on the Weixin platform, cloud services, mapping services, marketing and advertising, and membership services, among others. The two parties are leveraging this mutually beneficial partnership to provide better and more convenient shopping experience for users.</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320" w:top="476" w:right="5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Developments of Our Subsidiaries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Logistics</w:t>
      </w:r>
    </w:p>
    <w:p>
      <w:pPr>
        <w:spacing w:after="0" w:line="112" w:lineRule="exact"/>
        <w:rPr>
          <w:sz w:val="20"/>
          <w:szCs w:val="20"/>
          <w:color w:val="auto"/>
        </w:rPr>
      </w:pPr>
    </w:p>
    <w:p>
      <w:pPr>
        <w:ind w:left="240" w:right="200" w:firstLine="971"/>
        <w:spacing w:after="0" w:line="266" w:lineRule="auto"/>
        <w:rPr>
          <w:sz w:val="20"/>
          <w:szCs w:val="20"/>
          <w:color w:val="auto"/>
        </w:rPr>
      </w:pPr>
      <w:r>
        <w:rPr>
          <w:rFonts w:ascii="Times New Roman" w:cs="Times New Roman" w:eastAsia="Times New Roman" w:hAnsi="Times New Roman"/>
          <w:sz w:val="17"/>
          <w:szCs w:val="17"/>
          <w:color w:val="auto"/>
        </w:rPr>
        <w:t>JD Logistics is a leading technology-driven supply chain solutions and logistics services provider, and its shares are listed on the Main Board of the Hong Kong Stock Exchange. JD Logistics has been operating as an internal logistics department of us since 2007 and as a stand-alone business segment since April 2017. JD Logistics offers a full spectrum of supply chain solutions and high-quality logistics services enabled by technology, ranging from warehousing to distribution, spanning across manufacturing to end-customers, covering regular and specialized items. On May 28, 2021, shares of JD Logistics commenced trading on the Main Board of the Hong Kong Stock Exchange under the stock code “2618.” JD Logistics raised from the global offering in connection with the listing in Hong Kong approximately RMB22.9 billion in net proceeds after deducting underwriting commissions, share issuance costs and the offering expenses. JD Logistics remains our consolidated subsidiary after its listing.</w:t>
      </w:r>
    </w:p>
    <w:p>
      <w:pPr>
        <w:spacing w:after="0" w:line="175"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In August 2020, JD Logistics acquired a controlling interest in Kuayue-Express a renowned modern integrated express transportation enterprise specializing in “limited-time express service” in China, for a total consideration of approximately RMB3 billion through a combination of acquiring existing shares and subscribing for newly issued shares of Kuayue-Express. In December 2024, a subsidiary of JD Logistics, Suqian Jingdong Bohai Enterprise Management Co., Ltd., entered into an equity transfer agreement to purchase the remaining equity interest of approximately 36.43% in Kuayue-Express, in which JD Logistics already had approximately 63.57% equity interest, at a purchase price of up to RMB6,484 million, subject to adjustments as set out in the equity transfer agreement. The proposed transaction will be completed in a series of steps and is subject to customary closing conditions. It has been approved in the extraordinary general meeting of JD Logistics held in April 2025. On June 11, 2025 and July 31, 2025, JD Logistics completed the first phase equity transfer and the second phase business registration of transferring in accordance with the agreement. Upon the completion of the remaining third phase transaction, JD Logistics will hold 100% equity interest in Kuayue-Express.</w:t>
      </w:r>
    </w:p>
    <w:p>
      <w:pPr>
        <w:spacing w:after="0" w:line="180" w:lineRule="exact"/>
        <w:rPr>
          <w:sz w:val="20"/>
          <w:szCs w:val="20"/>
          <w:color w:val="auto"/>
        </w:rPr>
      </w:pPr>
    </w:p>
    <w:p>
      <w:pPr>
        <w:ind w:left="240" w:right="140" w:firstLine="971"/>
        <w:spacing w:after="0" w:line="248" w:lineRule="auto"/>
        <w:rPr>
          <w:sz w:val="20"/>
          <w:szCs w:val="20"/>
          <w:color w:val="auto"/>
        </w:rPr>
      </w:pPr>
      <w:r>
        <w:rPr>
          <w:rFonts w:ascii="Times New Roman" w:cs="Times New Roman" w:eastAsia="Times New Roman" w:hAnsi="Times New Roman"/>
          <w:sz w:val="18"/>
          <w:szCs w:val="18"/>
          <w:color w:val="auto"/>
        </w:rPr>
        <w:t>In March 2022, JD Logistics entered into a series of agreements in relation to the proposed acquisition of Deppon Logistics Co., Ltd (“Deppon”). Pursuant to the transaction agreements, JD Logistics would acquire approximately 99.99% of the equity interest in Ningbo Meishan Baoshui Area Deppon Investment Holding Company Limited, or Deppon Holdco, which in turn holds a total of approximately 66.50% of the issued share capital of Deppon, for a total consideration of approximately RMB9.0 billion. On July 26, 2022, JD Logistics completed the acquisition of more than 50% equity interest in Deppon Holdco, being the first tranche of the staggered acquisition arrangement. As a result, Deppon Holdco (including Deppon and its subsidiaries) has become a subsidiary of JD Logistics, and its financial results, except for that of certain excluded business, have been consolidated into JD Logistics’s consolidated financial statements. On January 13, 2026, Deppon announced a voluntary delisting from the Shanghai Stock Exchange. In February 2026, we held approximately 99.7% of the total Deppon shares. The delisting of Deppon was approved by the Shanghai Stock Exchange in March 2026.</w:t>
      </w:r>
    </w:p>
    <w:p>
      <w:pPr>
        <w:spacing w:after="0" w:line="190"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On April 1, 2022, JD Logistics raised approximately HK$3,102 million net proceeds from a group of third-party investors by issuing to them 150,500,000 of its ordinary shares. On May 26, 2022, we subscribed for 261,400,000 ordinary shares of JD Logistics for a total purchase price of approximately US$692 million in cash, upon which we maintained our shareholding in JD Logistics at more than 63% and continued to consolidate JD Logistics’s financial results into our financial statements.</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Health</w:t>
      </w:r>
    </w:p>
    <w:p>
      <w:pPr>
        <w:spacing w:after="0" w:line="112" w:lineRule="exact"/>
        <w:rPr>
          <w:sz w:val="20"/>
          <w:szCs w:val="20"/>
          <w:color w:val="auto"/>
        </w:rPr>
      </w:pPr>
    </w:p>
    <w:p>
      <w:pPr>
        <w:jc w:val="both"/>
        <w:ind w:left="240" w:firstLine="971"/>
        <w:spacing w:after="0" w:line="266" w:lineRule="auto"/>
        <w:rPr>
          <w:sz w:val="20"/>
          <w:szCs w:val="20"/>
          <w:color w:val="auto"/>
        </w:rPr>
      </w:pPr>
      <w:r>
        <w:rPr>
          <w:rFonts w:ascii="Times New Roman" w:cs="Times New Roman" w:eastAsia="Times New Roman" w:hAnsi="Times New Roman"/>
          <w:sz w:val="17"/>
          <w:szCs w:val="17"/>
          <w:color w:val="auto"/>
        </w:rPr>
        <w:t>JD Health is one of the largest online healthcare platforms in China, the shares of which are listed on the Main Board of Hong Kong Stock Exchange. JD Health is also pioneering the digitalization and transformation of the healthcare industry. Over the past few years, JD Health is building a comprehensive “internet + healthcare” ecosystem, providing pharmaceutical and healthcare products and internet healthcare services to the customers.</w:t>
      </w:r>
    </w:p>
    <w:p>
      <w:pPr>
        <w:spacing w:after="0" w:line="2" w:lineRule="exact"/>
        <w:rPr>
          <w:sz w:val="20"/>
          <w:szCs w:val="20"/>
          <w:color w:val="auto"/>
        </w:rPr>
      </w:pPr>
    </w:p>
    <w:p>
      <w:pPr>
        <w:ind w:left="240" w:right="60"/>
        <w:spacing w:after="0" w:line="266" w:lineRule="auto"/>
        <w:rPr>
          <w:sz w:val="20"/>
          <w:szCs w:val="20"/>
          <w:color w:val="auto"/>
        </w:rPr>
      </w:pPr>
      <w:r>
        <w:rPr>
          <w:rFonts w:ascii="Times New Roman" w:cs="Times New Roman" w:eastAsia="Times New Roman" w:hAnsi="Times New Roman"/>
          <w:sz w:val="17"/>
          <w:szCs w:val="17"/>
          <w:color w:val="auto"/>
        </w:rPr>
        <w:t>On December 8, 2020, shares of JD Health commenced trading on the Main Board of the Hong Kong Stock Exchange under the stock code “6618.” JD Health raised from the global offering in connection with the listing in Hong Kong approximately RMB25.7 billion in net proceeds after deducting underwriting commissions, share issuance costs and the offering expenses. JD Health remains our consolidated subsidiary after its listing. JD Health’s RMB counter on the Hong Kong Stock Exchange was launched and became effective since June 19, 2023 under the stock code “86618.”</w:t>
      </w:r>
    </w:p>
    <w:p>
      <w:pPr>
        <w:spacing w:after="0" w:line="10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0"/>
          </w:cols>
          <w:pgMar w:left="320" w:top="476" w:right="6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Property</w:t>
      </w:r>
    </w:p>
    <w:p>
      <w:pPr>
        <w:spacing w:after="0" w:line="112"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In 2018, we established JD Property, our infrastructure asset management and integrated service platform for developing and managing modern infrastructure to support JD Logistics and third parties.</w:t>
      </w:r>
    </w:p>
    <w:p>
      <w:pPr>
        <w:spacing w:after="0" w:line="169"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In March 2021, JD Property completed the series A preference share financing with co-lead investors Hillhouse Investment and Warburg Pincus, among others. The total amount raised was US$703 million. In March 2022 and June 2022, JD Property conducted its series B preferred share financing with investors led by Hillhouse Investment, Warburg Pincus, and one leading global institutional investor, among others. The total amount raised in this round was approximately US$800 million. We remain to be the majority shareholder of JD Property after the two rounds of financings. On January 26, 2026, JD Property, through its joint sponsors, submitted a listing application form (Form A1) to the Hong Kong Stock Exchange to apply for the listing of, and permission to deal in, its shares on the Main Board of the Hong Kong Stock Exchange. There is no assurance as to whether or when the proposed listing may take place.</w:t>
      </w:r>
    </w:p>
    <w:p>
      <w:pPr>
        <w:spacing w:after="0" w:line="189"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On January 28, 2022, JD Property completed the acquisition of CNLP, upon which JD Property had accumulatively acquired approximately 37.02% of the issued share capital of CNLP. On March 1, 2022, immediately following the resignation of certain members of the board of directors of CNLP, it was deemed that JD Property had gained control of CNLP and hence CNLP became a consolidated subsidiary of JD Property. On July 14, 2022, JD Property completed the acquisition and privatization of CNLP, and CNLP became a wholly-owned subsidiary of JD Property. The listing of CNLP was subsequently withdrawn from the Hong Kong Stock Exchange on July 15, 2022. CNLP is principally engaged in the leasing of storage facilities and the related management services in the PRC.</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Industrials</w:t>
      </w:r>
    </w:p>
    <w:p>
      <w:pPr>
        <w:spacing w:after="0" w:line="112"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JD Industrials is the leading industrial supply chain technology and service provider in China, the shares of which are listed on the Main Board of Hong Kong Stock Exchange. Through transformative digitalization of the industrial supply chain, JD Industrials helps its customers increase supply chain reliability, reduce costs, enhance efficiency, and ensure compliance. On December 11, 2025, shares of JD Industrials commenced trading on the Main Board of the Hong Kong Stock Exchange under the stock code “7618.” JD Industrials raised from the global offering in connection with the listing in Hong Kong approximately RMB2.6 billion in net proceeds after deducting underwriting commissions, share issuance costs and the offering expenses. JD Industrials remains our consolidated subsidiary after its listing.</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Dada</w:t>
      </w:r>
    </w:p>
    <w:p>
      <w:pPr>
        <w:spacing w:after="0" w:line="112" w:lineRule="exact"/>
        <w:rPr>
          <w:sz w:val="20"/>
          <w:szCs w:val="20"/>
          <w:color w:val="auto"/>
        </w:rPr>
      </w:pPr>
    </w:p>
    <w:p>
      <w:pPr>
        <w:jc w:val="both"/>
        <w:ind w:left="240" w:right="200" w:firstLine="971"/>
        <w:spacing w:after="0" w:line="253" w:lineRule="auto"/>
        <w:rPr>
          <w:sz w:val="20"/>
          <w:szCs w:val="20"/>
          <w:color w:val="auto"/>
        </w:rPr>
      </w:pPr>
      <w:r>
        <w:rPr>
          <w:rFonts w:ascii="Times New Roman" w:cs="Times New Roman" w:eastAsia="Times New Roman" w:hAnsi="Times New Roman"/>
          <w:sz w:val="18"/>
          <w:szCs w:val="18"/>
          <w:color w:val="auto"/>
        </w:rPr>
        <w:t>Dada was a leading local on-demand retail and delivery platform in China. It operated JD NOW, one of China’s largest local on-demand retail platforms for retailers and brand owners, and Dada Now, a leading local on-demand delivery platform open to merchants and individual senders across various industries and product categories. On June 16, 2025, we completed the transaction to take Dada private, following which Dada became our wholly owned subsidiary and ceased to be a publicly traded company.</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Ongoing Acquisition of CECONOMY</w:t>
      </w:r>
    </w:p>
    <w:p>
      <w:pPr>
        <w:spacing w:after="0" w:line="114" w:lineRule="exact"/>
        <w:rPr>
          <w:sz w:val="20"/>
          <w:szCs w:val="20"/>
          <w:color w:val="auto"/>
        </w:rPr>
      </w:pPr>
    </w:p>
    <w:p>
      <w:pPr>
        <w:ind w:left="240" w:right="240" w:firstLine="971"/>
        <w:spacing w:after="0" w:line="258" w:lineRule="auto"/>
        <w:rPr>
          <w:sz w:val="20"/>
          <w:szCs w:val="20"/>
          <w:color w:val="auto"/>
        </w:rPr>
      </w:pPr>
      <w:r>
        <w:rPr>
          <w:rFonts w:ascii="Times New Roman" w:cs="Times New Roman" w:eastAsia="Times New Roman" w:hAnsi="Times New Roman"/>
          <w:sz w:val="18"/>
          <w:szCs w:val="18"/>
          <w:color w:val="auto"/>
        </w:rPr>
        <w:t>CECONOMY AG (“CECONOMY”) (XETRA: CEC), founded in 1979 in Germany and listed on the Frankfurt Stock Exchange since 2017, is a European retail leader in the field of consumer electronics. Its main brands MediaMarkt and Saturn operate omni-channel retail businesses, combining strong e-commerce presence with more than 1,000 retail stores in 11 countries.</w:t>
      </w:r>
    </w:p>
    <w:p>
      <w:pPr>
        <w:spacing w:after="0" w:line="179"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On July 30, 2025, we decided to make a voluntary public takeover offer to all shareholders of CECONOMY, to acquire all issued and outstanding bearer shares in CECONOMY (the “CECONOMY Shares”) for a cash consideration of EUR4.60 per share (the “Takeover Offer”). We have also signed an investment agreement with CECONOMY regarding the Takeover Offer and the intended cooperation after completion of the Takeover Offer. We and CECONOMY’s largest shareholder group comprising Convergenta Invest GmbH and related shareholders (together, “Convergenta”) entered into a shareholders’ agreement, effectiveness of which is subject to the completion of the Takeover Offer. As a result, post the completion of the Takeover Offer, Convergenta will hold 25.35% of the CECONOMY Shares, reducing its current shareholding in CECONOMY from 29.16% by an irrevocable undertaking to accept the Takeover Offer with respect to 3.81% of the CECONOMY Shares. We have also entered into agreements with several shareholders of CECONOMY, under which those shareholders have irrevocably undertaken to accept the Takeover Offer with respect to 31.7% of the CECONOMY Shares in total (including 3.81% from Convergenta).</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0"/>
          </w:cols>
          <w:pgMar w:left="320" w:top="476" w:right="5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00" w:firstLine="971"/>
        <w:spacing w:after="0" w:line="251" w:lineRule="auto"/>
        <w:rPr>
          <w:sz w:val="20"/>
          <w:szCs w:val="20"/>
          <w:color w:val="auto"/>
        </w:rPr>
      </w:pPr>
      <w:r>
        <w:rPr>
          <w:rFonts w:ascii="Times New Roman" w:cs="Times New Roman" w:eastAsia="Times New Roman" w:hAnsi="Times New Roman"/>
          <w:sz w:val="18"/>
          <w:szCs w:val="18"/>
          <w:color w:val="auto"/>
        </w:rPr>
        <w:t>On September 1, 2025, we published the Takeover Offer to all shareholders of CECONOMY. Following the additional acceptance period of the Takeover Offer ended on November 27, 2025, we secured 59.8% of the share capital and voting rights of CECONOMY for a consideration of EUR1.3 billion. This results in a total shareholding of 85.2% in CECONOMY in combination with the retained stake of JD.com’s future partner Convergenta. To finance the Takeover Offer, we entered into bridge loan facility of EUR2.0 billion for the escrow period and cash confirmation purposes for this acquisition, which consists of Facility A of EUR1.2 billion and Facility B of EUR0.8 billion.</w:t>
      </w:r>
    </w:p>
    <w:p>
      <w:pPr>
        <w:spacing w:after="0" w:line="187" w:lineRule="exact"/>
        <w:rPr>
          <w:sz w:val="20"/>
          <w:szCs w:val="20"/>
          <w:color w:val="auto"/>
        </w:rPr>
      </w:pPr>
    </w:p>
    <w:p>
      <w:pPr>
        <w:ind w:left="240" w:right="40" w:firstLine="971"/>
        <w:spacing w:after="0" w:line="258" w:lineRule="auto"/>
        <w:rPr>
          <w:sz w:val="20"/>
          <w:szCs w:val="20"/>
          <w:color w:val="auto"/>
        </w:rPr>
      </w:pPr>
      <w:r>
        <w:rPr>
          <w:rFonts w:ascii="Times New Roman" w:cs="Times New Roman" w:eastAsia="Times New Roman" w:hAnsi="Times New Roman"/>
          <w:sz w:val="18"/>
          <w:szCs w:val="18"/>
          <w:color w:val="auto"/>
        </w:rPr>
        <w:t>The closing of the transaction remains subject to customary regulatory clearances, including merger control, foreign direct investment and foreign subsidies clearances. Upon the closing of the transaction, we expect to consolidate the financial results of CECONOMY into our consolidated financial statements.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Major Investments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Technology</w:t>
      </w:r>
    </w:p>
    <w:p>
      <w:pPr>
        <w:spacing w:after="0" w:line="11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Since 2017, JD Technology has made remarkable progress in the field of digital technology and is now a leading technology service provider in China, enabling corporates and organizations across industries to achieve digitalization and intelligentization and fueling their growth through accessible financial solutions. In June 2020, we entered into agreements with JD Technology, pursuant to which we have, through a consolidated PRC domestic company, acquired an aggregate of 36.8% equity interest in JD Technology by converting our profit sharing right pursuant to the framework agreement between us and JD Technology and investing additional RMB1.8 billion in cash in JD Technology. The framework agreement, including the profit-sharing arrangement between JD Technology and us, was terminated, and JD Technology has become our equity method investee. In connection with the acquisition of equity interests in JD Technology, we have entered into a series of agreements with JD Technology which set forth the rights of JD as a shareholder. Pursuant to these agreements, we continue to enjoy substantially all the rights that we had under the framework agreement; provided that certain rights such as the right to liquidity event payment had been terminated upon our conversion of the profit sharing right into equity interest in JD Technology. Pursuant to these agreements, certain of our rights under these agreements should be terminated immediately the day before JD Technology submits its application for an initial public offering. These rights, however, will be restored in the event the initial public offering application is rejected by the authorities or withdrawn by JD Technology.</w:t>
      </w:r>
    </w:p>
    <w:p>
      <w:pPr>
        <w:spacing w:after="0" w:line="193" w:lineRule="exact"/>
        <w:rPr>
          <w:sz w:val="20"/>
          <w:szCs w:val="20"/>
          <w:color w:val="auto"/>
        </w:rPr>
      </w:pPr>
    </w:p>
    <w:p>
      <w:pPr>
        <w:ind w:left="240" w:right="260" w:firstLine="971"/>
        <w:spacing w:after="0" w:line="253" w:lineRule="auto"/>
        <w:rPr>
          <w:sz w:val="20"/>
          <w:szCs w:val="20"/>
          <w:color w:val="auto"/>
        </w:rPr>
      </w:pPr>
      <w:r>
        <w:rPr>
          <w:rFonts w:ascii="Times New Roman" w:cs="Times New Roman" w:eastAsia="Times New Roman" w:hAnsi="Times New Roman"/>
          <w:sz w:val="18"/>
          <w:szCs w:val="18"/>
          <w:color w:val="auto"/>
        </w:rPr>
        <w:t>In addition, on June 20, 2020, the shareholders of JD Technology passed a unanimous resolution to restructure JD Technology as a company limited by shares and adopt the dual class voting structure. The shares held by Mr. Richard Qiangdong Liu and Suqian Linghang Fangyuan Equity Investment Center (Limited Partnership), or Suqian Linghang Fangyuan, an entity controlled by Mr. Liu, were entitled to ten votes per share, while Mr. Liu and Suqian Linghang Fangyuan must abstain from voting on any related party transaction with JD Technology.</w:t>
      </w:r>
    </w:p>
    <w:p>
      <w:pPr>
        <w:spacing w:after="0" w:line="185" w:lineRule="exact"/>
        <w:rPr>
          <w:sz w:val="20"/>
          <w:szCs w:val="20"/>
          <w:color w:val="auto"/>
        </w:rPr>
      </w:pPr>
    </w:p>
    <w:p>
      <w:pPr>
        <w:jc w:val="both"/>
        <w:ind w:left="240" w:firstLine="971"/>
        <w:spacing w:after="0" w:line="250" w:lineRule="auto"/>
        <w:rPr>
          <w:sz w:val="20"/>
          <w:szCs w:val="20"/>
          <w:color w:val="auto"/>
        </w:rPr>
      </w:pPr>
      <w:r>
        <w:rPr>
          <w:rFonts w:ascii="Times New Roman" w:cs="Times New Roman" w:eastAsia="Times New Roman" w:hAnsi="Times New Roman"/>
          <w:sz w:val="18"/>
          <w:szCs w:val="18"/>
          <w:color w:val="auto"/>
        </w:rPr>
        <w:t>On March 31, 2021, we entered into definitive agreements with JD Technology relating to the reorganization of our cloud computing and artificial intelligence business (“JD Cloud &amp; AI”). Pursuant to the definitive agreements, we transferred JD Cloud &amp; AI and additional RMB4 billion in cash, as consideration in exchange for newly issued ordinary shares of JD Technology. To support the smooth business transition of JD Cloud &amp; AI, we also transferred some equipment and reserved some restricted share units of us for the employees of JD Cloud &amp; AI, for which JD Technology paid cash consideration. Upon completion of the transactions on March 31, 2021, JD Cloud &amp; AI was deconsolidated from our consolidated financial statements, and our equity interest in JD Technology increased from 36.8% to 41.7%.</w:t>
      </w:r>
    </w:p>
    <w:p>
      <w:pPr>
        <w:spacing w:after="0" w:line="187"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From September to December 2024, JD Technology entered into new agreements with its shareholders to replace previous redemption terms with settlement method (through both cash and newly issued common shares). In these new agreements, investors will receive redemption amounts in cash and newly issued shares. These arrangements may be suspended or terminated under certain circumstances. In accordance with these agreements, JD Technology carried out the first tranche of redemption through cash settlement and new share issuance in the fourth quarter of 2024. As of December 31, 2025, our equity interest in JD Technology further increased to 54.9% as a result of the redemption, which we refer to as the JD Technology Redemption Arrangement. As a result of the dual class voting structure of JD Technology, as of December 31, 2025, we held approximately 23.3% voting power of JD Technology, and JD Technology was still under Mr. Richard Qiangdong Liu’s control.</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320" w:top="476" w:right="5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Wanda Commercial Properties</w:t>
      </w:r>
    </w:p>
    <w:p>
      <w:pPr>
        <w:spacing w:after="0" w:line="112" w:lineRule="exact"/>
        <w:rPr>
          <w:sz w:val="20"/>
          <w:szCs w:val="20"/>
          <w:color w:val="auto"/>
        </w:rPr>
      </w:pPr>
    </w:p>
    <w:p>
      <w:pPr>
        <w:ind w:left="240" w:right="80" w:firstLine="971"/>
        <w:spacing w:after="0" w:line="253" w:lineRule="auto"/>
        <w:rPr>
          <w:sz w:val="20"/>
          <w:szCs w:val="20"/>
          <w:color w:val="auto"/>
        </w:rPr>
      </w:pPr>
      <w:r>
        <w:rPr>
          <w:rFonts w:ascii="Times New Roman" w:cs="Times New Roman" w:eastAsia="Times New Roman" w:hAnsi="Times New Roman"/>
          <w:sz w:val="18"/>
          <w:szCs w:val="18"/>
          <w:color w:val="auto"/>
        </w:rPr>
        <w:t>In January 2018, we, along with Tencent, entered into a strategic partnership agreement with Wanda Commercial Properties, a leading developer, owner and operator of commercial properties in China, and its major shareholder, Dalian Wanda Group Co., Ltd. Pursuant to the agreement, we invested RMB5 billion to purchase the shares of Wanda Commercial Properties from its existing shareholders. As of January 2026, we had entered into a series of transaction documents to restructure our investment in Wanda Commercial Properties.</w:t>
      </w:r>
    </w:p>
    <w:p>
      <w:pPr>
        <w:spacing w:after="0" w:line="328" w:lineRule="exact"/>
        <w:rPr>
          <w:sz w:val="20"/>
          <w:szCs w:val="20"/>
          <w:color w:val="auto"/>
        </w:rPr>
      </w:pPr>
    </w:p>
    <w:p>
      <w:pPr>
        <w:ind w:left="240" w:right="8900" w:hanging="10"/>
        <w:spacing w:after="0" w:line="369" w:lineRule="auto"/>
        <w:tabs>
          <w:tab w:leader="none" w:pos="66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We are a leading supply chain-based technology and service provider. Our cutting-edge retail infrastructure seeks to enable consumers to buy whatever they want, and whenever and wherever they want it. We opened our technology and infrastructure to partners, brands and other sectors, as part of our retail as a service offering to help drive productivity and innovation across a range of industries.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E-commerce Business</w:t>
      </w:r>
    </w:p>
    <w:p>
      <w:pPr>
        <w:spacing w:after="0" w:line="114" w:lineRule="exact"/>
        <w:rPr>
          <w:sz w:val="20"/>
          <w:szCs w:val="20"/>
          <w:color w:val="auto"/>
        </w:rPr>
      </w:pPr>
    </w:p>
    <w:p>
      <w:pPr>
        <w:ind w:left="240" w:right="20" w:firstLine="971"/>
        <w:spacing w:after="0" w:line="270" w:lineRule="auto"/>
        <w:rPr>
          <w:sz w:val="20"/>
          <w:szCs w:val="20"/>
          <w:color w:val="auto"/>
        </w:rPr>
      </w:pPr>
      <w:r>
        <w:rPr>
          <w:rFonts w:ascii="Times New Roman" w:cs="Times New Roman" w:eastAsia="Times New Roman" w:hAnsi="Times New Roman"/>
          <w:sz w:val="18"/>
          <w:szCs w:val="18"/>
          <w:color w:val="auto"/>
        </w:rPr>
        <w:t>We believe our scale and market leadership are built upon our competitive edge in customer experience and operational efficiency, as well as our commitment to strategically invest in technology and logistics infrastructure for the long term.</w:t>
      </w:r>
    </w:p>
    <w:p>
      <w:pPr>
        <w:spacing w:after="0" w:line="169"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 xml:space="preserve">Providing superior customer experience is our top priority. Our e-commerce business offers customers a wide selection of authentic products at competitive prices. We have built and operate our own nationwide fulfillment infrastructure that supports our e-commerce business. Our speedy, efficient and reliable fulfillment services ensure a high degree of customer satisfaction. We offer an enjoyable online shopping experience mainly through our content-rich, user-friendly and highly personalized mobile apps and website </w:t>
      </w:r>
      <w:r>
        <w:rPr>
          <w:rFonts w:ascii="Times New Roman" w:cs="Times New Roman" w:eastAsia="Times New Roman" w:hAnsi="Times New Roman"/>
          <w:sz w:val="18"/>
          <w:szCs w:val="18"/>
          <w:i w:val="1"/>
          <w:iCs w:val="1"/>
          <w:color w:val="auto"/>
        </w:rPr>
        <w:t>www.jd.com</w:t>
      </w:r>
      <w:r>
        <w:rPr>
          <w:rFonts w:ascii="Times New Roman" w:cs="Times New Roman" w:eastAsia="Times New Roman" w:hAnsi="Times New Roman"/>
          <w:sz w:val="18"/>
          <w:szCs w:val="18"/>
          <w:color w:val="auto"/>
        </w:rPr>
        <w:t>. We also provide comprehensive customer services and convenient payment options.</w:t>
      </w:r>
    </w:p>
    <w:p>
      <w:pPr>
        <w:spacing w:after="0" w:line="187"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We operate online retail and marketplace e-commerce businesses. In our online retail business, we purchase products from suppliers and sell them directly to our customers. We offer a wide range of product categories through our online retail business, including electronics products, home appliances and a large variety of other general merchandise categories. We have established strong relationships with our suppliers as our online retail business grows over time.</w:t>
      </w:r>
    </w:p>
    <w:p>
      <w:pPr>
        <w:spacing w:after="0" w:line="185" w:lineRule="exact"/>
        <w:rPr>
          <w:sz w:val="20"/>
          <w:szCs w:val="20"/>
          <w:color w:val="auto"/>
        </w:rPr>
      </w:pPr>
    </w:p>
    <w:p>
      <w:pPr>
        <w:ind w:left="240" w:right="200" w:firstLine="971"/>
        <w:spacing w:after="0" w:line="251" w:lineRule="auto"/>
        <w:rPr>
          <w:sz w:val="20"/>
          <w:szCs w:val="20"/>
          <w:color w:val="auto"/>
        </w:rPr>
      </w:pPr>
      <w:r>
        <w:rPr>
          <w:rFonts w:ascii="Times New Roman" w:cs="Times New Roman" w:eastAsia="Times New Roman" w:hAnsi="Times New Roman"/>
          <w:sz w:val="18"/>
          <w:szCs w:val="18"/>
          <w:color w:val="auto"/>
        </w:rPr>
        <w:t>Timely and reliable fulfillment is critical to our success. Leveraging this nationwide fulfillment capability, we deliver a majority of the orders to customers by ourselves. Since 2020, we have further improved our efficiency in more cities, especially the less developed areas, as we continued to expand our same day and next day delivery service in these areas. Our fulfillment services have been proven to be highly reliable in response to customer needs, and we offer our customers and consumers a full spectrum of integrated supply chain solutions and high-quality logistics services covering various industries, helping them reduce costs and enhance efficiency.</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60"/>
          </w:cols>
          <w:pgMar w:left="320" w:top="476" w:right="6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80" w:lineRule="auto"/>
        <w:rPr>
          <w:sz w:val="20"/>
          <w:szCs w:val="20"/>
          <w:color w:val="auto"/>
        </w:rPr>
      </w:pPr>
      <w:r>
        <w:rPr>
          <w:rFonts w:ascii="Times New Roman" w:cs="Times New Roman" w:eastAsia="Times New Roman" w:hAnsi="Times New Roman"/>
          <w:sz w:val="17"/>
          <w:szCs w:val="17"/>
          <w:color w:val="auto"/>
        </w:rPr>
        <w:t>We launched our online marketplace in October 2010, and have since then been continually adding third-party merchants and introducing new products and services, to our customers. Merchants on our online marketplace are held to high standards for transacting with our customers. We aim to offer our customers a consistently high-quality online shopping experience regardless of whether they purchase from us or third-party merchants.</w:t>
      </w:r>
    </w:p>
    <w:p>
      <w:pPr>
        <w:spacing w:after="0" w:line="162"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We provide a variety of digital marketing services to marketers on our e-commerce platform, including suppliers to our online retail business, third-party merchants on our online marketplace and other partners. Powered by AI technology, our digital marketing platform provides our marketing customers with comprehensive digital branding and performance-based marketing solutions and various effective measurement tools, which help them reach targeted audiences, attract and retain customers and improve their returns. Our digital marketing platform also features marketing tools for online marketing message creation, targeting, bidding, deployment and budget allocation, which enables marketers to manage their digital marketing strategy and spending in a convenient and efficient manner.</w:t>
      </w:r>
    </w:p>
    <w:p>
      <w:pPr>
        <w:spacing w:after="0" w:line="187" w:lineRule="exact"/>
        <w:rPr>
          <w:sz w:val="20"/>
          <w:szCs w:val="20"/>
          <w:color w:val="auto"/>
        </w:rPr>
      </w:pPr>
    </w:p>
    <w:p>
      <w:pPr>
        <w:ind w:left="240" w:right="340" w:firstLine="971"/>
        <w:spacing w:after="0" w:line="270" w:lineRule="auto"/>
        <w:rPr>
          <w:sz w:val="20"/>
          <w:szCs w:val="20"/>
          <w:color w:val="auto"/>
        </w:rPr>
      </w:pPr>
      <w:r>
        <w:rPr>
          <w:rFonts w:ascii="Times New Roman" w:cs="Times New Roman" w:eastAsia="Times New Roman" w:hAnsi="Times New Roman"/>
          <w:sz w:val="18"/>
          <w:szCs w:val="18"/>
          <w:color w:val="auto"/>
        </w:rPr>
        <w:t>We are exploring a variety of initiatives to meet our customers’ ever-growing demand. We believe we are well-positioned to empower traditional offline retailers by capitalizing on our strong online presence, industry know-how and technology and systems.</w:t>
      </w:r>
    </w:p>
    <w:p>
      <w:pPr>
        <w:spacing w:after="0" w:line="169"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Our proprietary and scalable technology platform enhances user experience, improves operating efficiency and supports the growth in our e-commerce business. Leveraging machine-learning technology and massive data sets amassed from online purchase behaviors, we curate personalized product recommendations and push targeted promotions. We utilize AI technology to refine our merchandise sourcing strategy, allowing us to efficiently manage our inventory and control cost. With consumer insights generated from big data analytics, we provide tailor-made products through customer-to-manufacturer production, which increase sales and enhance customer satisfaction.</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Supply Chain-based Technologies and Services</w:t>
      </w:r>
    </w:p>
    <w:p>
      <w:pPr>
        <w:spacing w:after="0" w:line="114" w:lineRule="exact"/>
        <w:rPr>
          <w:sz w:val="20"/>
          <w:szCs w:val="20"/>
          <w:color w:val="auto"/>
        </w:rPr>
      </w:pPr>
    </w:p>
    <w:p>
      <w:pPr>
        <w:ind w:left="240" w:right="280" w:firstLine="971"/>
        <w:spacing w:after="0" w:line="270" w:lineRule="auto"/>
        <w:rPr>
          <w:sz w:val="20"/>
          <w:szCs w:val="20"/>
          <w:color w:val="auto"/>
        </w:rPr>
      </w:pPr>
      <w:r>
        <w:rPr>
          <w:rFonts w:ascii="Times New Roman" w:cs="Times New Roman" w:eastAsia="Times New Roman" w:hAnsi="Times New Roman"/>
          <w:sz w:val="18"/>
          <w:szCs w:val="18"/>
          <w:color w:val="auto"/>
        </w:rPr>
        <w:t>We provide supply chain-based technology and services to other businesses. We take a holistic view on the supply chain covering from upstream manufacturing and procurement, logistics, distribution and retail to end customers.</w:t>
      </w:r>
    </w:p>
    <w:p>
      <w:pPr>
        <w:spacing w:after="0" w:line="169"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We have established strong relationships with numerous suppliers, brands and partners. We leverage these relationships and our retail technology capability to provide them with a variety of service solutions. Over the past decade, we have also built a highly scalable and reliable logistics infrastructure and technology platform for our retail business. We are opening up logistics infrastructure and technology platform to third parties with comprehensive logistic services and technology solutions.</w:t>
      </w:r>
    </w:p>
    <w:p>
      <w:pPr>
        <w:spacing w:after="0" w:line="185" w:lineRule="exact"/>
        <w:rPr>
          <w:sz w:val="20"/>
          <w:szCs w:val="20"/>
          <w:color w:val="auto"/>
        </w:rPr>
      </w:pPr>
    </w:p>
    <w:p>
      <w:pPr>
        <w:ind w:left="240" w:right="20" w:firstLine="971"/>
        <w:spacing w:after="0" w:line="258" w:lineRule="auto"/>
        <w:rPr>
          <w:sz w:val="20"/>
          <w:szCs w:val="20"/>
          <w:color w:val="auto"/>
        </w:rPr>
      </w:pPr>
      <w:r>
        <w:rPr>
          <w:rFonts w:ascii="Times New Roman" w:cs="Times New Roman" w:eastAsia="Times New Roman" w:hAnsi="Times New Roman"/>
          <w:sz w:val="18"/>
          <w:szCs w:val="18"/>
          <w:color w:val="auto"/>
        </w:rPr>
        <w:t>Technology is crucial to our achievements today and continued success in the future. It enables better customer experience, more customer cost savings and higher efficiency, while it also serves as a foundation to export our capabilities to enhance productivity and innovation across a multitude of industries in China.</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Logistics Services</w:t>
      </w:r>
    </w:p>
    <w:p>
      <w:pPr>
        <w:spacing w:after="0" w:line="112"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We made a strategic decision in 2007 to invest in and build our own nationwide fulfillment infrastructure. As of December 31, 2025, our nationwide fulfillment infrastructure covered almost all counties and districts across China, with a network of over 1,600 warehouses with an aggregate gross floor area of over 34 million square meters, including warehouse space managed under the JD Logistics Open Warehouse Platform. In addition, we had a team of 642,940 warehouse and delivery employees as of December 31, 2025. Our value proposition is to empower our customers’ supply chains and substantially improve their operational efficiencies, which in turn enhance their own customer experience and stickiness. We help our customers reduce redundant distribution layers, improve the agility of their supply chains, and optimize inventory management. Our solutions are powered by our proprietary technology, industry know-how and insights of product merchandizing.</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320" w:top="476" w:right="5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Retail Technology Services and Other Technology Initiatives</w:t>
      </w:r>
    </w:p>
    <w:p>
      <w:pPr>
        <w:spacing w:after="0" w:line="112" w:lineRule="exact"/>
        <w:rPr>
          <w:sz w:val="20"/>
          <w:szCs w:val="20"/>
          <w:color w:val="auto"/>
        </w:rPr>
      </w:pPr>
    </w:p>
    <w:p>
      <w:pPr>
        <w:jc w:val="both"/>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Capitalizing on our retail data, infrastructure and technology, we commercialize our retail capability into services we offer to brands and partners in the retail industry. Through such services, we believe we can create, together with our partners, a more advanced and comprehensive retail ecosystem to reach and serve more consumers, wherever and whenever they shop.</w:t>
      </w:r>
    </w:p>
    <w:p>
      <w:pPr>
        <w:spacing w:after="0" w:line="179" w:lineRule="exact"/>
        <w:rPr>
          <w:sz w:val="20"/>
          <w:szCs w:val="20"/>
          <w:color w:val="auto"/>
        </w:rPr>
      </w:pPr>
    </w:p>
    <w:p>
      <w:pPr>
        <w:jc w:val="both"/>
        <w:ind w:left="240" w:firstLine="971"/>
        <w:spacing w:after="0" w:line="280" w:lineRule="auto"/>
        <w:rPr>
          <w:sz w:val="20"/>
          <w:szCs w:val="20"/>
          <w:color w:val="auto"/>
        </w:rPr>
      </w:pPr>
      <w:r>
        <w:rPr>
          <w:rFonts w:ascii="Times New Roman" w:cs="Times New Roman" w:eastAsia="Times New Roman" w:hAnsi="Times New Roman"/>
          <w:sz w:val="17"/>
          <w:szCs w:val="17"/>
          <w:color w:val="auto"/>
        </w:rPr>
        <w:t>We have developed robust supply-chain based technology in three key areas, namely AI, big data analytics and cloud computing. We have world-class scientists and a large team of AI engineers. Our technology achievements have been well recognized globally. For example, we built a smart supply-chain platform that includes application-level products supporting many use cases that are applicable to our business as well as our ecosystem.</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Core Philosophy</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Putting customers first is always our core philosophy, as illustrated by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165735</wp:posOffset>
            </wp:positionV>
            <wp:extent cx="2552065" cy="25101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52065" cy="251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80" w:right="100" w:hanging="421"/>
        <w:spacing w:after="0" w:line="270"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team is the foundation of our company. We have built a strong and dedicated team and made significant efforts in hiring, training and retaining the best talent.</w:t>
      </w:r>
    </w:p>
    <w:p>
      <w:pPr>
        <w:spacing w:after="0" w:line="76" w:lineRule="exact"/>
        <w:rPr>
          <w:rFonts w:ascii="Times New Roman" w:cs="Times New Roman" w:eastAsia="Times New Roman" w:hAnsi="Times New Roman"/>
          <w:sz w:val="18"/>
          <w:szCs w:val="18"/>
          <w:color w:val="auto"/>
        </w:rPr>
      </w:pPr>
    </w:p>
    <w:p>
      <w:pPr>
        <w:ind w:left="1180" w:right="40" w:hanging="421"/>
        <w:spacing w:after="0" w:line="266" w:lineRule="auto"/>
        <w:tabs>
          <w:tab w:leader="none" w:pos="118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is a key contributor to maintaining our competitive advantage. Upgrading core technologies can effectively reduce cost, improve operating efficiency, and deliver best-in-class customer experience. In order to achieve sustainable future growth, we have been heavily investing in technology innovation and will continue to do so. Our technology strategy focuses on three key areas, namely: AI, big data and cloud. By adopting a middle platform model, which means to establish an application architecture that organizes reusable business services to meet the needs of volatile user scenarios, and compartmentalizing the IT components and standard application programming interfaces in our IT architecture, we have greatly enhanced R&amp;D efficiency and accelerated business innovation. More importantly, this has enabled us to offer more value-added technology services to our clients across a wide spectrum of industries.</w:t>
      </w:r>
    </w:p>
    <w:p>
      <w:pPr>
        <w:spacing w:after="0" w:line="82" w:lineRule="exact"/>
        <w:rPr>
          <w:rFonts w:ascii="Times New Roman" w:cs="Times New Roman" w:eastAsia="Times New Roman" w:hAnsi="Times New Roman"/>
          <w:sz w:val="17"/>
          <w:szCs w:val="17"/>
          <w:color w:val="auto"/>
        </w:rPr>
      </w:pPr>
    </w:p>
    <w:p>
      <w:pPr>
        <w:ind w:left="1180" w:right="120" w:hanging="421"/>
        <w:spacing w:after="0" w:line="270" w:lineRule="auto"/>
        <w:tabs>
          <w:tab w:leader="none" w:pos="11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value for our customers, partners and society, we make continual efforts to deliver better customer experiences, reduce cost and improve efficiency:</w:t>
      </w:r>
    </w:p>
    <w:p>
      <w:pPr>
        <w:spacing w:after="0" w:line="76" w:lineRule="exact"/>
        <w:rPr>
          <w:rFonts w:ascii="Times New Roman" w:cs="Times New Roman" w:eastAsia="Times New Roman" w:hAnsi="Times New Roman"/>
          <w:sz w:val="18"/>
          <w:szCs w:val="18"/>
          <w:color w:val="auto"/>
        </w:rPr>
      </w:pPr>
    </w:p>
    <w:p>
      <w:pPr>
        <w:ind w:left="1620" w:right="500" w:hanging="319"/>
        <w:spacing w:after="0" w:line="270"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and data-driven management employ an array of key performance indicators to minimize costs and maximize efficiency in our operations;</w:t>
      </w:r>
    </w:p>
    <w:p>
      <w:pPr>
        <w:spacing w:after="0" w:line="76" w:lineRule="exact"/>
        <w:rPr>
          <w:rFonts w:ascii="Times New Roman" w:cs="Times New Roman" w:eastAsia="Times New Roman" w:hAnsi="Times New Roman"/>
          <w:sz w:val="18"/>
          <w:szCs w:val="18"/>
          <w:color w:val="auto"/>
        </w:rPr>
      </w:pPr>
    </w:p>
    <w:p>
      <w:pPr>
        <w:ind w:left="1620" w:right="440" w:hanging="319"/>
        <w:spacing w:after="0" w:line="270"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encourage innovation with our partners in order to offer customers a holistic shopping experience through both online and offline channels, thereby increasing customer loyalty; and</w:t>
      </w:r>
    </w:p>
    <w:p>
      <w:pPr>
        <w:spacing w:after="0" w:line="76" w:lineRule="exact"/>
        <w:rPr>
          <w:rFonts w:ascii="Times New Roman" w:cs="Times New Roman" w:eastAsia="Times New Roman" w:hAnsi="Times New Roman"/>
          <w:sz w:val="18"/>
          <w:szCs w:val="18"/>
          <w:color w:val="auto"/>
        </w:rPr>
      </w:pPr>
    </w:p>
    <w:p>
      <w:pPr>
        <w:ind w:left="1620" w:right="500" w:hanging="319"/>
        <w:spacing w:after="0" w:line="270" w:lineRule="auto"/>
        <w:tabs>
          <w:tab w:leader="none" w:pos="16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opened up our infrastructure, including logistics, systems and technologies, to our business partners to develop more innovative solutions that could reduce cost and enhance efficiency for society as a whole.</w:t>
      </w:r>
    </w:p>
    <w:p>
      <w:pPr>
        <w:spacing w:after="0" w:line="1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320" w:top="476" w:right="5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As a result, we are able to offer a broad selection of products, services and solutions at competitive prices as well as excellent experiences.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strive to deliver a sustainable best-in-class customer experience that leads to more loyalty and commitment.</w:t>
      </w:r>
    </w:p>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12"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Since founding our company, we have focused on developing our online retail business as well as building our own fulfillment infrastructure, including last mile delivery capability, all based on our proprietary technology platform to support our operations. As our online retail business grew substantially in size, we launched our online marketplace to complement it and expand our product offerings, leverage our established fulfillment infrastructure and technology platform and ensure a superior customer experience. More recently, we have also begun to offer comprehensive supply chain-based services that complement our core business and create significant value for a wide range of business partners.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Retail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Online Retail</w:t>
      </w:r>
    </w:p>
    <w:p>
      <w:pPr>
        <w:spacing w:after="0" w:line="112" w:lineRule="exact"/>
        <w:rPr>
          <w:sz w:val="20"/>
          <w:szCs w:val="20"/>
          <w:color w:val="auto"/>
        </w:rPr>
      </w:pPr>
    </w:p>
    <w:p>
      <w:pPr>
        <w:ind w:left="240" w:right="520" w:firstLine="971"/>
        <w:spacing w:after="0" w:line="300" w:lineRule="auto"/>
        <w:rPr>
          <w:sz w:val="20"/>
          <w:szCs w:val="20"/>
          <w:color w:val="auto"/>
        </w:rPr>
      </w:pPr>
      <w:r>
        <w:rPr>
          <w:rFonts w:ascii="Times New Roman" w:cs="Times New Roman" w:eastAsia="Times New Roman" w:hAnsi="Times New Roman"/>
          <w:sz w:val="17"/>
          <w:szCs w:val="17"/>
          <w:color w:val="auto"/>
        </w:rPr>
        <w:t>In our online retail business, we acquire products from suppliers and sell them directly to customers. We believe that large scale and market leading position are critical to success in the online retail market in China and can provide important competitive advantages to us.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Online Marketplace</w:t>
      </w:r>
    </w:p>
    <w:p>
      <w:pPr>
        <w:spacing w:after="0" w:line="112" w:lineRule="exact"/>
        <w:rPr>
          <w:sz w:val="20"/>
          <w:szCs w:val="20"/>
          <w:color w:val="auto"/>
        </w:rPr>
      </w:pPr>
    </w:p>
    <w:p>
      <w:pPr>
        <w:ind w:left="240" w:right="700" w:firstLine="971"/>
        <w:spacing w:after="0" w:line="270" w:lineRule="auto"/>
        <w:rPr>
          <w:sz w:val="20"/>
          <w:szCs w:val="20"/>
          <w:color w:val="auto"/>
        </w:rPr>
      </w:pPr>
      <w:r>
        <w:rPr>
          <w:rFonts w:ascii="Times New Roman" w:cs="Times New Roman" w:eastAsia="Times New Roman" w:hAnsi="Times New Roman"/>
          <w:sz w:val="18"/>
          <w:szCs w:val="18"/>
          <w:color w:val="auto"/>
        </w:rPr>
        <w:t>In our online marketplace business, third-party merchants offer products to customers on our online marketplace and pay us sales commissions. We launched our online marketplace in October 2010 and have been adding new products and services, since then.</w:t>
      </w:r>
    </w:p>
    <w:p>
      <w:pPr>
        <w:spacing w:after="0" w:line="169" w:lineRule="exact"/>
        <w:rPr>
          <w:sz w:val="20"/>
          <w:szCs w:val="20"/>
          <w:color w:val="auto"/>
        </w:rPr>
      </w:pPr>
    </w:p>
    <w:p>
      <w:pPr>
        <w:jc w:val="both"/>
        <w:ind w:left="240" w:right="20" w:firstLine="971"/>
        <w:spacing w:after="0" w:line="219" w:lineRule="exact"/>
        <w:rPr>
          <w:sz w:val="20"/>
          <w:szCs w:val="20"/>
          <w:color w:val="auto"/>
        </w:rPr>
      </w:pPr>
      <w:r>
        <w:rPr>
          <w:rFonts w:ascii="Times New Roman" w:cs="Times New Roman" w:eastAsia="Times New Roman" w:hAnsi="Times New Roman"/>
          <w:sz w:val="18"/>
          <w:szCs w:val="18"/>
          <w:color w:val="auto"/>
        </w:rPr>
        <w:t>We provide transaction processing and billing services on all orders placed on our online marketplace. We monitor third-party merchants’ performance and activities on our online marketplace closely to ensure that they meet our requirements for high-quality customer service. We tag certain top stores on our platform as “Five Star Store (</w:t>
      </w:r>
      <w:r>
        <w:rPr>
          <w:rFonts w:ascii="SimSun" w:cs="SimSun" w:eastAsia="SimSun" w:hAnsi="SimSun"/>
          <w:sz w:val="18"/>
          <w:szCs w:val="18"/>
          <w:color w:val="auto"/>
        </w:rPr>
        <w:t>五星店铺</w:t>
      </w:r>
      <w:r>
        <w:rPr>
          <w:rFonts w:ascii="Times New Roman" w:cs="Times New Roman" w:eastAsia="Times New Roman" w:hAnsi="Times New Roman"/>
          <w:sz w:val="18"/>
          <w:szCs w:val="18"/>
          <w:color w:val="auto"/>
        </w:rPr>
        <w:t>)” based on each third-party merchant’s quality of service, user experience, and other operating performance metrics during the entire purchase process. Such certification can help the top third-party merchants improve their conversion efficiency on the platform. Furthermore, it sets a benchmark to encourage other third-party merchants to improve their operations. We aim to offer customers the same high-quality customer experience regardless of the source of the products they choose.</w:t>
      </w:r>
    </w:p>
    <w:p>
      <w:pPr>
        <w:spacing w:after="0" w:line="2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Omni-channel Initiatives</w:t>
      </w:r>
    </w:p>
    <w:p>
      <w:pPr>
        <w:spacing w:after="0" w:line="112" w:lineRule="exact"/>
        <w:rPr>
          <w:sz w:val="20"/>
          <w:szCs w:val="20"/>
          <w:color w:val="auto"/>
        </w:rPr>
      </w:pPr>
    </w:p>
    <w:p>
      <w:pPr>
        <w:jc w:val="both"/>
        <w:ind w:left="240" w:right="40" w:firstLine="971"/>
        <w:spacing w:after="0" w:line="300" w:lineRule="auto"/>
        <w:rPr>
          <w:sz w:val="20"/>
          <w:szCs w:val="20"/>
          <w:color w:val="auto"/>
        </w:rPr>
      </w:pPr>
      <w:r>
        <w:rPr>
          <w:rFonts w:ascii="Times New Roman" w:cs="Times New Roman" w:eastAsia="Times New Roman" w:hAnsi="Times New Roman"/>
          <w:sz w:val="17"/>
          <w:szCs w:val="17"/>
          <w:color w:val="auto"/>
        </w:rPr>
        <w:t>We are exploring a variety of omni-channel integration opportunities and innovative business models. The term “omni-channel” refers to a marketing approach that seeks to provide a consistent customer experience across multiple channels including websites, apps and physical offline stores.</w:t>
      </w:r>
    </w:p>
    <w:p>
      <w:pPr>
        <w:spacing w:after="0" w:line="146" w:lineRule="exact"/>
        <w:rPr>
          <w:sz w:val="20"/>
          <w:szCs w:val="20"/>
          <w:color w:val="auto"/>
        </w:rPr>
      </w:pPr>
    </w:p>
    <w:p>
      <w:pPr>
        <w:jc w:val="both"/>
        <w:ind w:left="240" w:right="260" w:firstLine="971"/>
        <w:spacing w:after="0" w:line="273" w:lineRule="auto"/>
        <w:rPr>
          <w:sz w:val="20"/>
          <w:szCs w:val="20"/>
          <w:color w:val="auto"/>
        </w:rPr>
      </w:pPr>
      <w:r>
        <w:rPr>
          <w:rFonts w:ascii="Times New Roman" w:cs="Times New Roman" w:eastAsia="Times New Roman" w:hAnsi="Times New Roman"/>
          <w:sz w:val="17"/>
          <w:szCs w:val="17"/>
          <w:color w:val="auto"/>
        </w:rPr>
        <w:t>To provide customers with a more dynamic and interactive integrated omni-channel shopping experience, we have enabled some of our offline partners with a variety of the latest technologies such as facial recognition, product recognition, and a tracking system for customers’ in-store activities, among others. We have established a closed loop to accumulate a large volume of offline shopping data, and through further analysis of the integrated online and offline dataset, we can offer differentiated products that best suit potential customer demand in each offline franchise store.</w:t>
      </w:r>
    </w:p>
    <w:p>
      <w:pPr>
        <w:spacing w:after="0" w:line="168" w:lineRule="exact"/>
        <w:rPr>
          <w:sz w:val="20"/>
          <w:szCs w:val="20"/>
          <w:color w:val="auto"/>
        </w:rPr>
      </w:pPr>
    </w:p>
    <w:p>
      <w:pPr>
        <w:jc w:val="both"/>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7FRESH, our offline fresh food market brand, is part of our omni-channel strategy. In December 2017, we opened our first 7FRESH store in Yizhuang Economic and Technological Development Zone in Beijing. We integrated our advanced supply chain management know-how and cutting-edge storage technologies to 7FRESH stores. The application of our advanced supply chain management solution and technology on 7FRESH is part of our ongoing experiments to deploy our retail and supply chain service capabilities, which is expected to further expand our 7FRESH presence to pursue an enhanced shopping experience for our consumers.</w:t>
      </w:r>
    </w:p>
    <w:p>
      <w:pPr>
        <w:spacing w:after="0" w:line="187" w:lineRule="exact"/>
        <w:rPr>
          <w:sz w:val="20"/>
          <w:szCs w:val="20"/>
          <w:color w:val="auto"/>
        </w:rPr>
      </w:pPr>
    </w:p>
    <w:p>
      <w:pPr>
        <w:ind w:left="240" w:right="100" w:firstLine="971"/>
        <w:spacing w:after="0" w:line="251" w:lineRule="auto"/>
        <w:rPr>
          <w:sz w:val="20"/>
          <w:szCs w:val="20"/>
          <w:color w:val="auto"/>
        </w:rPr>
      </w:pPr>
      <w:r>
        <w:rPr>
          <w:rFonts w:ascii="Times New Roman" w:cs="Times New Roman" w:eastAsia="Times New Roman" w:hAnsi="Times New Roman"/>
          <w:sz w:val="18"/>
          <w:szCs w:val="18"/>
          <w:color w:val="auto"/>
        </w:rPr>
        <w:t>In September 2021, we opened our first “JD MALL” offline store in Xi’an, Shaanxi Province, offering consumers an immersive omni-channel shopping experience. In addition to traditional electronic categories offered by JD Super Experience Store, JD MALL provides over 200,000 items from more than 200 brands, in categories including home, furniture, kids, smart healthcare products and auto accessories. Through its partnership with leading furniture makers, JD MALL meets the demand among younger consumers for bespoke one-stop-shop home design services that incorporate furniture and home appliances categories.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0"/>
          </w:cols>
          <w:pgMar w:left="320" w:top="476" w:right="5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Marketing Services</w:t>
      </w:r>
    </w:p>
    <w:p>
      <w:pPr>
        <w:spacing w:after="0" w:line="11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Leveraging our technology capabilities and our comprehensive dataset accumulated from a wide range of business scenarios along the entire value chain, we provide a variety of marketing services to suppliers and third-party merchants through our proprietary advertisement technology platform. We provide suppliers and third-party merchants with full-link digital and intelligent marketing solutions, and empower suppliers and third-party merchants to achieve quality, predictable, and sustainable growth. Technologically, we have established three core engines to drive our marketing ecosystem. Intelligent Bidding: We have fully integrated generative AI algorithms across our entire suite of advertising products. By leveraging a joint bidding mechanism that synergizes internal and external budgets, we have enhanced merchants’ ability to acquire traffic with better return on investment (ROI). Intelligent Placement: We have deployed generative Large Language Models (LLMs) to power both traffic distribution and AIGC-driven creativity. This facilitates one-stop placement across diverse business segments, including retail and food delivery. AI Agents Application: We have implemented our self-developed AI Agents to provide full-scenario intelligent management across “Cognition, Decision-making, and Execution,” enabling comprehensive automated oversight of the marketing lifecycle.</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Logistics</w:t>
      </w:r>
    </w:p>
    <w:p>
      <w:pPr>
        <w:spacing w:after="0" w:line="11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JD Logistics is the leading technology-driven supply chain solutions and logistics services provider in China. On May 28, 2021, shares of JD Logistics commenced trading on the Main Board of the Hong Kong Stock Exchange under the stock code “2618.” JD Logistics offers a full spectrum of supply chain solutions and high-quality logistics services enabled by technology, ranging from warehousing to distribution, spanning across manufacturing to end-customers, covering regular and specialized items. JD Logistics’s value proposition is to empower customers’ supply chains and substantially improve their operational efficiencies, which in turn enhance their own customer experience and stickiness. JD Logistics helps customers reduce redundant distribution layers, improve the agility of their supply chains, and optimize inventory management. The solutions are powered by proprietary technology, industry know-how and insights of product merchandizing. As of December 31, 2025, JD Logistics operated over 1,600 warehouses, which covered an aggregate gross floor area of over 34 million square meters, including warehouse space managed under the JD Logistics Open Warehouse Platform.</w:t>
      </w:r>
    </w:p>
    <w:p>
      <w:pPr>
        <w:spacing w:after="0" w:line="190" w:lineRule="exact"/>
        <w:rPr>
          <w:sz w:val="20"/>
          <w:szCs w:val="20"/>
          <w:color w:val="auto"/>
        </w:rPr>
      </w:pPr>
    </w:p>
    <w:p>
      <w:pPr>
        <w:ind w:left="240" w:right="360" w:firstLine="971"/>
        <w:spacing w:after="0" w:line="258" w:lineRule="auto"/>
        <w:rPr>
          <w:sz w:val="20"/>
          <w:szCs w:val="20"/>
          <w:color w:val="auto"/>
        </w:rPr>
      </w:pPr>
      <w:r>
        <w:rPr>
          <w:rFonts w:ascii="Times New Roman" w:cs="Times New Roman" w:eastAsia="Times New Roman" w:hAnsi="Times New Roman"/>
          <w:sz w:val="18"/>
          <w:szCs w:val="18"/>
          <w:color w:val="auto"/>
        </w:rPr>
        <w:t>JD Logistics harnesses the power of technology to enhance the operational efficiency of warehouse network. A notable example is the Asia No. 1 smart industrial parks, which also demonstrate their industry-leading technological innovations and high technology standards. As of December 31, 2025, JD Logistics operated 45 Asia No. 1 smart industrial parks in 30 cities across China.</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Health</w:t>
      </w:r>
    </w:p>
    <w:p>
      <w:pPr>
        <w:spacing w:after="0" w:line="114"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JD Health is one of the largest online healthcare platforms in China. On December 8, 2020, shares of JD Health commenced trading on the Main Board of the Hong Kong Stock Exchange under the stock code “6618.” As a leading online healthcare platform, JD Health’s mission is to become the go-to health management platform for everyone in China. Its strategic position is to create a technology-driven platform that centers on the supply chain of pharmaceutical and healthcare products and is strengthened by healthcare services, encompassing a user’s full life span for all healthcare needs. It is committed to offering users easily accessible, convenient, high-quality yet affordable pharmaceutical and healthcare products. To achieve this goal, JD Health has built a one-stop online health management platform to create greater value for all participants in the healthcare value chain, and will continue to expand its core businesses, retail pharmacy business and online healthcare services, through utilizing AI, big data, cloud computing and other advanced technology.</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Industrials</w:t>
      </w:r>
    </w:p>
    <w:p>
      <w:pPr>
        <w:spacing w:after="0" w:line="114" w:lineRule="exact"/>
        <w:rPr>
          <w:sz w:val="20"/>
          <w:szCs w:val="20"/>
          <w:color w:val="auto"/>
        </w:rPr>
      </w:pPr>
    </w:p>
    <w:p>
      <w:pPr>
        <w:ind w:left="240" w:right="220" w:firstLine="971"/>
        <w:spacing w:after="0" w:line="258" w:lineRule="auto"/>
        <w:rPr>
          <w:sz w:val="20"/>
          <w:szCs w:val="20"/>
          <w:color w:val="auto"/>
        </w:rPr>
      </w:pPr>
      <w:r>
        <w:rPr>
          <w:rFonts w:ascii="Times New Roman" w:cs="Times New Roman" w:eastAsia="Times New Roman" w:hAnsi="Times New Roman"/>
          <w:sz w:val="18"/>
          <w:szCs w:val="18"/>
          <w:color w:val="auto"/>
        </w:rPr>
        <w:t>JD Industrials is the leading industrial supply chain technology and service provider in China. On December 11, 2025, shares of JD Industrials commenced trading on the Main Board of the Hong Kong Stock Exchange under the stock code “7618.” Through transformational end-to-end industrial supply chain digitalization, it helps its customers increase supply chain reliability, reduces costs, and enhances efficiency.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JD Property</w:t>
      </w:r>
    </w:p>
    <w:p>
      <w:pPr>
        <w:spacing w:after="0" w:line="114" w:lineRule="exact"/>
        <w:rPr>
          <w:sz w:val="20"/>
          <w:szCs w:val="20"/>
          <w:color w:val="auto"/>
        </w:rPr>
      </w:pPr>
    </w:p>
    <w:p>
      <w:pPr>
        <w:jc w:val="both"/>
        <w:ind w:left="240" w:right="180" w:firstLine="971"/>
        <w:spacing w:after="0" w:line="266" w:lineRule="auto"/>
        <w:rPr>
          <w:sz w:val="20"/>
          <w:szCs w:val="20"/>
          <w:color w:val="auto"/>
        </w:rPr>
      </w:pPr>
      <w:r>
        <w:rPr>
          <w:rFonts w:ascii="Times New Roman" w:cs="Times New Roman" w:eastAsia="Times New Roman" w:hAnsi="Times New Roman"/>
          <w:sz w:val="17"/>
          <w:szCs w:val="17"/>
          <w:color w:val="auto"/>
        </w:rPr>
        <w:t>JD Property is a leading and the fastest-growing platform for developing and managing logistics parks, business parks and other similar types of modern infrastructure in Mainland China, Asia-Pacific, Europe, Middle East and the Americas. JD Property aims to develop its logistics asset portfolios while maintaining strong capital discipline. With the expansion of our asset portfolios, we have adopted a capital recycling strategy.</w:t>
      </w:r>
    </w:p>
    <w:p>
      <w:pPr>
        <w:spacing w:after="0" w:line="2" w:lineRule="exact"/>
        <w:rPr>
          <w:sz w:val="20"/>
          <w:szCs w:val="20"/>
          <w:color w:val="auto"/>
        </w:rPr>
      </w:pPr>
    </w:p>
    <w:p>
      <w:pPr>
        <w:ind w:left="240" w:right="80"/>
        <w:spacing w:after="0" w:line="246" w:lineRule="auto"/>
        <w:rPr>
          <w:sz w:val="20"/>
          <w:szCs w:val="20"/>
          <w:color w:val="auto"/>
        </w:rPr>
      </w:pPr>
      <w:r>
        <w:rPr>
          <w:rFonts w:ascii="Times New Roman" w:cs="Times New Roman" w:eastAsia="Times New Roman" w:hAnsi="Times New Roman"/>
          <w:sz w:val="18"/>
          <w:szCs w:val="18"/>
          <w:color w:val="auto"/>
        </w:rPr>
        <w:t>Collaborating with strategic capital partners, we set up funds and investment vehicles and recycle capital by disposing the projects that are on our balance sheet to such funds and investment vehicles. Meanwhile, we also externally source high-quality assets from third parties for the funds and investment vehicles. We believe this strategy will help further expand our asset portfolios, minimize our related future capital expenditures and enhance our returns. As of December 31, 2025, JD Property had developed, owned or managed modern infrastructure assets with a total gross floor area of over 27 million square meters.</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0"/>
          </w:cols>
          <w:pgMar w:left="320" w:top="476"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80" w:firstLine="971"/>
        <w:spacing w:after="0" w:line="253" w:lineRule="auto"/>
        <w:rPr>
          <w:sz w:val="20"/>
          <w:szCs w:val="20"/>
          <w:color w:val="auto"/>
        </w:rPr>
      </w:pPr>
      <w:r>
        <w:rPr>
          <w:rFonts w:ascii="Times New Roman" w:cs="Times New Roman" w:eastAsia="Times New Roman" w:hAnsi="Times New Roman"/>
          <w:sz w:val="18"/>
          <w:szCs w:val="18"/>
          <w:color w:val="auto"/>
        </w:rPr>
        <w:t>On March 1, 2022, JD Property was deemed to have gained control of CNLP and hence CNLP became a consolidated subsidiary of JD Property. On July 14, 2022, JD Property completed the acquisition and privatization of CNLP. As a result, CNLP has become a wholly-owned subsidiary of JD Property. See “Item 4.A. Information on the Company—History and Development of the Company—Developments of Our Subsidiaries—JD Property” for details.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New Initiatives</w:t>
      </w:r>
    </w:p>
    <w:p>
      <w:pPr>
        <w:spacing w:after="0" w:line="114" w:lineRule="exact"/>
        <w:rPr>
          <w:sz w:val="20"/>
          <w:szCs w:val="20"/>
          <w:color w:val="auto"/>
        </w:rPr>
      </w:pPr>
    </w:p>
    <w:p>
      <w:pPr>
        <w:ind w:left="240" w:right="100" w:firstLine="971"/>
        <w:spacing w:after="0" w:line="280" w:lineRule="auto"/>
        <w:rPr>
          <w:sz w:val="20"/>
          <w:szCs w:val="20"/>
          <w:color w:val="auto"/>
        </w:rPr>
      </w:pPr>
      <w:r>
        <w:rPr>
          <w:rFonts w:ascii="Times New Roman" w:cs="Times New Roman" w:eastAsia="Times New Roman" w:hAnsi="Times New Roman"/>
          <w:sz w:val="17"/>
          <w:szCs w:val="17"/>
          <w:color w:val="auto"/>
        </w:rPr>
        <w:t>In February 2025, we officially launched JD Food Delivery business. Thanks to its focus on user experience, user mindshare, and operational efficiency optimization, JD Food Delivery continued to demonstrate healthy development. In the meantime, JD Food Delivery continued to generate synergies with JD Retail, with notable progress in user base expansion, user shopping frequency improvement and cross-category purchases.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Customer Experience</w:t>
      </w:r>
    </w:p>
    <w:p>
      <w:pPr>
        <w:spacing w:after="0" w:line="112"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Our operating principle is “trust-based, customer-centric value creation,” and we are committed to optimizing the customer experience and achieving customer satisfaction. This commitment drives every aspect of our operations, which are focused on six core components: extensive product offerings, compelling online experience, superior customer service, competitive pricing, timely and accurate fulfillment, and convenient payment options.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continually seek to add more products that appeal to our customers. We offer a wide range of product categories including:</w:t>
      </w:r>
    </w:p>
    <w:p>
      <w:pPr>
        <w:spacing w:after="0" w:line="124" w:lineRule="exact"/>
        <w:rPr>
          <w:sz w:val="20"/>
          <w:szCs w:val="20"/>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appliances;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handsets and other digital products;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 including desktop, laptop and other varieties, as well as printers and other office equipment;</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household goods;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apparel;</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cosmetics and other personal care items and pet products;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women’s shoes, bags, watches, jewelry and luxury goods;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men’s shoes, sports gear and fitness equipment;</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automobiles and accessories;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maternal and childcare products, toys and musical instruments;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beverage and fresh produce;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gifts, flowers and plants;</w:t>
      </w:r>
    </w:p>
    <w:p>
      <w:pPr>
        <w:spacing w:after="0" w:line="123" w:lineRule="exact"/>
        <w:rPr>
          <w:rFonts w:ascii="Times New Roman" w:cs="Times New Roman" w:eastAsia="Times New Roman" w:hAnsi="Times New Roman"/>
          <w:sz w:val="18"/>
          <w:szCs w:val="18"/>
          <w:color w:val="auto"/>
        </w:rPr>
      </w:pPr>
    </w:p>
    <w:p>
      <w:pPr>
        <w:ind w:left="1180" w:right="220" w:hanging="421"/>
        <w:spacing w:after="0" w:line="270" w:lineRule="auto"/>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healthcare products, including OCT pharmaceutical products, nutritional supplements, healthcare services and other healthcare equipment;</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e-books, music, movies and other media products;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goods, including online travel agency, attraction tickets, and prepaid phone cards and game cards;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products;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and maintenance services.</w:t>
      </w:r>
    </w:p>
    <w:p>
      <w:pPr>
        <w:spacing w:after="0" w:line="216"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Each of these categories is further divided into numerous subcategories to facilitate browsing. In building up our product offerings, we focus on quality as well as quantity. Due to our nationwide reach and our efficient fulfillment system, suppliers often choose us to launch new products that they expect will be in high demand, and we often act as the preferred distributor for a period of days or weeks when a hot new product first becomes available for sale to the public.</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320" w:top="476" w:right="5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Online Experience</w:t>
      </w:r>
    </w:p>
    <w:p>
      <w:pPr>
        <w:spacing w:after="0" w:line="114" w:lineRule="exact"/>
        <w:rPr>
          <w:sz w:val="20"/>
          <w:szCs w:val="20"/>
          <w:color w:val="auto"/>
        </w:rPr>
      </w:pPr>
    </w:p>
    <w:p>
      <w:pPr>
        <w:ind w:left="240" w:firstLine="971"/>
        <w:spacing w:after="0" w:line="266" w:lineRule="auto"/>
        <w:rPr>
          <w:sz w:val="20"/>
          <w:szCs w:val="20"/>
          <w:color w:val="auto"/>
        </w:rPr>
      </w:pPr>
      <w:r>
        <w:rPr>
          <w:rFonts w:ascii="Times New Roman" w:cs="Times New Roman" w:eastAsia="Times New Roman" w:hAnsi="Times New Roman"/>
          <w:sz w:val="17"/>
          <w:szCs w:val="17"/>
          <w:color w:val="auto"/>
        </w:rPr>
        <w:t>We believe that providing a compelling online experience is critical to attracting and retaining customers. We make sales primarily through our mobile apps and website www.jd.com. Our online channels not only offer a broad selection of authentic products at competitive prices but also provides easy site navigation, basic and advanced search functions, customized product recommendations, comprehensive product information and a large volume of customer reviews and ratings. These features address customers’ desire to view, understand and compare products before purchasing. We currently offer mobile access through our mobile website m.jd.com and our various iOS and Android mobile apps. As part of our strategic partnership with Tencent, we launched access on Tencent’s Weixin and direct access on Tencent’s Mobile QQ, whereby Tencent users can easily access our product offerings and have an enjoyable mobile shopping experience. Over 90% of orders fulfilled were placed through our mobile apps in 2025.</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 xml:space="preserve">Our mobile apps and </w:t>
      </w:r>
      <w:r>
        <w:rPr>
          <w:rFonts w:ascii="Times New Roman" w:cs="Times New Roman" w:eastAsia="Times New Roman" w:hAnsi="Times New Roman"/>
          <w:sz w:val="18"/>
          <w:szCs w:val="18"/>
          <w:i w:val="1"/>
          <w:iCs w:val="1"/>
          <w:color w:val="auto"/>
        </w:rPr>
        <w:t>www.jd.com</w:t>
      </w:r>
      <w:r>
        <w:rPr>
          <w:rFonts w:ascii="Times New Roman" w:cs="Times New Roman" w:eastAsia="Times New Roman" w:hAnsi="Times New Roman"/>
          <w:sz w:val="18"/>
          <w:szCs w:val="18"/>
          <w:color w:val="auto"/>
        </w:rPr>
        <w:t xml:space="preserve"> website contain the following information and features:</w:t>
      </w:r>
    </w:p>
    <w:p>
      <w:pPr>
        <w:spacing w:after="0" w:line="216" w:lineRule="exact"/>
        <w:rPr>
          <w:sz w:val="20"/>
          <w:szCs w:val="20"/>
          <w:color w:val="auto"/>
        </w:rPr>
      </w:pPr>
    </w:p>
    <w:p>
      <w:pPr>
        <w:ind w:left="24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Comprehensive product information to support prompt decision-making</w:t>
      </w:r>
      <w:r>
        <w:rPr>
          <w:rFonts w:ascii="Times New Roman" w:cs="Times New Roman" w:eastAsia="Times New Roman" w:hAnsi="Times New Roman"/>
          <w:sz w:val="18"/>
          <w:szCs w:val="18"/>
          <w:color w:val="auto"/>
        </w:rPr>
        <w:t>. Each product page contains pictures, descriptions, and sometimes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 videos of the product, the price, a pull-down menu to show whether the product is in stock at the customer’s location, customer reviews and ratings, and whether the product will be delivered by us or by one of our third-party merchants. When customers are browsing product pages, we display product highlights, reliable services available for this product and the post-discount price on the front page so as to support customers to make purchase decisions more efficiently.</w:t>
      </w:r>
    </w:p>
    <w:p>
      <w:pPr>
        <w:spacing w:after="0" w:line="182" w:lineRule="exact"/>
        <w:rPr>
          <w:sz w:val="20"/>
          <w:szCs w:val="20"/>
          <w:color w:val="auto"/>
        </w:rPr>
      </w:pPr>
    </w:p>
    <w:p>
      <w:pPr>
        <w:ind w:left="240" w:right="4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Interactive user community to enhance customer engagement and loyalty</w:t>
      </w:r>
      <w:r>
        <w:rPr>
          <w:rFonts w:ascii="Times New Roman" w:cs="Times New Roman" w:eastAsia="Times New Roman" w:hAnsi="Times New Roman"/>
          <w:sz w:val="18"/>
          <w:szCs w:val="18"/>
          <w:color w:val="auto"/>
        </w:rPr>
        <w:t>. Our mobile apps and websites contain a large volume of helpful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user-generated and professionally-generated content. For each product, customers can provide reviews and ratings that are featured prominently on the product page. We encourage participation by granting loyalty points for posting reviews and ratings.</w:t>
      </w:r>
    </w:p>
    <w:p>
      <w:pPr>
        <w:spacing w:after="0" w:line="178" w:lineRule="exact"/>
        <w:rPr>
          <w:sz w:val="20"/>
          <w:szCs w:val="20"/>
          <w:color w:val="auto"/>
        </w:rPr>
      </w:pPr>
    </w:p>
    <w:p>
      <w:pPr>
        <w:ind w:left="240" w:right="440" w:firstLine="971"/>
        <w:spacing w:after="0" w:line="270" w:lineRule="auto"/>
        <w:rPr>
          <w:sz w:val="20"/>
          <w:szCs w:val="20"/>
          <w:color w:val="auto"/>
        </w:rPr>
      </w:pPr>
      <w:r>
        <w:rPr>
          <w:rFonts w:ascii="Times New Roman" w:cs="Times New Roman" w:eastAsia="Times New Roman" w:hAnsi="Times New Roman"/>
          <w:sz w:val="18"/>
          <w:szCs w:val="18"/>
          <w:color w:val="auto"/>
        </w:rPr>
        <w:t>We also encourage third-party merchants to generate content and promote their products through livestreams and short videos on our platform to better interact with our customers.</w:t>
      </w:r>
    </w:p>
    <w:p>
      <w:pPr>
        <w:spacing w:after="0" w:line="167" w:lineRule="exact"/>
        <w:rPr>
          <w:sz w:val="20"/>
          <w:szCs w:val="20"/>
          <w:color w:val="auto"/>
        </w:rPr>
      </w:pPr>
    </w:p>
    <w:p>
      <w:pPr>
        <w:ind w:left="240" w:right="2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Targeted product recommendations to satisfy personalized demands</w:t>
      </w:r>
      <w:r>
        <w:rPr>
          <w:rFonts w:ascii="Times New Roman" w:cs="Times New Roman" w:eastAsia="Times New Roman" w:hAnsi="Times New Roman"/>
          <w:sz w:val="18"/>
          <w:szCs w:val="18"/>
          <w:color w:val="auto"/>
        </w:rPr>
        <w:t>. We have made progress in personalized recommendations, leveraging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cutting-edge technologies to provide an individualized shopping experience for each of our customers. We identify customers’ demands and make more accurate recommendations based on comprehensive algorithms, which are derived from a large volume of data about customer behavior and preferences.</w:t>
      </w:r>
    </w:p>
    <w:p>
      <w:pPr>
        <w:spacing w:after="0" w:line="181" w:lineRule="exact"/>
        <w:rPr>
          <w:sz w:val="20"/>
          <w:szCs w:val="20"/>
          <w:color w:val="auto"/>
        </w:rPr>
      </w:pPr>
    </w:p>
    <w:p>
      <w:pPr>
        <w:ind w:left="240" w:right="32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Smart ordering process to further improve the shopping experience</w:t>
      </w:r>
      <w:r>
        <w:rPr>
          <w:rFonts w:ascii="Times New Roman" w:cs="Times New Roman" w:eastAsia="Times New Roman" w:hAnsi="Times New Roman"/>
          <w:sz w:val="18"/>
          <w:szCs w:val="18"/>
          <w:color w:val="auto"/>
        </w:rPr>
        <w:t>. We continue to leverage our technology to optimize the ordering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making the shopping experience more convenient and enjoyable. For example, when customers review their shopping carts, not only do we display the special offers available at the time for the products in the customers’ shopping carts, but also we combine the existing coupons in our customers’ accounts with special offers, and calculate the all-in benefits for customers to provide them maximum benefits.</w:t>
      </w:r>
    </w:p>
    <w:p>
      <w:pPr>
        <w:spacing w:after="0" w:line="181" w:lineRule="exact"/>
        <w:rPr>
          <w:sz w:val="20"/>
          <w:szCs w:val="20"/>
          <w:color w:val="auto"/>
        </w:rPr>
      </w:pPr>
    </w:p>
    <w:p>
      <w:pPr>
        <w:ind w:left="240" w:right="12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Real-time order tracking and order information revision system to provide convenient shopping experience</w:t>
      </w:r>
      <w:r>
        <w:rPr>
          <w:rFonts w:ascii="Times New Roman" w:cs="Times New Roman" w:eastAsia="Times New Roman" w:hAnsi="Times New Roman"/>
          <w:sz w:val="18"/>
          <w:szCs w:val="18"/>
          <w:color w:val="auto"/>
        </w:rPr>
        <w:t>. Customers can log into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to check the status of their orders. Each package in our system is given a unique identification number, and its location is updated each time it is handled by one of our warehouse or delivery personnel or one of our third-party couriers. Each of our delivery personnel carries a mobile personal digital assistant, which allows customers to track their location in real time on an online map. Furthermore, we provide customers with the option to adjust their order information such as changing the shipping address or the preferred delivery date or time slot.</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w:t>
      </w:r>
    </w:p>
    <w:p>
      <w:pPr>
        <w:spacing w:after="0" w:line="114" w:lineRule="exact"/>
        <w:rPr>
          <w:sz w:val="20"/>
          <w:szCs w:val="20"/>
          <w:color w:val="auto"/>
        </w:rPr>
      </w:pPr>
    </w:p>
    <w:p>
      <w:pPr>
        <w:jc w:val="both"/>
        <w:ind w:left="240" w:right="120" w:firstLine="971"/>
        <w:spacing w:after="0" w:line="258" w:lineRule="auto"/>
        <w:rPr>
          <w:sz w:val="20"/>
          <w:szCs w:val="20"/>
          <w:color w:val="auto"/>
        </w:rPr>
      </w:pPr>
      <w:r>
        <w:rPr>
          <w:rFonts w:ascii="Times New Roman" w:cs="Times New Roman" w:eastAsia="Times New Roman" w:hAnsi="Times New Roman"/>
          <w:sz w:val="18"/>
          <w:szCs w:val="18"/>
          <w:color w:val="auto"/>
        </w:rPr>
        <w:t>Providing satisfactory customer service is a high priority. Our commitment to customers is reflected in the high level of service provided by our customer service staff as well as in our flexible product return and exchange policies. We continue optimizing our customer service to guarantee the best possible shopping experience.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320" w:top="476" w:right="5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65" w:lineRule="auto"/>
        <w:rPr>
          <w:sz w:val="20"/>
          <w:szCs w:val="20"/>
          <w:color w:val="auto"/>
        </w:rPr>
      </w:pPr>
      <w:r>
        <w:rPr>
          <w:rFonts w:ascii="Times New Roman" w:cs="Times New Roman" w:eastAsia="Times New Roman" w:hAnsi="Times New Roman"/>
          <w:sz w:val="17"/>
          <w:szCs w:val="17"/>
          <w:color w:val="auto"/>
        </w:rPr>
        <w:t>In 2025, we further strengthened our brand image of offering hassle-free services to our customers. Combining unique service capabilities from our retail business and our third-party merchants, we provide our customers with customized services for different product categories. Our services cover the entire purchasing process and include various types of services such as instant refunds, repair by exchange program, home-delivery of replacements, and extended price protection services for selected retail products, among other offerings. The service offering aims to facilitate consumers’ purchase decisions by providing trustworthy and guaranteed services. In 2025, we continued to invest in smart services and leveraged our advanced AI and deep learning technologies to more efficiently resolve the high volume of customer inquiries without sacrificing the customer experience. We also leveraged our cutting-edge technologies and smart systems to analyze a large volume of customer feedback and alerted third-party merchants in advance regarding potential customer service issues, helping third-party merchants to improve their service quality for our customers.</w:t>
      </w:r>
    </w:p>
    <w:p>
      <w:pPr>
        <w:spacing w:after="0" w:line="175" w:lineRule="exact"/>
        <w:rPr>
          <w:sz w:val="20"/>
          <w:szCs w:val="20"/>
          <w:color w:val="auto"/>
        </w:rPr>
      </w:pPr>
    </w:p>
    <w:p>
      <w:pPr>
        <w:ind w:left="240" w:right="26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24-7 customer service centers</w:t>
      </w:r>
      <w:r>
        <w:rPr>
          <w:rFonts w:ascii="Times New Roman" w:cs="Times New Roman" w:eastAsia="Times New Roman" w:hAnsi="Times New Roman"/>
          <w:sz w:val="18"/>
          <w:szCs w:val="18"/>
          <w:color w:val="auto"/>
        </w:rPr>
        <w:t>. We operate 24-7 customer service centers in Suqian, Wuhan, Chengdu and Datong, handling all kinds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queries and complaints regarding our products and services. We obtained COPC (Customer Operation Performance Center) Certification in November 2014. Customers can make queries and file complaints via various channels such as phone calls, online written instant messengers, JD official accounts on Weixin and Weibo, and through email.</w:t>
      </w:r>
    </w:p>
    <w:p>
      <w:pPr>
        <w:spacing w:after="0" w:line="181"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i w:val="1"/>
          <w:iCs w:val="1"/>
          <w:color w:val="auto"/>
        </w:rPr>
        <w:t>Returns and exchanges</w:t>
      </w:r>
      <w:r>
        <w:rPr>
          <w:rFonts w:ascii="Times New Roman" w:cs="Times New Roman" w:eastAsia="Times New Roman" w:hAnsi="Times New Roman"/>
          <w:sz w:val="18"/>
          <w:szCs w:val="18"/>
          <w:color w:val="auto"/>
        </w:rPr>
        <w:t>. We accept returns or exchanges for any reason within seven days of purchase. For selected categories in our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we provide an extended 30 days return and 180 days repair by exchange policy to our customers. Defective merchandise can be returned for exchange within 15 days of purchase. For customers with good credit, we provide an “instant refund” service, where we provide refunds as soon as they submit their return requests. If customers report defects more than 15 days after receipt but are still within the warranty period, we will have the defective goods repaired, replaced or take another appropriate action to compensate the customer, depending on the nature of the problem. We will generally pick up defective items for return or exchange at the customer’s address, provided that the return or exchange is requested within 15 days of receipt of the item and the address is within the area that is serviced by our employees or by one of the third-party couriers that have agreed to provide this service for us. Alternatively, customers can also mail the merchandise to one of our regional after-sales centers or bring the product to a pickup station nearby.</w:t>
      </w:r>
    </w:p>
    <w:p>
      <w:pPr>
        <w:spacing w:after="0" w:line="190" w:lineRule="exact"/>
        <w:rPr>
          <w:sz w:val="20"/>
          <w:szCs w:val="20"/>
          <w:color w:val="auto"/>
        </w:rPr>
      </w:pPr>
    </w:p>
    <w:p>
      <w:pPr>
        <w:ind w:left="240" w:firstLine="971"/>
        <w:spacing w:after="0" w:line="216" w:lineRule="exact"/>
        <w:rPr>
          <w:sz w:val="20"/>
          <w:szCs w:val="20"/>
          <w:color w:val="auto"/>
        </w:rPr>
      </w:pPr>
      <w:r>
        <w:rPr>
          <w:rFonts w:ascii="Times New Roman" w:cs="Times New Roman" w:eastAsia="Times New Roman" w:hAnsi="Times New Roman"/>
          <w:sz w:val="18"/>
          <w:szCs w:val="18"/>
          <w:i w:val="1"/>
          <w:iCs w:val="1"/>
          <w:color w:val="auto"/>
        </w:rPr>
        <w:t>Membership program</w:t>
      </w:r>
      <w:r>
        <w:rPr>
          <w:rFonts w:ascii="Times New Roman" w:cs="Times New Roman" w:eastAsia="Times New Roman" w:hAnsi="Times New Roman"/>
          <w:sz w:val="18"/>
          <w:szCs w:val="18"/>
          <w:color w:val="auto"/>
        </w:rPr>
        <w:t>. We have established a membership program to cultivate customer loyalty and encourage our customers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repeat purchases. We continued to promote “JD Plus”, a premium paid membership program. JD Plus offers benefits including extra rebates, coupons, exclusive prices on selected product offerings, free shipping and return services, lifestyle service package, VIP customer services, PLUS DAY promotion events, online medical consultation and JD E-book unlimited access designed specifically for JD Plus members. JD Plus also partnered with content and lifestyle service providers such as Tencent Video, iQiyi, among others, providing JD Plus members with greater benefits. In addition to our JD Plus, we also have a customer value system, “Joy Score (</w:t>
      </w:r>
      <w:r>
        <w:rPr>
          <w:rFonts w:ascii="SimSun" w:cs="SimSun" w:eastAsia="SimSun" w:hAnsi="SimSun"/>
          <w:sz w:val="18"/>
          <w:szCs w:val="18"/>
          <w:color w:val="auto"/>
        </w:rPr>
        <w:t>京享值</w:t>
      </w:r>
      <w:r>
        <w:rPr>
          <w:rFonts w:ascii="Times New Roman" w:cs="Times New Roman" w:eastAsia="Times New Roman" w:hAnsi="Times New Roman"/>
          <w:sz w:val="18"/>
          <w:szCs w:val="18"/>
          <w:color w:val="auto"/>
        </w:rPr>
        <w:t>)”, which takes into account various indicators, such as consumer behavior, interaction, credit ratings, among others, to determine a comprehensive and dynamic score for each consumer. The customers with different level of “Joy Score” can enjoy free loyalty programs. For instance, customer with “Joy Score” beyond certain threshold could enjoy a rebate for the plus membership fee. We also provide a variety of free premium services, such as local service, fast refund channel and VIP after-sale service, to enhance customer experience and engagement. We believe JD Plus membership program and “Joy Score” value system can effectively cultivate customer loyalty and enhance the shopping experience and consumer engagement.</w:t>
      </w:r>
    </w:p>
    <w:p>
      <w:pPr>
        <w:spacing w:after="0" w:line="30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offer competitive pricing to attract and retain customers.</w:t>
      </w:r>
    </w:p>
    <w:p>
      <w:pPr>
        <w:spacing w:after="0" w:line="214" w:lineRule="exact"/>
        <w:rPr>
          <w:sz w:val="20"/>
          <w:szCs w:val="20"/>
          <w:color w:val="auto"/>
        </w:rPr>
      </w:pPr>
    </w:p>
    <w:p>
      <w:pPr>
        <w:ind w:left="240" w:right="16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Pricing policy</w:t>
      </w:r>
      <w:r>
        <w:rPr>
          <w:rFonts w:ascii="Times New Roman" w:cs="Times New Roman" w:eastAsia="Times New Roman" w:hAnsi="Times New Roman"/>
          <w:sz w:val="18"/>
          <w:szCs w:val="18"/>
          <w:color w:val="auto"/>
        </w:rPr>
        <w:t>. We are making continual efforts to set our prices to be competitive with those on other major online retail websites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stores in China. If we reduce the price on our website and mobile apps before or after the product is delivered to the customer, then the customer generally has an opportunity to lock in the lower price. Currently, third-party merchants are free to set their own prices on our online marketplace. We also continue to enrich our product offerings and service while maintaining low prices.</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20"/>
          </w:cols>
          <w:pgMar w:left="320" w:top="476" w:right="5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12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Special promotions</w:t>
      </w:r>
      <w:r>
        <w:rPr>
          <w:rFonts w:ascii="Times New Roman" w:cs="Times New Roman" w:eastAsia="Times New Roman" w:hAnsi="Times New Roman"/>
          <w:sz w:val="18"/>
          <w:szCs w:val="18"/>
          <w:color w:val="auto"/>
        </w:rPr>
        <w:t>. We offer a selection of discounted products on special occasions, such as our anniversary sales promotional event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18 and China’s online shopping festival on November 11, as well as on important holidays such as the Chinese New Year. We also hold daily promotions for selected products for a limited period of time. Special promotions attract bargain hunters and give our customers an additional incentive to visit our website and mobile apps regularly.</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Delivery</w:t>
      </w:r>
    </w:p>
    <w:p>
      <w:pPr>
        <w:spacing w:after="0" w:line="114" w:lineRule="exact"/>
        <w:rPr>
          <w:sz w:val="20"/>
          <w:szCs w:val="20"/>
          <w:color w:val="auto"/>
        </w:rPr>
      </w:pPr>
    </w:p>
    <w:p>
      <w:pPr>
        <w:ind w:left="240" w:right="160" w:firstLine="971"/>
        <w:spacing w:after="0" w:line="258" w:lineRule="auto"/>
        <w:rPr>
          <w:sz w:val="20"/>
          <w:szCs w:val="20"/>
          <w:color w:val="auto"/>
        </w:rPr>
      </w:pPr>
      <w:r>
        <w:rPr>
          <w:rFonts w:ascii="Times New Roman" w:cs="Times New Roman" w:eastAsia="Times New Roman" w:hAnsi="Times New Roman"/>
          <w:sz w:val="18"/>
          <w:szCs w:val="18"/>
          <w:color w:val="auto"/>
        </w:rPr>
        <w:t>We believe that timely and reliable fulfillment is critical to the continuing success of our business. To this end, we have incurred and will continue to incur significant expenditures in building and operating our own nationwide fulfillment infrastructure. The following are some of the advantages that derive from our nationwide fulfillment infrastructure:</w:t>
      </w:r>
    </w:p>
    <w:p>
      <w:pPr>
        <w:spacing w:after="0" w:line="177" w:lineRule="exact"/>
        <w:rPr>
          <w:sz w:val="20"/>
          <w:szCs w:val="20"/>
          <w:color w:val="auto"/>
        </w:rPr>
      </w:pPr>
    </w:p>
    <w:p>
      <w:pPr>
        <w:ind w:left="240" w:right="8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Delivery network and personnel</w:t>
      </w:r>
      <w:r>
        <w:rPr>
          <w:rFonts w:ascii="Times New Roman" w:cs="Times New Roman" w:eastAsia="Times New Roman" w:hAnsi="Times New Roman"/>
          <w:sz w:val="18"/>
          <w:szCs w:val="18"/>
          <w:color w:val="auto"/>
        </w:rPr>
        <w:t>. We deliver products directly to customers in almost all counties and districts across China. We deliver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orders directly to customers ourselves, and therefore our customers interact with delivery personnel more often than with any other representatives of our company. For this reason, we place great emphasis on training our delivery personnel and setting up delivery stations in more and more counties and districts. We believe that our professionally trained delivery personnel are important in helping us to shape customer experience and distinguish ourselves from our competitors.</w:t>
      </w:r>
    </w:p>
    <w:p>
      <w:pPr>
        <w:spacing w:after="0" w:line="182" w:lineRule="exact"/>
        <w:rPr>
          <w:sz w:val="20"/>
          <w:szCs w:val="20"/>
          <w:color w:val="auto"/>
        </w:rPr>
      </w:pPr>
    </w:p>
    <w:p>
      <w:pPr>
        <w:ind w:left="240" w:right="28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Flexible delivery arrangements</w:t>
      </w:r>
      <w:r>
        <w:rPr>
          <w:rFonts w:ascii="Times New Roman" w:cs="Times New Roman" w:eastAsia="Times New Roman" w:hAnsi="Times New Roman"/>
          <w:sz w:val="18"/>
          <w:szCs w:val="18"/>
          <w:color w:val="auto"/>
        </w:rPr>
        <w:t>. We believe that timely and convenient delivery is an essential part of customer satisfaction,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 our delivery schedule to suit our customers’ needs. Customers can choose their preferred delivery window during the day, including evening delivery in selected areas, when they place orders. Customers who need to reschedule a delivery can log into their account on our websites or mobile apps to look up the contact information for the delivery person and contact the delivery person directly themselves, provided that the delivery will be made by our employees.</w:t>
      </w:r>
    </w:p>
    <w:p>
      <w:pPr>
        <w:spacing w:after="0" w:line="182"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i w:val="1"/>
          <w:iCs w:val="1"/>
          <w:color w:val="auto"/>
        </w:rPr>
        <w:t>Comprehensive speedy delivery service</w:t>
      </w:r>
      <w:r>
        <w:rPr>
          <w:rFonts w:ascii="Times New Roman" w:cs="Times New Roman" w:eastAsia="Times New Roman" w:hAnsi="Times New Roman"/>
          <w:sz w:val="17"/>
          <w:szCs w:val="17"/>
          <w:color w:val="auto"/>
        </w:rPr>
        <w:t>. We introduced our 211 program in 2010. For goods that we have in stock at the corresponding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regional fulfillment center or front distribution center, any orders received by the morning deadline (11:00 a.m. in most of the locations) will be delivered on the same day, and any orders received by the evening deadline (11:00 p.m.) will be delivered by 3:00 p.m. on the following day. Customers also can request that an order placed by 3:00 p.m. be delivered in the evening on the same day in selected cities. There is no extra charge for delivery under our 211 program for orders that satisfy the minimum size requirement, and customers can check the product page on our websites or through our mobile apps to see whether the product is in stock and thus eligible. The program does not cover delivery to addresses through third-party couriers or products shipped directly from our third-party merchants. JD Logistics also provides scheduled delivery service in selected cities, allowing customers to choose a convenient delivery window within which to receive their goods. For luxury products, consumers in major cities can enjoy JD Luxury Express, a premium delivery service where a courier in suit, tie and white gloves will deliver to consumers’ doors. In addition, JD Logistics successfully extended its service capabilities to the on-demand delivery scenarios in 2025, further enriching its product portfolio and business footprint.</w:t>
      </w:r>
    </w:p>
    <w:p>
      <w:pPr>
        <w:spacing w:after="0" w:line="176" w:lineRule="exact"/>
        <w:rPr>
          <w:sz w:val="20"/>
          <w:szCs w:val="20"/>
          <w:color w:val="auto"/>
        </w:rPr>
      </w:pPr>
    </w:p>
    <w:p>
      <w:pPr>
        <w:ind w:left="240" w:right="22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Customer pickup</w:t>
      </w:r>
      <w:r>
        <w:rPr>
          <w:rFonts w:ascii="Times New Roman" w:cs="Times New Roman" w:eastAsia="Times New Roman" w:hAnsi="Times New Roman"/>
          <w:sz w:val="18"/>
          <w:szCs w:val="18"/>
          <w:color w:val="auto"/>
        </w:rPr>
        <w:t>. Customers who prefer to pick up their order themselves can select a pickup station when placing the order and 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tracking function to find out when the order has arrived there. We have pickup stations at convenient locations across the country.</w:t>
      </w:r>
    </w:p>
    <w:p>
      <w:pPr>
        <w:spacing w:after="0" w:line="164" w:lineRule="exact"/>
        <w:rPr>
          <w:sz w:val="20"/>
          <w:szCs w:val="20"/>
          <w:color w:val="auto"/>
        </w:rPr>
      </w:pPr>
    </w:p>
    <w:p>
      <w:pPr>
        <w:ind w:left="240" w:right="32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Continuous expansion of delivery service</w:t>
      </w:r>
      <w:r>
        <w:rPr>
          <w:rFonts w:ascii="Times New Roman" w:cs="Times New Roman" w:eastAsia="Times New Roman" w:hAnsi="Times New Roman"/>
          <w:sz w:val="18"/>
          <w:szCs w:val="18"/>
          <w:color w:val="auto"/>
        </w:rPr>
        <w:t>. We have established and are making continuous efforts to further expand our cold-chain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cross-border logistics capabilities, and in new business areas, including on-demand delivery, to expand product offerings while ensuring superior customer experience.</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Merchandise Sourcing</w:t>
      </w:r>
    </w:p>
    <w:p>
      <w:pPr>
        <w:spacing w:after="0" w:line="112" w:lineRule="exact"/>
        <w:rPr>
          <w:sz w:val="20"/>
          <w:szCs w:val="20"/>
          <w:color w:val="auto"/>
        </w:rPr>
      </w:pPr>
    </w:p>
    <w:p>
      <w:pPr>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In our online retail business, we sourced products from a large number of suppliers. Procuring products on such a massive scale requires considerable expertise, which we have built up over a number of years. None of our suppliers accounted for over 10% (by value) of the products we purchased in 2025.</w:t>
      </w:r>
    </w:p>
    <w:p>
      <w:pPr>
        <w:spacing w:after="0" w:line="179"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We continue to increase our direct purchases from manufacturers and, where appropriate, to become an authorized reseller. Our ability to establish direct relationships with manufacturers enables us to provide high-quality products and obtain better procurement terms and access to hard-to-get products. Direct cooperation with manufacturers enables us to increase supply chain efficiency by minimizing supply chain costs and to give customers peace of mind about product quality.</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320" w:top="476" w:right="5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20" w:firstLine="971"/>
        <w:spacing w:after="0" w:line="249" w:lineRule="auto"/>
        <w:rPr>
          <w:sz w:val="20"/>
          <w:szCs w:val="20"/>
          <w:color w:val="auto"/>
        </w:rPr>
      </w:pPr>
      <w:r>
        <w:rPr>
          <w:rFonts w:ascii="Times New Roman" w:cs="Times New Roman" w:eastAsia="Times New Roman" w:hAnsi="Times New Roman"/>
          <w:sz w:val="18"/>
          <w:szCs w:val="18"/>
          <w:color w:val="auto"/>
        </w:rPr>
        <w:t>We select suppliers and third-party merchants on the basis of brand, reliability, volume and price. They must be able to meet our demands for timely supply of authentic products and also provide high quality after-sale customer service. We perform background checks on our suppliers and third-party merchants and the products they provide before we enter into any agreement. We examine their business licenses and the qualification certificates for their products, and check their brand recognition and investigate the market acceptance of their products among players in the same industry. We also conduct on-site visits to assess and verify their location, business scale, production capacity, property and equipment, human resources, research and development capability, quality control system and fulfillment capability. We normally enter into one-year framework agreements with our suppliers and third-party merchants and renew them annually.</w:t>
      </w:r>
    </w:p>
    <w:p>
      <w:pPr>
        <w:spacing w:after="0" w:line="189"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Our standard form contract requires suppliers and third-party merchants to represent that their goods are authentic and from lawful sources and do not infringe upon lawful rights of third parties and to pay us liquidated damages for any breach. We have also put stringent rules in place governing the operations of third-party merchants on our online marketplace. Third-party merchants will be subject to penalties or be asked to end their operations on our online marketplace if they violate the marketplace rules, for example by selling counterfeit products. We have a strict zero-tolerance policy for counterfeit products.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Logistics Services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Fulfillment</w:t>
      </w:r>
    </w:p>
    <w:p>
      <w:pPr>
        <w:spacing w:after="0" w:line="114" w:lineRule="exact"/>
        <w:rPr>
          <w:sz w:val="20"/>
          <w:szCs w:val="20"/>
          <w:color w:val="auto"/>
        </w:rPr>
      </w:pPr>
    </w:p>
    <w:p>
      <w:pPr>
        <w:ind w:left="240" w:right="80" w:firstLine="971"/>
        <w:spacing w:after="0" w:line="273" w:lineRule="auto"/>
        <w:rPr>
          <w:sz w:val="20"/>
          <w:szCs w:val="20"/>
          <w:color w:val="auto"/>
        </w:rPr>
      </w:pPr>
      <w:r>
        <w:rPr>
          <w:rFonts w:ascii="Times New Roman" w:cs="Times New Roman" w:eastAsia="Times New Roman" w:hAnsi="Times New Roman"/>
          <w:sz w:val="17"/>
          <w:szCs w:val="17"/>
          <w:color w:val="auto"/>
        </w:rPr>
        <w:t>We deliver a compelling customer experience by fulfilling orders quickly and accurately. To this end, we have built our nationwide fulfillment infrastructure for the prompt receipt, storage and shipment of our products. Our fulfillment infrastructure is primarily comprised of a nationwide warehouse and delivery network that we operate ourselves, supplemented by third-party couriers to service areas that are not covered by our network. To further enhance inventory accountability and security, we track our inventory at all stages of the receiving and order fulfillment process.</w:t>
      </w: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Nationwide Fulfillment Infrastructure.</w:t>
      </w:r>
    </w:p>
    <w:p>
      <w:pPr>
        <w:spacing w:after="0" w:line="218"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As of December 31, 2025, our warehouse network covered almost all counties and districts across China, consisting of over 1,600 warehouses operated by us and over 2,000 cloud warehouses operated by third-party warehouse owner-operators under our Open Warehouse Platform. As of December 31, 2025, our warehouse network had an aggregate gross floor area of over 34 million square meters, including the gross floor area of the cloud warehouses under our Open Warehouse Platform. We deliver a majority of the orders directly to customers ourselves. We maintain cooperation arrangements with a number of third-party couriers to deliver our products to our customers during peak seasons to supplement our delivery force. Third-party merchants also use third-party couriers if they do not use our delivery services.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320" w:top="476" w:right="5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Fulfillment Process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following flow chart outlines our fulfillment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1438910</wp:posOffset>
            </wp:positionH>
            <wp:positionV relativeFrom="paragraph">
              <wp:posOffset>165735</wp:posOffset>
            </wp:positionV>
            <wp:extent cx="4264025" cy="1863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64025" cy="1863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When a customer places an order, our delivery management system automatically processes the order and matches it to the warehouse or warehouses with the appropriate inventory. Picking is done on the basis of instructions that are generated automatically by our warehouse management system. The warehouse management system also automatically generates the bar codes and shipping labels that allow our staff to match the items to the correct order in the packing process. After picking, packing, and sorting, the order is shipped to a delivery or pickup station in the customer’s city for further handling and delivery. If the customer’s address is not one to which we make deliveries ourselves, we will have a third-party courier pick up the order at our sorting center to make the delivery. Once the order has been shipped, our system automatically updates the inventory level for each product in the order, ensuring that additional inventory will be ordered as needed. Our customers can track the shipping status of their orders through our websites or mobile apps at each step in the process.</w:t>
      </w:r>
    </w:p>
    <w:p>
      <w:pPr>
        <w:spacing w:after="0" w:line="193" w:lineRule="exact"/>
        <w:rPr>
          <w:sz w:val="20"/>
          <w:szCs w:val="20"/>
          <w:color w:val="auto"/>
        </w:rPr>
      </w:pPr>
    </w:p>
    <w:p>
      <w:pPr>
        <w:ind w:left="240" w:right="160" w:firstLine="971"/>
        <w:spacing w:after="0" w:line="300" w:lineRule="auto"/>
        <w:rPr>
          <w:sz w:val="20"/>
          <w:szCs w:val="20"/>
          <w:color w:val="auto"/>
        </w:rPr>
      </w:pPr>
      <w:r>
        <w:rPr>
          <w:rFonts w:ascii="Times New Roman" w:cs="Times New Roman" w:eastAsia="Times New Roman" w:hAnsi="Times New Roman"/>
          <w:sz w:val="17"/>
          <w:szCs w:val="17"/>
          <w:color w:val="auto"/>
        </w:rPr>
        <w:t>We are in the process of constructing new warehouses on land where we have obtained land use rights. We believe that building our own warehouses will not only increase our storage capacity but will also allow us to restructure and reorganize our fulfillment workflow and processes.</w:t>
      </w:r>
    </w:p>
    <w:p>
      <w:pPr>
        <w:spacing w:after="0" w:line="146" w:lineRule="exact"/>
        <w:rPr>
          <w:sz w:val="20"/>
          <w:szCs w:val="20"/>
          <w:color w:val="auto"/>
        </w:rPr>
      </w:pPr>
    </w:p>
    <w:p>
      <w:pPr>
        <w:ind w:left="240" w:firstLine="971"/>
        <w:spacing w:after="0" w:line="267" w:lineRule="auto"/>
        <w:rPr>
          <w:sz w:val="20"/>
          <w:szCs w:val="20"/>
          <w:color w:val="auto"/>
        </w:rPr>
      </w:pPr>
      <w:r>
        <w:rPr>
          <w:rFonts w:ascii="Times New Roman" w:cs="Times New Roman" w:eastAsia="Times New Roman" w:hAnsi="Times New Roman"/>
          <w:sz w:val="17"/>
          <w:szCs w:val="17"/>
          <w:color w:val="auto"/>
        </w:rPr>
        <w:t>We also have a dedicated internal division, to explore research, development and application of smart logistics and unmanned technology, which we believe represent the future trend of the logistics industry. Through the development of a series of cutting-edge technologies such as intelligent hardware, internet of things, big data, robotics, image and vision recognition, machine learning, deep learning, and smart logistics devices, we intend to revolutionize the logistics industry. We are also experimenting with these technologies in a wide range of logistics business areas such as unmanned warehouses, drone delivery, self-driving vehicles, unmanned delivery stations and convenience stores, among others. We will continue to invest in smart logistics to improve the intelligence level of our logistics system and to provide consumers with an unparalleled shopping experience.</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Open Platform of Our Logistics Services</w:t>
      </w:r>
    </w:p>
    <w:p>
      <w:pPr>
        <w:spacing w:after="0" w:line="114" w:lineRule="exact"/>
        <w:rPr>
          <w:sz w:val="20"/>
          <w:szCs w:val="20"/>
          <w:color w:val="auto"/>
        </w:rPr>
      </w:pPr>
    </w:p>
    <w:p>
      <w:pPr>
        <w:ind w:left="240" w:right="80" w:firstLine="971"/>
        <w:spacing w:after="0" w:line="250" w:lineRule="auto"/>
        <w:rPr>
          <w:sz w:val="20"/>
          <w:szCs w:val="20"/>
          <w:color w:val="auto"/>
        </w:rPr>
      </w:pPr>
      <w:r>
        <w:rPr>
          <w:rFonts w:ascii="Times New Roman" w:cs="Times New Roman" w:eastAsia="Times New Roman" w:hAnsi="Times New Roman"/>
          <w:sz w:val="18"/>
          <w:szCs w:val="18"/>
          <w:color w:val="auto"/>
        </w:rPr>
        <w:t>We also open up our logistics infrastructure to our third-party merchants and partners beyond our e-commerce business. We have developed comprehensive logistics services and continuously strengthen our logistics service capability by adding new services such as on-demand delivery, cold-chain services and individual parcel delivery solutions. We provide services relating to almost all aspects of logistics operation, including warehousing management, storage, long-haul transportation, express and on-demand delivery and cold-chain and cross-border services, among others. We offer integrated supply chain management solutions to customers in various vertical markets. We also provide technology solutions for logistics operations to enable customers to transparently and effectively monitor, manage and optimize their logistic workflows.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Technology Platform</w:t>
      </w:r>
    </w:p>
    <w:p>
      <w:pPr>
        <w:spacing w:after="0" w:line="112" w:lineRule="exact"/>
        <w:rPr>
          <w:sz w:val="20"/>
          <w:szCs w:val="20"/>
          <w:color w:val="auto"/>
        </w:rPr>
      </w:pPr>
    </w:p>
    <w:p>
      <w:pPr>
        <w:ind w:left="240" w:right="60" w:firstLine="971"/>
        <w:spacing w:after="0" w:line="270" w:lineRule="auto"/>
        <w:rPr>
          <w:sz w:val="20"/>
          <w:szCs w:val="20"/>
          <w:color w:val="auto"/>
        </w:rPr>
      </w:pPr>
      <w:r>
        <w:rPr>
          <w:rFonts w:ascii="Times New Roman" w:cs="Times New Roman" w:eastAsia="Times New Roman" w:hAnsi="Times New Roman"/>
          <w:sz w:val="18"/>
          <w:szCs w:val="18"/>
          <w:color w:val="auto"/>
        </w:rPr>
        <w:t>Technology is the key to our future success. It enables better customer experience, higher efficiency and customer cost savings, while also serving as a vehicle to export our unique capabilities and cutting-edge innovation to benefit the whole industry and society.</w:t>
      </w:r>
    </w:p>
    <w:p>
      <w:pPr>
        <w:spacing w:after="0" w:line="169"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We have a large team consisting of research and development professionals primarily covering areas of AI, big data analytics and cloud computing. Together, these areas form our technology strategy. We strive to deliver best-in-class services to our customers and become the most trusted technology service provider in the industry, powered by our large and sophisticated IT infrastructures.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320" w:top="476" w:right="5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00" w:firstLine="971"/>
        <w:spacing w:after="0" w:line="258" w:lineRule="auto"/>
        <w:rPr>
          <w:sz w:val="20"/>
          <w:szCs w:val="20"/>
          <w:color w:val="auto"/>
        </w:rPr>
      </w:pPr>
      <w:r>
        <w:rPr>
          <w:rFonts w:ascii="Times New Roman" w:cs="Times New Roman" w:eastAsia="Times New Roman" w:hAnsi="Times New Roman"/>
          <w:sz w:val="18"/>
          <w:szCs w:val="18"/>
          <w:color w:val="auto"/>
        </w:rPr>
        <w:t>In addition to our core technology innovation, research and development, we also place a strong emphasis on data privacy and security. Protecting customer data and building trust is one of our core values. Operating in compliance with the most stringent standards and regulations both in China and globally, we provide our customers with a high level of security, privacy protection and ease of mind.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AI Initiatives</w:t>
      </w:r>
    </w:p>
    <w:p>
      <w:pPr>
        <w:spacing w:after="0" w:line="114"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We have deeply integrated AI into our supply chain. On the marketing front, our AI-powered digital human JoyStreamer is helping merchants reduce costs and boost sales performance. On the customer service front, our AI customer service system, empowered by multi-scenario and multi-modal AI capabilities, supported the surge in service demand across business segments. On the operations front, a range of “AI agents” were integrated into internal workflow, enhancing both business insights and operational efficiency. In addition, to unlock the consumption potential of AI, we launched JoyInside, an AI agent for robots, toys, and devices, which has partnered with many hardware brands to roll out a variety of AI products. We remain committed to developing sustainable, implementable AI solutions that create true value for industries.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Smart Retail &amp; Supply Chain Technology</w:t>
      </w:r>
    </w:p>
    <w:p>
      <w:pPr>
        <w:spacing w:after="0" w:line="114" w:lineRule="exact"/>
        <w:rPr>
          <w:sz w:val="20"/>
          <w:szCs w:val="20"/>
          <w:color w:val="auto"/>
        </w:rPr>
      </w:pPr>
    </w:p>
    <w:p>
      <w:pPr>
        <w:jc w:val="both"/>
        <w:ind w:left="240" w:firstLine="971"/>
        <w:spacing w:after="0" w:line="266" w:lineRule="auto"/>
        <w:rPr>
          <w:sz w:val="20"/>
          <w:szCs w:val="20"/>
          <w:color w:val="auto"/>
        </w:rPr>
      </w:pPr>
      <w:r>
        <w:rPr>
          <w:rFonts w:ascii="Times New Roman" w:cs="Times New Roman" w:eastAsia="Times New Roman" w:hAnsi="Times New Roman"/>
          <w:sz w:val="17"/>
          <w:szCs w:val="17"/>
          <w:color w:val="auto"/>
        </w:rPr>
        <w:t>Through years of online operation, we have amassed a large amount of know-how and data across China’s e-commerce supply-chain, from product manufacturing, warehouse operations and distribution to sales and customer service information. Combining the power of big data analytics and AI on our intelligent cloud platform, we streamline customer-to-manufacturer production to improve sales and enhance customer satisfaction.</w:t>
      </w:r>
    </w:p>
    <w:p>
      <w:pPr>
        <w:spacing w:after="0" w:line="2" w:lineRule="exact"/>
        <w:rPr>
          <w:sz w:val="20"/>
          <w:szCs w:val="20"/>
          <w:color w:val="auto"/>
        </w:rPr>
      </w:pPr>
    </w:p>
    <w:p>
      <w:pPr>
        <w:ind w:left="240" w:right="840"/>
        <w:spacing w:after="0" w:line="250" w:lineRule="auto"/>
        <w:rPr>
          <w:sz w:val="20"/>
          <w:szCs w:val="20"/>
          <w:color w:val="auto"/>
        </w:rPr>
      </w:pPr>
      <w:r>
        <w:rPr>
          <w:rFonts w:ascii="Times New Roman" w:cs="Times New Roman" w:eastAsia="Times New Roman" w:hAnsi="Times New Roman"/>
          <w:sz w:val="18"/>
          <w:szCs w:val="18"/>
          <w:color w:val="auto"/>
        </w:rPr>
        <w:t>Leveraging our smart retail and supply chain technology, we provide technology solutions for our logistics operations to enable customers to transparently and effectively monitor, manage and optimize their logistic workflows.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Logistics Technology</w:t>
      </w:r>
    </w:p>
    <w:p>
      <w:pPr>
        <w:spacing w:after="0" w:line="114" w:lineRule="exact"/>
        <w:rPr>
          <w:sz w:val="20"/>
          <w:szCs w:val="20"/>
          <w:color w:val="auto"/>
        </w:rPr>
      </w:pPr>
    </w:p>
    <w:p>
      <w:pPr>
        <w:ind w:left="240" w:right="20" w:firstLine="971"/>
        <w:spacing w:after="0" w:line="269" w:lineRule="auto"/>
        <w:rPr>
          <w:sz w:val="20"/>
          <w:szCs w:val="20"/>
          <w:color w:val="auto"/>
        </w:rPr>
      </w:pPr>
      <w:r>
        <w:rPr>
          <w:rFonts w:ascii="Times New Roman" w:cs="Times New Roman" w:eastAsia="Times New Roman" w:hAnsi="Times New Roman"/>
          <w:sz w:val="17"/>
          <w:szCs w:val="17"/>
          <w:color w:val="auto"/>
        </w:rPr>
        <w:t>Leveraging extensive operational scenarios and comprehensive operational chain in the industry, we have deployed self-developed robots at scale, constructing an end-to-end intelligent operational system covering all stages, including warehousing, sorting, transportation, and delivery, while continuously enhancing the level of automation application across the entire supply chain. In the warehousing stage, the self-developed LangzuTech Goods-to-Person (GTP) automated warehousing solution by JD Logistics entered a new phase of nationwide replication and application in 2025. In the delivery stage, we have cumulatively deployed thousands of unmanned vehicles nationwide, enhancing operational efficiency across multiple scenarios.</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2" w:lineRule="exact"/>
        <w:rPr>
          <w:sz w:val="20"/>
          <w:szCs w:val="20"/>
          <w:color w:val="auto"/>
        </w:rPr>
      </w:pPr>
    </w:p>
    <w:p>
      <w:pPr>
        <w:ind w:left="240" w:right="160" w:firstLine="971"/>
        <w:spacing w:after="0" w:line="258" w:lineRule="auto"/>
        <w:rPr>
          <w:sz w:val="20"/>
          <w:szCs w:val="20"/>
          <w:color w:val="auto"/>
        </w:rPr>
      </w:pPr>
      <w:r>
        <w:rPr>
          <w:rFonts w:ascii="Times New Roman" w:cs="Times New Roman" w:eastAsia="Times New Roman" w:hAnsi="Times New Roman"/>
          <w:sz w:val="18"/>
          <w:szCs w:val="18"/>
          <w:color w:val="auto"/>
        </w:rPr>
        <w:t>We believe that the most effective form of marketing is to continually enhance our customer experience, as customer satisfaction engenders word-of-mouth referrals and repeat purchases. We have been able to build an extensive base of loyal customers primarily through providing superior customer experience and conducting marketing and brand promotion activities.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320" w:top="476" w:right="5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In addition to continuing marketing activities through traditional online and offline channels, we have also designed innovative programs and promotion activities to further enhance the brand awareness of both ourselves and our partners and to better reach our customers. We have launched a series of successful joint marketing campaigns such as “Super Brand Days,” “Super Category Days” and “Super New Product Days.” We will continue to leverage our data-driven customer insights to provide customized marketing tools and campaigns for business partners and help them to develop brand recognition in China. We have also made progress in social e-commerce innovations, particularly benefiting from access points within Weixin and</w:t>
      </w:r>
    </w:p>
    <w:p>
      <w:pPr>
        <w:spacing w:after="0" w:line="4" w:lineRule="exact"/>
        <w:rPr>
          <w:sz w:val="20"/>
          <w:szCs w:val="20"/>
          <w:color w:val="auto"/>
        </w:rPr>
      </w:pPr>
    </w:p>
    <w:p>
      <w:pPr>
        <w:ind w:left="240" w:right="240" w:hanging="10"/>
        <w:spacing w:after="0" w:line="279" w:lineRule="auto"/>
        <w:tabs>
          <w:tab w:leader="none" w:pos="53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channels, both of which have a large mobile internet user base. Through leveraging more targeted, innovative and interactive marketing tools, we can help brands on the platform increase exposure, drive traffic and achieve deeper penetration into lower-tier cities and attract younger generations.</w:t>
      </w:r>
    </w:p>
    <w:p>
      <w:pPr>
        <w:spacing w:after="0" w:line="163" w:lineRule="exact"/>
        <w:rPr>
          <w:sz w:val="20"/>
          <w:szCs w:val="20"/>
          <w:color w:val="auto"/>
        </w:rPr>
      </w:pPr>
    </w:p>
    <w:p>
      <w:pPr>
        <w:jc w:val="both"/>
        <w:ind w:left="240" w:right="580" w:firstLine="971"/>
        <w:spacing w:after="0" w:line="280" w:lineRule="auto"/>
        <w:rPr>
          <w:sz w:val="20"/>
          <w:szCs w:val="20"/>
          <w:color w:val="auto"/>
        </w:rPr>
      </w:pPr>
      <w:r>
        <w:rPr>
          <w:rFonts w:ascii="Times New Roman" w:cs="Times New Roman" w:eastAsia="Times New Roman" w:hAnsi="Times New Roman"/>
          <w:sz w:val="17"/>
          <w:szCs w:val="17"/>
          <w:color w:val="auto"/>
        </w:rPr>
        <w:t>In addition, we have formed strategic partnerships with a number of major internet companies in China, aiming at leveraging these companies’ massive user bases to strengthen collaboration in targeted marketing, user access points and content-driven marketing. We incurred RMB40.1 billion, RMB48.0 billion and RMB84.0 billion (US$12.0 billion) of marketing expenses in 2023, 2024 and 2025, respectively.</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2"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7"/>
          <w:szCs w:val="17"/>
          <w:color w:val="auto"/>
        </w:rPr>
        <w:t xml:space="preserve">The online retail industry in China is intensely competitive. Our current or potential competitors include (i) major e-commerce companies in China that offer a wide range of general merchandise product categories, such as Alibaba Group, which operates </w:t>
      </w:r>
      <w:r>
        <w:rPr>
          <w:rFonts w:ascii="Times New Roman" w:cs="Times New Roman" w:eastAsia="Times New Roman" w:hAnsi="Times New Roman"/>
          <w:sz w:val="17"/>
          <w:szCs w:val="17"/>
          <w:i w:val="1"/>
          <w:iCs w:val="1"/>
          <w:color w:val="auto"/>
        </w:rPr>
        <w:t>taobao.com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tmall.com</w:t>
      </w:r>
      <w:r>
        <w:rPr>
          <w:rFonts w:ascii="Times New Roman" w:cs="Times New Roman" w:eastAsia="Times New Roman" w:hAnsi="Times New Roman"/>
          <w:sz w:val="17"/>
          <w:szCs w:val="17"/>
          <w:color w:val="auto"/>
        </w:rPr>
        <w:t>, and</w:t>
      </w:r>
    </w:p>
    <w:p>
      <w:pPr>
        <w:spacing w:after="0" w:line="1" w:lineRule="exact"/>
        <w:rPr>
          <w:sz w:val="20"/>
          <w:szCs w:val="20"/>
          <w:color w:val="auto"/>
        </w:rPr>
      </w:pPr>
    </w:p>
    <w:p>
      <w:pPr>
        <w:jc w:val="both"/>
        <w:ind w:left="240" w:right="140" w:hanging="10"/>
        <w:spacing w:after="0" w:line="247" w:lineRule="auto"/>
        <w:tabs>
          <w:tab w:leader="none" w:pos="4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major traditional retailers in China that are moving into online retailing, such as Suning.com Group Co., Ltd., which operates </w:t>
      </w:r>
      <w:r>
        <w:rPr>
          <w:rFonts w:ascii="Times New Roman" w:cs="Times New Roman" w:eastAsia="Times New Roman" w:hAnsi="Times New Roman"/>
          <w:sz w:val="18"/>
          <w:szCs w:val="18"/>
          <w:i w:val="1"/>
          <w:iCs w:val="1"/>
          <w:color w:val="auto"/>
        </w:rPr>
        <w:t>suning.com</w:t>
      </w:r>
      <w:r>
        <w:rPr>
          <w:rFonts w:ascii="Times New Roman" w:cs="Times New Roman" w:eastAsia="Times New Roman" w:hAnsi="Times New Roman"/>
          <w:sz w:val="18"/>
          <w:szCs w:val="18"/>
          <w:color w:val="auto"/>
        </w:rPr>
        <w:t>. We also face competition from online retail companies in China focused on specific product categories and from physical retail stores, including big-box stores that also aim to offer a one-stop shopping experience.</w:t>
      </w:r>
    </w:p>
    <w:p>
      <w:pPr>
        <w:spacing w:after="0" w:line="189" w:lineRule="exact"/>
        <w:rPr>
          <w:sz w:val="20"/>
          <w:szCs w:val="20"/>
          <w:color w:val="auto"/>
        </w:rPr>
      </w:pPr>
    </w:p>
    <w:p>
      <w:pPr>
        <w:jc w:val="both"/>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We anticipate that the online retail market will continually evolve and will continue to experience rapid technological change, evolving industry standards, shifting customer requirements, and frequent innovation. We must continually innovate to remain competitive. We believe that the principal competitive factors in our industry are:</w:t>
      </w:r>
    </w:p>
    <w:p>
      <w:pPr>
        <w:spacing w:after="0" w:line="86" w:lineRule="exact"/>
        <w:rPr>
          <w:sz w:val="20"/>
          <w:szCs w:val="20"/>
          <w:color w:val="auto"/>
        </w:rPr>
      </w:pPr>
    </w:p>
    <w:p>
      <w:pPr>
        <w:ind w:left="1180" w:hanging="42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selection;</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fulfillment capabilities;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w:t>
      </w:r>
    </w:p>
    <w:p>
      <w:pPr>
        <w:spacing w:after="0" w:line="216"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8"/>
          <w:szCs w:val="18"/>
          <w:color w:val="auto"/>
        </w:rPr>
        <w:t>In addition, new and enhanced technologies may increase competition in the online retail industry. New competitive business models may appear, for example based on new forms of social media or social commerce.</w:t>
      </w:r>
    </w:p>
    <w:p>
      <w:pPr>
        <w:spacing w:after="0" w:line="169" w:lineRule="exact"/>
        <w:rPr>
          <w:sz w:val="20"/>
          <w:szCs w:val="20"/>
          <w:color w:val="auto"/>
        </w:rPr>
      </w:pPr>
    </w:p>
    <w:p>
      <w:pPr>
        <w:ind w:left="240" w:right="320" w:firstLine="971"/>
        <w:spacing w:after="0" w:line="258" w:lineRule="auto"/>
        <w:rPr>
          <w:sz w:val="20"/>
          <w:szCs w:val="20"/>
          <w:color w:val="auto"/>
        </w:rPr>
      </w:pPr>
      <w:r>
        <w:rPr>
          <w:rFonts w:ascii="Times New Roman" w:cs="Times New Roman" w:eastAsia="Times New Roman" w:hAnsi="Times New Roman"/>
          <w:sz w:val="18"/>
          <w:szCs w:val="18"/>
          <w:color w:val="auto"/>
        </w:rPr>
        <w:t>We believe that we are well-positioned to effectively compete on the basis of the factors listed above. However, some of our current or future competitors may have longer operating histories, greater brand recognition, better supplier relationships, larger customer bases or greater financial, technical or marketing resources than we do.</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2"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We experience seasonality in our business, reflecting a combination of seasonal fluctuations in customer purchases, promotional events, and traditional retail seasonality patterns. For example, we generally experience less user traffic and purchase orders during national holidays in China, particularly during the Chinese New Year holiday season in the first quarter of each year. Furthermore, sales in the traditional retail industry are significantly higher in the fourth quarter of each calendar year than in the preceding three quarters.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320" w:top="476" w:right="5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E-commerce companies in China hold special promotional campaigns on November 11 each year that tend to boost sales in the fourth quarter relative to other quarters, and we hold a special promotional campaign in the second quarter of each year, on June 18, to celebrate the anniversary of the founding of our e-commerce business. Due to our limited operating history, the seasonal trends that we have experienced in the past may not apply to, or be indicative of, our future operating results.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 xml:space="preserve">We regard our trademarks, copyrights, patents, domain names, know-how, proprietary technologies, and similar intellectual property as critical to our success, and we rely on copyright, trademark and patent law and confidentiality, invention assignment and non-compete agreements with our employees and others to protect our proprietary rights. As of December 31, 2025, we owned over 9,600 computer software copyrights in China relating to various aspects of our operations and maintained over 35,400 trademark registrations inside China and over 6,400 trademark registrations outside China. We had approximately 44,400 trademark applications inside China and over 9,500 outside China. As of December 31, 2025, we had approximately 13,000 patents granted in China, over 1,100 patents granted outside China, approximately 24,200 patent applications pending in China and approximately 2,000 patent applications pending outside China. As of December 31, 2025, we had registered over 9,900 domain names. Our registered domain names include </w:t>
      </w:r>
      <w:r>
        <w:rPr>
          <w:rFonts w:ascii="Times New Roman" w:cs="Times New Roman" w:eastAsia="Times New Roman" w:hAnsi="Times New Roman"/>
          <w:sz w:val="18"/>
          <w:szCs w:val="18"/>
          <w:i w:val="1"/>
          <w:iCs w:val="1"/>
          <w:color w:val="auto"/>
        </w:rPr>
        <w:t>jd.com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jdl.cn, jdh.com and jingdongindustrials.com</w:t>
      </w:r>
      <w:r>
        <w:rPr>
          <w:rFonts w:ascii="Times New Roman" w:cs="Times New Roman" w:eastAsia="Times New Roman" w:hAnsi="Times New Roman"/>
          <w:sz w:val="18"/>
          <w:szCs w:val="18"/>
          <w:color w:val="auto"/>
        </w:rPr>
        <w:t>, among others.</w:t>
      </w: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12"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We maintain various insurance policies to safeguard against risks and unexpected events. We have purchased all risk property insurance covering our inventory and fixed assets such as equipment, furniture and office facilities. We maintain public liability insurance for our business activities at various locations. We also provide social security insurance including pension insurance, unemployment insurance, work-related injury insurance, maternity insurance and medical insurance for our employees. Additionally, we provide group accident insurance for all employees and supplementary medical insurance for all management and technology and other professional personnel. We consider our insurance coverage to be sufficient for our business operations in China.</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ESG is important to our long-term development. We continue to drive ESG progress with focuses on the following areas.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Sustainability</w:t>
      </w:r>
    </w:p>
    <w:p>
      <w:pPr>
        <w:spacing w:after="0" w:line="112" w:lineRule="exact"/>
        <w:rPr>
          <w:sz w:val="20"/>
          <w:szCs w:val="20"/>
          <w:color w:val="auto"/>
        </w:rPr>
      </w:pPr>
    </w:p>
    <w:p>
      <w:pPr>
        <w:ind w:left="240" w:right="100" w:firstLine="971"/>
        <w:spacing w:after="0" w:line="251" w:lineRule="auto"/>
        <w:rPr>
          <w:sz w:val="20"/>
          <w:szCs w:val="20"/>
          <w:color w:val="auto"/>
        </w:rPr>
      </w:pPr>
      <w:r>
        <w:rPr>
          <w:rFonts w:ascii="Times New Roman" w:cs="Times New Roman" w:eastAsia="Times New Roman" w:hAnsi="Times New Roman"/>
          <w:sz w:val="18"/>
          <w:szCs w:val="18"/>
          <w:color w:val="auto"/>
        </w:rPr>
        <w:t>We aim to build a green and low-carbon supply chain by actively promoting carbon-reduction measures in the fields of warehousing, packaging, transportation and beyond, and driving development of a circular economy with joint efforts with upstream and downstream partners. We have installed photovoltaic power generation systems at our intelligent industrial parks, which have supplied green electricity and reduced carbon emission by replacing fossil energy power generation. JD Logistics also achieved annual carbon reduction through green packaging promotion across the supply chain.</w:t>
      </w: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Building Customer Trust</w:t>
      </w:r>
    </w:p>
    <w:p>
      <w:pPr>
        <w:spacing w:after="0" w:line="112"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We adhere to “customer first,” providing customers high-quality products and shopping experience to build customer trust. Supplier management is important to us to serve and build trust with customers. Under our responsible procurement, we have incorporated requirements for our suppliers in the areas of business ethics, social responsibilities, occupational health and safety, environmental protection, among others, and have established the JD.com Supplier Code of Conduct.</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880"/>
          </w:cols>
          <w:pgMar w:left="320" w:top="476" w:right="6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People Oriented</w:t>
      </w:r>
    </w:p>
    <w:p>
      <w:pPr>
        <w:spacing w:after="0" w:line="112" w:lineRule="exact"/>
        <w:rPr>
          <w:sz w:val="20"/>
          <w:szCs w:val="20"/>
          <w:color w:val="auto"/>
        </w:rPr>
      </w:pPr>
    </w:p>
    <w:p>
      <w:pPr>
        <w:ind w:left="240" w:firstLine="971"/>
        <w:spacing w:after="0" w:line="270" w:lineRule="auto"/>
        <w:rPr>
          <w:sz w:val="20"/>
          <w:szCs w:val="20"/>
          <w:color w:val="auto"/>
        </w:rPr>
      </w:pPr>
      <w:r>
        <w:rPr>
          <w:rFonts w:ascii="Times New Roman" w:cs="Times New Roman" w:eastAsia="Times New Roman" w:hAnsi="Times New Roman"/>
          <w:sz w:val="18"/>
          <w:szCs w:val="18"/>
          <w:color w:val="auto"/>
        </w:rPr>
        <w:t>Our people are the driving force of our sustainable development. We are always committed to providing comprehensive employee care and welfare, offering multi-dimensional employee training and talent development programs and creating high-quality job opportunities.</w:t>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Ethics</w:t>
      </w:r>
    </w:p>
    <w:p>
      <w:pPr>
        <w:spacing w:after="0" w:line="112" w:lineRule="exact"/>
        <w:rPr>
          <w:sz w:val="20"/>
          <w:szCs w:val="20"/>
          <w:color w:val="auto"/>
        </w:rPr>
      </w:pPr>
    </w:p>
    <w:p>
      <w:pPr>
        <w:ind w:left="240" w:right="300" w:firstLine="971"/>
        <w:spacing w:after="0" w:line="258" w:lineRule="auto"/>
        <w:rPr>
          <w:sz w:val="20"/>
          <w:szCs w:val="20"/>
          <w:color w:val="auto"/>
        </w:rPr>
      </w:pPr>
      <w:r>
        <w:rPr>
          <w:rFonts w:ascii="Times New Roman" w:cs="Times New Roman" w:eastAsia="Times New Roman" w:hAnsi="Times New Roman"/>
          <w:sz w:val="18"/>
          <w:szCs w:val="18"/>
          <w:color w:val="auto"/>
        </w:rPr>
        <w:t>Guided by our commitment to “Achieving Success the Right Way,” we have implemented multiple measures to build a trustworthy business ecosystem, such as the establishment of governance systems, comprehensive training and promotion, and accountability and rewards, in the areas of compliance, information security and privacy protection, among others.</w:t>
      </w:r>
    </w:p>
    <w:p>
      <w:pPr>
        <w:spacing w:after="0" w:line="86" w:lineRule="exact"/>
        <w:rPr>
          <w:sz w:val="20"/>
          <w:szCs w:val="20"/>
          <w:color w:val="auto"/>
        </w:rPr>
      </w:pPr>
    </w:p>
    <w:p>
      <w:pPr>
        <w:ind w:left="1620" w:right="140" w:hanging="319"/>
        <w:spacing w:after="0" w:line="270"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We integrate the concept of “compliance enables development” into our business activities. We carry out integrity and compliance trainings for our employees, suppliers and business partners every year.</w:t>
      </w:r>
    </w:p>
    <w:p>
      <w:pPr>
        <w:spacing w:after="0" w:line="76" w:lineRule="exact"/>
        <w:rPr>
          <w:rFonts w:ascii="Times New Roman" w:cs="Times New Roman" w:eastAsia="Times New Roman" w:hAnsi="Times New Roman"/>
          <w:sz w:val="18"/>
          <w:szCs w:val="18"/>
          <w:color w:val="auto"/>
        </w:rPr>
      </w:pPr>
    </w:p>
    <w:p>
      <w:pPr>
        <w:ind w:left="1620" w:right="220" w:hanging="319"/>
        <w:spacing w:after="0" w:line="258"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and privacy protection: We place great importance to information security and privacy protection, and have built a comprehensive system, including policies, management, technology, supervision and training, to enhance our efforts in this field.</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Technology Empowerment and Technology for Good</w:t>
      </w:r>
    </w:p>
    <w:p>
      <w:pPr>
        <w:spacing w:after="0" w:line="112"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Our commitment to leveraging technology for good drives our innovation, constantly enhancing our customer experience and efficiency of our business partners. We actively apply our technological innovations to provide more accurate search results and recommendations to our customers, improving their shopping experience. By leveraging our intelligent supply chain capabilities, in 2025, we achieved an industry leading level of inventory turnover of 37.8 days, empowering our business partners to achieve greater operating efficiency.</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Giving Back to the Community</w:t>
      </w:r>
    </w:p>
    <w:p>
      <w:pPr>
        <w:spacing w:after="0" w:line="112" w:lineRule="exact"/>
        <w:rPr>
          <w:sz w:val="20"/>
          <w:szCs w:val="20"/>
          <w:color w:val="auto"/>
        </w:rPr>
      </w:pPr>
    </w:p>
    <w:p>
      <w:pPr>
        <w:jc w:val="both"/>
        <w:ind w:left="240" w:right="140" w:firstLine="971"/>
        <w:spacing w:after="0" w:line="258" w:lineRule="auto"/>
        <w:rPr>
          <w:sz w:val="20"/>
          <w:szCs w:val="20"/>
          <w:color w:val="auto"/>
        </w:rPr>
      </w:pPr>
      <w:r>
        <w:rPr>
          <w:rFonts w:ascii="Times New Roman" w:cs="Times New Roman" w:eastAsia="Times New Roman" w:hAnsi="Times New Roman"/>
          <w:sz w:val="18"/>
          <w:szCs w:val="18"/>
          <w:color w:val="auto"/>
        </w:rPr>
        <w:t>Leveraging our advantages and experience in building a “Responsible Supply Chain”, we make active contribution in rural revitalization, disaster relief, and philanthropy. We have worked with farmers to launch a series of high-quality landmark agricultural products, leveraging our supply chain and scale benefits to help farmers reduce operating costs and enhance competitiveness.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This section sets forth a summary of the most significant rules and regulations that affect our business activities in China.</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Amended Company Law</w:t>
      </w:r>
    </w:p>
    <w:p>
      <w:pPr>
        <w:spacing w:after="0" w:line="114" w:lineRule="exact"/>
        <w:rPr>
          <w:sz w:val="20"/>
          <w:szCs w:val="20"/>
          <w:color w:val="auto"/>
        </w:rPr>
      </w:pPr>
    </w:p>
    <w:p>
      <w:pPr>
        <w:ind w:left="240" w:right="40" w:firstLine="971"/>
        <w:spacing w:after="0" w:line="247" w:lineRule="auto"/>
        <w:rPr>
          <w:sz w:val="20"/>
          <w:szCs w:val="20"/>
          <w:color w:val="auto"/>
        </w:rPr>
      </w:pPr>
      <w:r>
        <w:rPr>
          <w:rFonts w:ascii="Times New Roman" w:cs="Times New Roman" w:eastAsia="Times New Roman" w:hAnsi="Times New Roman"/>
          <w:sz w:val="18"/>
          <w:szCs w:val="18"/>
          <w:color w:val="auto"/>
        </w:rPr>
        <w:t>The establishment, operation and management of corporate entities in the PRC are governed by the Company Law of the PRC. On December 29, 2023, the Standing Committee of the National People’s Congress promulgated the amended Company Law of the PRC, which came into effect on July 1, 2024, to supersede the prior version of PRC Company Law which was amended in October 2018. The major revisions made by the amended PRC Company Law included improving the system for the establishment and liquidation of companies, optimizing organizational structures of companies, improving the capital system of companies, strengthening the responsibilities of the controlling shareholder and management staff, and enhancing the social responsibilities of companies, etc. With respect to the period for payment of the registered capital, pursuant to the amended PRC Company Law, all shareholders of a PRC limited liability company shall fully pay up the registered capital subscribed for by such shareholders within five years since the date of establishment of the PRC limited liability company, unless otherwise provided by laws and regulations. On July 1, 2024, the State Council issued the Regulations of the State Council on the Implementation of the Registered Capital Registration Management System of the PRC Company Law, which further specified the detailed requirements and measures of the registration and management of registered capital under the amended PRC Company Law. Pursuant to such regulations, there shall be a three-year interim period from July 1, 2024 to June 30, 2027 for the existing companies established before June 30, 2024 to adjust their time limit for capital contribution.</w:t>
      </w:r>
    </w:p>
    <w:p>
      <w:pPr>
        <w:spacing w:after="0" w:line="1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0"/>
          </w:cols>
          <w:pgMar w:left="320" w:top="476" w:right="5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w:t>
      </w:r>
    </w:p>
    <w:p>
      <w:pPr>
        <w:spacing w:after="0" w:line="114" w:lineRule="exact"/>
        <w:rPr>
          <w:sz w:val="20"/>
          <w:szCs w:val="20"/>
          <w:color w:val="auto"/>
        </w:rPr>
      </w:pPr>
    </w:p>
    <w:p>
      <w:pPr>
        <w:ind w:left="240" w:right="80" w:firstLine="971"/>
        <w:spacing w:after="0" w:line="267" w:lineRule="auto"/>
        <w:rPr>
          <w:sz w:val="20"/>
          <w:szCs w:val="20"/>
          <w:color w:val="auto"/>
        </w:rPr>
      </w:pPr>
      <w:r>
        <w:rPr>
          <w:rFonts w:ascii="Times New Roman" w:cs="Times New Roman" w:eastAsia="Times New Roman" w:hAnsi="Times New Roman"/>
          <w:sz w:val="17"/>
          <w:szCs w:val="17"/>
          <w:color w:val="auto"/>
        </w:rPr>
        <w:t>Investment activities in the PRC by foreign investors are principally governed by the Catalog of Industries for Encouraging Foreign Investment, or the Catalog, and the Special Management Measures for the Access of Foreign Investment, or the Negative List, which were promulgated and are amended from time to time by the Ministry of Commerce and the NDRC, and together with the Foreign Investment Law and their respective implementation rules and ancillary regulations. The Catalog and the Negative List lay out the basic framework for foreign investment in China, classifying businesses into three categories with regard to foreign investment: “encouraged,” “restricted” and “prohibited.” Industries not listed in the Catalog or the Negative List are generally deemed as falling into a fourth category “permitted” unless specifically restricted by other PRC laws.</w:t>
      </w:r>
    </w:p>
    <w:p>
      <w:pPr>
        <w:spacing w:after="0" w:line="176"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The Ministry of Commerce and the NDRC promulgated the Catalogue of Industries for Encouraging Foreign Investment (2025 Version) on December 15, 2025, and the Special Management Measures (Negative List) for the Access of Foreign Investment (2024) on September 6, 2024, to replace the previous encouraging catalogue and negative list thereunder. Each of Jingdong Century and Shanghai Shengdayuan primarily engages in the online wholesale and retail of products, the development of computer network technology, technical consultancy and technical services, which are in the permitted category.</w:t>
      </w:r>
    </w:p>
    <w:p>
      <w:pPr>
        <w:spacing w:after="0" w:line="187" w:lineRule="exact"/>
        <w:rPr>
          <w:sz w:val="20"/>
          <w:szCs w:val="20"/>
          <w:color w:val="auto"/>
        </w:rPr>
      </w:pPr>
    </w:p>
    <w:p>
      <w:pPr>
        <w:ind w:left="240" w:right="160" w:firstLine="971"/>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promulgated the Foreign Investment Law, which has become effective on January 1, 2020 and replaced the PRC Cooperative Joint Venture Law and the Wholly Foreign-owned Enterprise Law, as well their implementation rules and ancillary regulations. The Foreign Investment Law, by means of legislation, establishes the basic framework for the access, promotion, protection and administration of foreign investment in view of investment protection and fair competition.</w:t>
      </w:r>
    </w:p>
    <w:p>
      <w:pPr>
        <w:spacing w:after="0" w:line="185"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According to the Foreign Investment Law, foreign investment shall enjoy pre-entry national treatment, except for those foreign invested entities that operate in industries deemed to be either “restricted” or “prohibited” in the “negative list.” The Foreign Investment Law provides that foreign invested entities operating in foreign “restricted” or “prohibited” industries will require entry clearance and other approvals. The Foreign Investment Law does not comment on the concept of “de facto control” or contractual arrangements with variable interest entities,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See “Item 3.D. Key Information—Risk Factors—Our current corporate structure and business operations may be affected by the PRC Foreign Investment Law.”</w:t>
      </w:r>
    </w:p>
    <w:p>
      <w:pPr>
        <w:spacing w:after="0" w:line="193" w:lineRule="exact"/>
        <w:rPr>
          <w:sz w:val="20"/>
          <w:szCs w:val="20"/>
          <w:color w:val="auto"/>
        </w:rPr>
      </w:pPr>
    </w:p>
    <w:p>
      <w:pPr>
        <w:ind w:left="240" w:right="80" w:firstLine="971"/>
        <w:spacing w:after="0" w:line="263" w:lineRule="auto"/>
        <w:rPr>
          <w:sz w:val="20"/>
          <w:szCs w:val="20"/>
          <w:color w:val="auto"/>
        </w:rPr>
      </w:pPr>
      <w:r>
        <w:rPr>
          <w:rFonts w:ascii="Times New Roman" w:cs="Times New Roman" w:eastAsia="Times New Roman" w:hAnsi="Times New Roman"/>
          <w:sz w:val="17"/>
          <w:szCs w:val="17"/>
          <w:color w:val="auto"/>
        </w:rPr>
        <w:t>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expropriate or requisition the investment of foreign investors is prohibited; mandatory technology transfer is prohibited, allows foreign investors’ funds to be freely transferred out and into the territory of PRC, which run through the entire lifecycle from the entry to the exit of foreign investment, and provide an all-around and multi-angle system to guarantee fair competition of foreign-invested enterprises in the market economy. In addition, foreign investors or the foreign investment enterprise should be imposed legal liabilities for failing to report investment information in accordance with the requirements. Furthermore, the Foreign Investment Law provides that foreign invested enterprises established according to the existing laws regulating foreign investment may maintain their structure and corporate governance within five years after the implementing of the Foreign Investment Law, which means that foreign invested enterprises may be required to adjust the structure and corporate governance in accordance with the current PRC Company Law and other laws and regulations governing the corporate governance.</w:t>
      </w:r>
    </w:p>
    <w:p>
      <w:pPr>
        <w:spacing w:after="0" w:line="182"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Implementation Rules to the Foreign Investment Law, which became effective on January 1, 2020. The implementation rules further clarified that the state encourages and promotes foreign investment, protects the lawful rights and interests of foreign investors, regulates foreign investment administration, continues to optimize foreign investment environment, and advances a higher-level opening.</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320" w:top="476" w:right="5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80" w:firstLine="971"/>
        <w:spacing w:after="0" w:line="253" w:lineRule="auto"/>
        <w:rPr>
          <w:sz w:val="20"/>
          <w:szCs w:val="20"/>
          <w:color w:val="auto"/>
        </w:rPr>
      </w:pPr>
      <w:r>
        <w:rPr>
          <w:rFonts w:ascii="Times New Roman" w:cs="Times New Roman" w:eastAsia="Times New Roman" w:hAnsi="Times New Roman"/>
          <w:sz w:val="18"/>
          <w:szCs w:val="18"/>
          <w:color w:val="auto"/>
        </w:rPr>
        <w:t>On December 30, 2019, the Ministry of Commerce and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shall submit the investment information to the competent commerce department.</w:t>
      </w:r>
    </w:p>
    <w:p>
      <w:pPr>
        <w:spacing w:after="0" w:line="185" w:lineRule="exact"/>
        <w:rPr>
          <w:sz w:val="20"/>
          <w:szCs w:val="20"/>
          <w:color w:val="auto"/>
        </w:rPr>
      </w:pPr>
    </w:p>
    <w:p>
      <w:pPr>
        <w:jc w:val="both"/>
        <w:ind w:left="240" w:firstLine="971"/>
        <w:spacing w:after="0" w:line="263" w:lineRule="auto"/>
        <w:rPr>
          <w:sz w:val="20"/>
          <w:szCs w:val="20"/>
          <w:color w:val="auto"/>
        </w:rPr>
      </w:pPr>
      <w:r>
        <w:rPr>
          <w:rFonts w:ascii="Times New Roman" w:cs="Times New Roman" w:eastAsia="Times New Roman" w:hAnsi="Times New Roman"/>
          <w:sz w:val="17"/>
          <w:szCs w:val="17"/>
          <w:color w:val="auto"/>
        </w:rPr>
        <w:t>According to the Measures for the Security Review of Foreign Investment promulgated by the NDRC and the Ministry of Commerce on December 19, 2020 and became effective on January 18, 2021, the NDRC and the Ministry of Commerce will establish a working mechanism office in charge of the security review of foreign investment. Such measures define foreign investment as direct or indirect investment by foreign investors in the PRC, which includes (i) investment in new onshore projects or establishment of wholly foreign owned onshore companies or joint ventures with foreign investors; (ii) acquiring equity or asset of onshore companies by merger and acquisition; and (iii) onshore investment by and through any other means.</w:t>
      </w:r>
    </w:p>
    <w:p>
      <w:pPr>
        <w:spacing w:after="0" w:line="4" w:lineRule="exact"/>
        <w:rPr>
          <w:sz w:val="20"/>
          <w:szCs w:val="20"/>
          <w:color w:val="auto"/>
        </w:rPr>
      </w:pPr>
    </w:p>
    <w:p>
      <w:pPr>
        <w:ind w:left="240" w:right="20"/>
        <w:spacing w:after="0" w:line="245" w:lineRule="auto"/>
        <w:rPr>
          <w:sz w:val="20"/>
          <w:szCs w:val="20"/>
          <w:color w:val="auto"/>
        </w:rPr>
      </w:pPr>
      <w:r>
        <w:rPr>
          <w:rFonts w:ascii="Times New Roman" w:cs="Times New Roman" w:eastAsia="Times New Roman" w:hAnsi="Times New Roman"/>
          <w:sz w:val="18"/>
          <w:szCs w:val="18"/>
          <w:color w:val="auto"/>
        </w:rPr>
        <w:t>Investment in certain key areas with bearing on national security, such as important cultural products and services, important information technology and internet services and products, key technologies and other important areas with bearing on national security which results in the acquisition of de facto control of investee companies, shall be filed with a specifically established office before such investment is carried out. What may constitute “onshore investment by and through any other means” or “de facto control” could be broadly interpreted under such measures. It is likely that control through contractual arrangement be regarded as de facto control based on provisions applied to security review of foreign investment in the free trade zone. Failure to make such filing may subject such foreign investor to rectification within prescribed period, and will be recorded as negative credit information of such foreign investor in the national credit information system, which would then subject such investors to joint punishment as provided by the rules. If such investor fails to or refuses to undertake such rectification, it would be ordered to dispose of the equity or asset and to take any other necessary measures so as to return to the status quo and to erase the impact to national security.</w:t>
      </w:r>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Telecommunications Businesses</w:t>
      </w:r>
    </w:p>
    <w:p>
      <w:pPr>
        <w:spacing w:after="0" w:line="114" w:lineRule="exact"/>
        <w:rPr>
          <w:sz w:val="20"/>
          <w:szCs w:val="20"/>
          <w:color w:val="auto"/>
        </w:rPr>
      </w:pPr>
    </w:p>
    <w:p>
      <w:pPr>
        <w:ind w:left="240" w:right="20" w:firstLine="971"/>
        <w:spacing w:after="0" w:line="246" w:lineRule="auto"/>
        <w:rPr>
          <w:sz w:val="20"/>
          <w:szCs w:val="20"/>
          <w:color w:val="auto"/>
        </w:rPr>
      </w:pPr>
      <w:r>
        <w:rPr>
          <w:rFonts w:ascii="Times New Roman" w:cs="Times New Roman" w:eastAsia="Times New Roman" w:hAnsi="Times New Roman"/>
          <w:sz w:val="18"/>
          <w:szCs w:val="18"/>
          <w:color w:val="auto"/>
        </w:rPr>
        <w:t xml:space="preserve">The Regulations for Administration of Foreign-invested Telecommunications Enterprises promulgated by the State Council in December 2001 and subsequently amended in September 2008, February 2016 and March 2022, set forth detailed requirements with respect to capitalization, investor qualifications and application procedures in connection with the establishment of a foreign-invested telecommunications enterprise. These regulations prohibit a foreign entity from owning more than 50% of the total equity interest in any value-added telecommunications service business in China and require the major foreign investor in any value-added telecommunications service business in China have a good and profitable record and operating experience in the industry. However, pursuant to the amendment to the Regulations for Administration of Foreign-invested Telecommunications Enterprises issued by the State Council in March 2022, which became effective on May 1, 2022, several provisions, including the requirement that such major foreign investors described above to have a good and profitable record and operating experience in the industry had been removed. In addition, the Special Management Measures (Negative List) for the Access of Foreign Investment (2024) allows foreign investors to hold more than 50% equity interests in a value-added telecommunications service provider engaging in e-commerce, domestic multiparty communication, storage-and-forward and call center businesses. Due to these regulations, we operate our </w:t>
      </w:r>
      <w:r>
        <w:rPr>
          <w:rFonts w:ascii="Times New Roman" w:cs="Times New Roman" w:eastAsia="Times New Roman" w:hAnsi="Times New Roman"/>
          <w:sz w:val="18"/>
          <w:szCs w:val="18"/>
          <w:i w:val="1"/>
          <w:iCs w:val="1"/>
          <w:color w:val="auto"/>
        </w:rPr>
        <w:t>www.jd.com</w:t>
      </w:r>
      <w:r>
        <w:rPr>
          <w:rFonts w:ascii="Times New Roman" w:cs="Times New Roman" w:eastAsia="Times New Roman" w:hAnsi="Times New Roman"/>
          <w:sz w:val="18"/>
          <w:szCs w:val="18"/>
          <w:color w:val="auto"/>
        </w:rPr>
        <w:t xml:space="preserve"> website through Jingdong 360, one of the consolidated variable interest entities. It should also be noted that according to the Announcement on Conducting the Pilot Program for Expanding the Opening-up of Value-added Telecom Services promulgated by the MIIT on April 10, 2024, a pilot program would be launched in pilot areas to remove foreign ownership ratio restrictions on certain value-added telecom services. These services include internet data centers, content delivery networks, internet access service providers, online data processing and transaction processing, information distribution platforms and delivery services within information services (excluding internet news information, online publishing, online audiovisual, and internet cultural operations), and information protection and processing services. The pilot areas are the Beijing Comprehensive Demonstration Zone for Expanding the Opening-up of the Service Industry, Lingang New Area and Leading Area for Socialist Modernization Construction of the Shanghai Free Trade Zone, Hainan Free Trade Port, and Shenzhen Demonstration Zone of Socialism with Chinese Characteristics. Foreign-invested enterprises in these pilot areas can apply for the license of these pilot services.</w:t>
      </w:r>
    </w:p>
    <w:p>
      <w:pPr>
        <w:spacing w:after="0" w:line="13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60"/>
          </w:cols>
          <w:pgMar w:left="320" w:top="476" w:right="6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63" w:lineRule="auto"/>
        <w:rPr>
          <w:sz w:val="20"/>
          <w:szCs w:val="20"/>
          <w:color w:val="auto"/>
        </w:rPr>
      </w:pPr>
      <w:r>
        <w:rPr>
          <w:rFonts w:ascii="Times New Roman" w:cs="Times New Roman" w:eastAsia="Times New Roman" w:hAnsi="Times New Roman"/>
          <w:sz w:val="17"/>
          <w:szCs w:val="17"/>
          <w:color w:val="auto"/>
        </w:rPr>
        <w:t xml:space="preserve">In July 2006, the Ministry of Information Industry, the predecessor of the MIIT, issued the Circular on Strengthening the Administration of Foreign Investment in the Operation of Value-added Telecommunications Business, pursuant to which a PRC domestic company that holds an operating license for value-added telecommunications business, which we refer to as a Value-added Telecommunication License, or a VAT License, is prohibited from leasing, transferring or selling the VAT License to foreign investors in any form and from providing any assistance, including resources, sites or facilities, to foreign investors that conduct a value-added telecommunications business illegally in the PRC. Further, the domain names and registered trademarks used by an operating company providing value-added telecommunications services must be legally owned by that company or its shareholders. In addition, the company’s operational premises and equipment must comply with the approved coverage region on its VAT License, and the company must establish and improve its internal internet and information security policies and standards and emergency management procedures. If a VAT License holder fails to comply with the requirements and also fails to remedy such non-compliance within a specified period of time, the MIIT or its local counterparts have the discretion to take administrative measures against the license holder, including revoking its VAT License. Jingdong 360, the operator of our </w:t>
      </w:r>
      <w:r>
        <w:rPr>
          <w:rFonts w:ascii="Times New Roman" w:cs="Times New Roman" w:eastAsia="Times New Roman" w:hAnsi="Times New Roman"/>
          <w:sz w:val="17"/>
          <w:szCs w:val="17"/>
          <w:i w:val="1"/>
          <w:iCs w:val="1"/>
          <w:color w:val="auto"/>
        </w:rPr>
        <w:t>www.jd.com</w:t>
      </w:r>
      <w:r>
        <w:rPr>
          <w:rFonts w:ascii="Times New Roman" w:cs="Times New Roman" w:eastAsia="Times New Roman" w:hAnsi="Times New Roman"/>
          <w:sz w:val="17"/>
          <w:szCs w:val="17"/>
          <w:color w:val="auto"/>
        </w:rPr>
        <w:t xml:space="preserve"> website, owns the domain names and registered trademarks and has the necessary personnel to operate the website.</w:t>
      </w:r>
    </w:p>
    <w:p>
      <w:pPr>
        <w:spacing w:after="0" w:line="2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Licenses and Permits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are required to hold a variety of licenses and permits in connection with various aspects of our business, including the following:</w:t>
      </w: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Value-added Telecommunication License</w:t>
      </w:r>
    </w:p>
    <w:p>
      <w:pPr>
        <w:spacing w:after="0" w:line="114" w:lineRule="exact"/>
        <w:rPr>
          <w:sz w:val="20"/>
          <w:szCs w:val="20"/>
          <w:color w:val="auto"/>
        </w:rPr>
      </w:pPr>
    </w:p>
    <w:p>
      <w:pPr>
        <w:ind w:left="240" w:firstLine="971"/>
        <w:spacing w:after="0" w:line="262" w:lineRule="auto"/>
        <w:rPr>
          <w:sz w:val="20"/>
          <w:szCs w:val="20"/>
          <w:color w:val="auto"/>
        </w:rPr>
      </w:pPr>
      <w:r>
        <w:rPr>
          <w:rFonts w:ascii="Times New Roman" w:cs="Times New Roman" w:eastAsia="Times New Roman" w:hAnsi="Times New Roman"/>
          <w:sz w:val="17"/>
          <w:szCs w:val="17"/>
          <w:color w:val="auto"/>
        </w:rPr>
        <w:t>The Telecommunications Regulations promulgated by the State Council and its related implementation rules, including the Catalog of Classification of Telecommunications Business issued by the MIIT, categorize various types of telecommunications and telecommunications-related activities into basic or value-added telecommunications services, and internet information services are classified as value-added telecommunications businesses. Under the Telecommunications Regulations, commercial operators of value-added telecommunications services must first obtain a VAT License from the MIIT or its provincial level counterparts. Pursuant to the Administrative Measures on Internet Information Services promulgated by the State Council in 2000 and amended in 2011 and 2024, a commercial ICP service operator must obtain an ICP License from the government authorities before engaging in any commercial ICP service in China. When the ICP service involves areas of news, publication and education, and if required by law or regulations, specific approval from the respective regulatory authorities must be obtained prior to applying for the ICP License from the MIIT or its provincial level counterpart. In 2017, the MIIT replaced the Administrative Measures on Telecommunications Business Operating Licenses promulgated in 2009 by promulgating the Administrative Measures on Telecommunications Business Operating Licenses, which set forth more specific provisions regarding the types of licenses required to operate value-added telecommunications services, the qualifications and procedures for obtaining such licenses and the administration and supervision of such licenses. Jingdong 360, as our ICP operator, holds an ICP License issued by the Beijing Telecommunications Administration for the provision of information services through the internet, a VAT License issued by Beijing Telecommunication Administration for the provision of online data processing and transaction processing services and also a VAT License issued by the MIIT for the provision of information services through a mobile network, the provision of internet data center services, internet access services, cellular mobile communications services provided in the means of resale, content delivery network services and storage-and-forward services.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Internet Publication License/Network Publication Service License</w:t>
      </w:r>
    </w:p>
    <w:p>
      <w:pPr>
        <w:spacing w:after="0" w:line="114" w:lineRule="exact"/>
        <w:rPr>
          <w:sz w:val="20"/>
          <w:szCs w:val="20"/>
          <w:color w:val="auto"/>
        </w:rPr>
      </w:pPr>
    </w:p>
    <w:p>
      <w:pPr>
        <w:ind w:left="240" w:right="140" w:firstLine="971"/>
        <w:spacing w:after="0" w:line="263" w:lineRule="auto"/>
        <w:rPr>
          <w:sz w:val="20"/>
          <w:szCs w:val="20"/>
          <w:color w:val="auto"/>
        </w:rPr>
      </w:pPr>
      <w:r>
        <w:rPr>
          <w:rFonts w:ascii="Times New Roman" w:cs="Times New Roman" w:eastAsia="Times New Roman" w:hAnsi="Times New Roman"/>
          <w:sz w:val="17"/>
          <w:szCs w:val="17"/>
          <w:color w:val="auto"/>
        </w:rPr>
        <w:t>As a result of institutional reform in March 2018, the National Press and Publication Administration was established and assigned to undertake the administration of publication activities in China from the State Administration of Press and Publication, Radio, Film and Television, which was integrated from the State Administration of Radio, Film and Television, and the General Administration of Press and Publication in March 2013. In June 2002, the MIIT and the General Administration of Press and Publication jointly promulgated the Tentative Administrative Measures on Internet Publication, which require internet publishers to obtain a license from the General Administration of Press and Publication to conduct internet publication activities. In February 2016, the State Administration of Press and Publication, Radio, Film and Television and the MIIT jointly issued the Administrative Measures on Network Publication, which took effect in March 2016 and replaced the Tentative Administrative Measures on Internet Publication. The Administrative Measures on Network Publication further strengthened and expanded the supervision and management on the network publication service. Pursuant to the Administrative Measures on Network Publication, entities engaging in the network publication service are required to obtain a network publication service license from a competent administrative authority; the network publishing services refer to the activities of providing network publications to the public through information networks; and the network publications refer to the digitalized works with the publishing features such as editing, producing and processing. The Administrative Measures on Network Publication also provide the detailed qualifications and application procedures for obtaining a Network Publication Service License.</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320" w:top="476" w:right="5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Internet Drug Information Service Qualification Certificate</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In July 2004, the State Food and Drug Administration, the predecessor of the National Medical Products Administration, promulgated the Administrative Measures on Internet Drug Information Service (amended in November 2017). In addition, the Standing Committee of the National People’s Congress further amended the Drug Administration Law on August 26, 2019, which became effective on December 1, 2019. These laws and measures, together with certain implementing rules and notices promulgated by the State Food and Drug Administration or the National Medical Products Administration, set out regulations governing the classification, application, approval, content, qualifications and requirements for internet drug information services. An ICP service operator that provides information regarding drugs or medical devices must obtain an Internet Drug Information Service Qualification Certificate from the applicable provincial level administrative authority. Jingdong 360 has completed the filing for drugs and medical devices internet information services. On December 19, 2025, the National Medical Products Administration released the Regulations on the Filing Administration of Internet Drug or Medical Device Information Services. According to these regulations, information service providers shall, prior to providing internet drug or medical device information services, complete the filing procedures with the provincial-level drug regulatory department of their locality and obtain a filing number.</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Courier Service Operation Permit</w:t>
      </w:r>
    </w:p>
    <w:p>
      <w:pPr>
        <w:spacing w:after="0" w:line="114" w:lineRule="exact"/>
        <w:rPr>
          <w:sz w:val="20"/>
          <w:szCs w:val="20"/>
          <w:color w:val="auto"/>
        </w:rPr>
      </w:pPr>
    </w:p>
    <w:p>
      <w:pPr>
        <w:ind w:left="240" w:right="40" w:firstLine="971"/>
        <w:spacing w:after="0" w:line="262" w:lineRule="auto"/>
        <w:rPr>
          <w:sz w:val="20"/>
          <w:szCs w:val="20"/>
          <w:color w:val="auto"/>
        </w:rPr>
      </w:pPr>
      <w:r>
        <w:rPr>
          <w:rFonts w:ascii="Times New Roman" w:cs="Times New Roman" w:eastAsia="Times New Roman" w:hAnsi="Times New Roman"/>
          <w:sz w:val="17"/>
          <w:szCs w:val="17"/>
          <w:color w:val="auto"/>
        </w:rPr>
        <w:t>Pursuant to the PRC Postal Law, the Administrative Measures on the Courier Service Market and the Administrative Measures on Courier Service Operation Permits, any entity engaging in courier services must obtain a Courier Service Operation Permit from the State Post Bureau or its local counterpart and is subject to their supervision and regulation. Entities applying for a permit to operate courier services in a certain province should apply to the provincial level post bureau, while an entity applying for a permit to operate courier services across multiple provinces should apply to the State Post Bureau. An entity holding a cross-provincial Courier Service Operation Permit may provide courier services in cities other than its place of registration by establishing new branches at these cities and then filing with the relevant provincial post bureau for those branches. In addition, pursuant to the Interim Regulations of Courier which came into effect in May 2018 and was most recently amended in April 2025, express delivery operators and their branches may open express delivery terminal outlets according to their business needs, and shall file with the local postal administrations in the places where such terminal outlets are located within 20 days from the date of opening such terminal outlets. Express delivery terminal outlets are not required to obtain a business license. The courier business must be operated within the permitted scope and valid term of the Courier Service Operation Permit. As of December 31, 2025, Beijing Jingbangda had obtained one cross-provincial Courier Service Operation Permit, and its 38 subsidiaries had obtained Courier Service Operation Permits. See “Item 3.D. Key Information—Risk Factors—Risks Related to Our Business—We are subject to a broad range of laws and regulations. Any lack of requisite approvals, licenses or permits applicable to our business or any failure to comply with applicable laws or regulations may have a material and adverse impact on our business, financial condition and results of operations.”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Road Transportation Operation Permit</w:t>
      </w:r>
    </w:p>
    <w:p>
      <w:pPr>
        <w:spacing w:after="0" w:line="11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Under the Regulations on Road Transportation promulgated by the State Council in April 2004 and as amended, and the Provisions on Administration of Road Transportation and Stations (Sites) issued by the Ministry of Transport in June 2005 and as amended, unless otherwise provided in the foregoing laws, anyone engaging in the business of operating road transportation must obtain a Road Transportation Operation Permit, and each vehicle used for shipping must have a Road Transportation Certificate. As of December 31, 2025, Xi’an Jingdong Xuncheng and its ten branches and two subsidiaries, Beijing Jingbangda and its three branches and 33 subsidiaries, and Jingdong Logistics Transportation Co., Ltd. and its subsidiary had obtained Road Transportation Operation Permits that allow these entities to provide road freight transportation services. See “Item 3.D. Key Information —Risk Factors—Risks Related to Our Business—We are subject to a broad range of laws and regulations. Any lack of requisite approvals, licenses or permits applicable to our business or any failure to comply with applicable laws or regulations may have a material and adverse impact on our business, financial condition and results of operations.”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320" w:top="476" w:right="5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Unmanned Aerial Vehicle Business License</w:t>
      </w:r>
    </w:p>
    <w:p>
      <w:pPr>
        <w:spacing w:after="0" w:line="114"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According to the Interim Regulations on the Flight Management of Unmanned Aircraft released by the Central Military Commission and the State Council of China in May 2023, the use of civilian unmanned aircraft classified as micro or smaller for flight activities requires the acquisition of a Remotely Piloted Aircraft Systems Air Operator Certificate. Xi’an Jingdong Tianhong Technology Co., Ltd, a subsidiary of Jingdong Logistics Supply Chain Co., Ltd., has obtained the Remotely Piloted Aircraft Systems Air Operator Certificate.</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Publication Operation Permit</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In May 2016, the Ministry of Commerce and the State Administration of Press and Publication, Radio, Film and Television jointly promulgated the Administrative Measures for the Publication Market (2016 Version), which replaced the Administrative Measures for the Publication Market (2011 Version). According to the Administrative Measures for the Publication Market (2016 Version), where an entity or individual is engaged in the distribution of publications via the internet or other information networks, the entity or individual is required to obtain a Publication Operation Permit. Entities and individuals engaged in the wholesale or retail of publications are required to carry out their activities within the scope of a Publication Operation Permit. Where an entity or individual has obtained the Publication Operation Permit and is engaged in the distribution of publications via the internet or other information networks within the approved business scope, the entity or individual is required to complete record filing with the publication administrative department within 15 days after launching the online distribution business. We engage in wholesale and retail of books and audio and video products and other publications mainly through entities including Jiangsu Yuanzhou, Beijing Jingdong Century Information Technology Co., Ltd., Guangzhou Jingdong Trading Limited and Shanghai Yuanmai Trading Co., Ltd., among others. Each of these entities has obtained a Publication Operation Permit.</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Food Operation Permit</w:t>
      </w:r>
    </w:p>
    <w:p>
      <w:pPr>
        <w:spacing w:after="0" w:line="114" w:lineRule="exact"/>
        <w:rPr>
          <w:sz w:val="20"/>
          <w:szCs w:val="20"/>
          <w:color w:val="auto"/>
        </w:rPr>
      </w:pPr>
    </w:p>
    <w:p>
      <w:pPr>
        <w:ind w:left="240" w:right="80" w:firstLine="971"/>
        <w:spacing w:after="0" w:line="248" w:lineRule="auto"/>
        <w:rPr>
          <w:sz w:val="20"/>
          <w:szCs w:val="20"/>
          <w:color w:val="auto"/>
        </w:rPr>
      </w:pPr>
      <w:r>
        <w:rPr>
          <w:rFonts w:ascii="Times New Roman" w:cs="Times New Roman" w:eastAsia="Times New Roman" w:hAnsi="Times New Roman"/>
          <w:sz w:val="18"/>
          <w:szCs w:val="18"/>
          <w:color w:val="auto"/>
        </w:rPr>
        <w:t>China has adopted a licensing system for food supply operations under the Food Safety Law and its implementation rules. Entities or individuals that intend to engage in food production, food distribution or food service businesses must obtain licenses or permits for such businesses. Pursuant to the Administrative Measures for Food Operation Licensing and Record-filing, issued by SAMR in June 2023 and became effective in December 2023, which replaced the Administrative Measures on Food Operation Licensing issued by the State Food and Drug Administration in August 2015 and amended in November 2017, an enterprise needs to obtain a Food Operation Permit from the local market administration before conducting food sales and catering service activities, while only filing with local market administration is needed for enterprises selling prepackaged food. We sell food, liquor and nutritional supplements through our mobile apps and websites. Our major PRC subsidiaries or their branches engaging in food operation business have obtained Food Operation Permits.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Medical Device Operation Enterprise Permit</w:t>
      </w:r>
    </w:p>
    <w:p>
      <w:pPr>
        <w:spacing w:after="0" w:line="114" w:lineRule="exact"/>
        <w:rPr>
          <w:sz w:val="20"/>
          <w:szCs w:val="20"/>
          <w:color w:val="auto"/>
        </w:rPr>
      </w:pPr>
    </w:p>
    <w:p>
      <w:pPr>
        <w:ind w:left="240" w:right="260" w:firstLine="971"/>
        <w:spacing w:after="0" w:line="267" w:lineRule="auto"/>
        <w:rPr>
          <w:sz w:val="20"/>
          <w:szCs w:val="20"/>
          <w:color w:val="auto"/>
        </w:rPr>
      </w:pPr>
      <w:r>
        <w:rPr>
          <w:rFonts w:ascii="Times New Roman" w:cs="Times New Roman" w:eastAsia="Times New Roman" w:hAnsi="Times New Roman"/>
          <w:sz w:val="17"/>
          <w:szCs w:val="17"/>
          <w:color w:val="auto"/>
        </w:rPr>
        <w:t>The Regulations on Supervision and Administration of Medical Devices, issued by the State Council in 2000 and further amended in March 2014, May 2017, June 2021 and December 2024, divides medical devices into three types. Enterprises engaging in the sale of Type II medical devices must file with the relevant drug supervision and administration authority while those engaging in the sale of Type III medical devices must obtain a Medical Device Operation Permit from the relevant drug supervision and administrative authority. Beijing Jingdong Century Information Technology Co., Ltd. (a subsidiary of Jingdong Century), Beijing Jingdong Hongjian Jiankang Co., Ltd. and certain other subsidiaries of Beijing Jingdong Jiankang Co., Ltd. have obtained Medical Device Operation Permits for the sale of several types of Type III medical devices.</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Permit for Production and Operation of Radio and TV Programs</w:t>
      </w:r>
    </w:p>
    <w:p>
      <w:pPr>
        <w:spacing w:after="0" w:line="114"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Under the Regulations on the Administration of Production of Radio and Television Programs issued by the State Administration of Radio, Film and Television in July 2004 and amended in August 2015, October 2020 and June 2025, any entities that engage in the production of radio and television programs are required to apply for a Permit for Production and Operation of Radio and TV Programs from the competent administrative authority. Entities with this permit must conduct their business operations in compliance with the approved scope of production and operation. Furthermore, entities other than radio and TV stations are prohibited from producing consolidated radio and TV programs regarding current political news or similar subjects. Jingdong 360 has obtained a Permit for Production and Operation of Radio and TV Programs, which remains valid until June 2027.</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320" w:top="476" w:right="5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E-Commerce</w:t>
      </w:r>
    </w:p>
    <w:p>
      <w:pPr>
        <w:spacing w:after="0" w:line="114" w:lineRule="exact"/>
        <w:rPr>
          <w:sz w:val="20"/>
          <w:szCs w:val="20"/>
          <w:color w:val="auto"/>
        </w:rPr>
      </w:pPr>
    </w:p>
    <w:p>
      <w:pPr>
        <w:ind w:left="240" w:right="720" w:firstLine="971"/>
        <w:spacing w:after="0" w:line="270" w:lineRule="auto"/>
        <w:rPr>
          <w:sz w:val="20"/>
          <w:szCs w:val="20"/>
          <w:color w:val="auto"/>
        </w:rPr>
      </w:pPr>
      <w:r>
        <w:rPr>
          <w:rFonts w:ascii="Times New Roman" w:cs="Times New Roman" w:eastAsia="Times New Roman" w:hAnsi="Times New Roman"/>
          <w:sz w:val="18"/>
          <w:szCs w:val="18"/>
          <w:color w:val="auto"/>
        </w:rPr>
        <w:t>China’s e-commerce industry is at a relatively early stage of development and there are few PRC laws or regulations specifically regulating the e-commerce industry.</w:t>
      </w:r>
    </w:p>
    <w:p>
      <w:pPr>
        <w:spacing w:after="0" w:line="169" w:lineRule="exact"/>
        <w:rPr>
          <w:sz w:val="20"/>
          <w:szCs w:val="20"/>
          <w:color w:val="auto"/>
        </w:rPr>
      </w:pPr>
    </w:p>
    <w:p>
      <w:pPr>
        <w:ind w:left="240" w:right="40" w:firstLine="971"/>
        <w:spacing w:after="0" w:line="262" w:lineRule="auto"/>
        <w:rPr>
          <w:sz w:val="20"/>
          <w:szCs w:val="20"/>
          <w:color w:val="auto"/>
        </w:rPr>
      </w:pPr>
      <w:r>
        <w:rPr>
          <w:rFonts w:ascii="Times New Roman" w:cs="Times New Roman" w:eastAsia="Times New Roman" w:hAnsi="Times New Roman"/>
          <w:sz w:val="17"/>
          <w:szCs w:val="17"/>
          <w:color w:val="auto"/>
        </w:rPr>
        <w:t>On August 31, 2018, the Standing Committee of the National People’s Congress promulgated the E-Commerce Law, which became effective on January 1, 2019. Pursuant to the E-Commerce Law, an e-commerce platform operator shall (i) collect, verify and register the truthful information submitted by the third-party merchants that apply to sell products or provide services on its platform, including the identities, addresses, contacts and licenses, establish registration archives and update such information on a regular basis; (ii) submit the identification information of the third-party merchants on its platform to market regulatory administrative department as required and remind the third-party merchants to complete the registration with market regulatory administrative department; (iii) submit identification information and tax-related information to tax authorities as required in accordance with the laws and regulations regarding the administration of tax collection and remind the individual third-party merchants to complete the tax registration; (iv) record and retain the information of the products and services and the transaction information for no less than 3 years;</w:t>
      </w:r>
    </w:p>
    <w:p>
      <w:pPr>
        <w:spacing w:after="0" w:line="2" w:lineRule="exact"/>
        <w:rPr>
          <w:sz w:val="20"/>
          <w:szCs w:val="20"/>
          <w:color w:val="auto"/>
        </w:rPr>
      </w:pPr>
    </w:p>
    <w:p>
      <w:pPr>
        <w:ind w:left="240" w:hanging="10"/>
        <w:spacing w:after="0" w:line="261" w:lineRule="auto"/>
        <w:tabs>
          <w:tab w:leader="none" w:pos="49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display the platform service agreement and the transaction rules or links to such information on the homepage of the platform; (vi) display the noticeable labels regarding the products or services provided by the platform operator itself on its platform, and take liabilities for such products and services; (vii) establish a credit evaluation system, display the credit evaluation rules, provide consumers with accesses to make comments on the products and services provided on its platform, and restrain from deleting such comments; and (viii) establish intellectual property protection rules, and take necessary measures when any intellectual property holder notifies the platform operator that his intellectual property rights have been infringed. An e-commerce platform operator shall take joint liabilities with the third-party merchants on its platform and may be subject to warnings and fines up to RMB2 million where (i) it fails to take necessary measures when it knows or should have known that the products or services provided by the third-party merchants on its platform do not meet the personal or property safety requirements or such third-party merchants’ other acts may infringe on the lawful rights and interests of the consumers; or (ii) it fails to take necessary measures, such as deleting and blocking information, disconnecting, terminating transactions and services, when it knows or should have known that the third-party merchants on its platform infringe any intellectual property rights of any other third party. With respect to products or services affecting the consumers’ life and health, if an e-commerce platform operator fails to verify the third-party merchants’ qualification or fails to fulfill its obligations to safeguard the safety of consumers, which results in damages to the consumers, it shall take corresponding liabilities and may be subject to warnings and fines up to RMB2 million.</w:t>
      </w:r>
    </w:p>
    <w:p>
      <w:pPr>
        <w:spacing w:after="0" w:line="180"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The Measures for the Supervision and Administration of Online Trading promulgated by the SAMR on March 15, 2021 and most recently amended in March 18, 2025, aims to regulate business activities involving the sale of commodities or provision of services through the internet and other information networks, to replace earlier measures from 2014. Pursuant to these measures, online trading operators are classified into four types: the online trading platform operators, operators on platform, operators of self-built websites, and operators that carry out online trading activities through other online services. These measures reinforce the operation requirements as provided under the E-Commerce Law and the principles of legality, rationality and necessity in the collection and use of the users’ information and disclosure of the rules, purposes, methods and scopes of collection and use of user information. These measures also provide that the online trading operators (i) shall not use false transactions, fabricated user review etc. to conduct false or misleading business promotion, so as to defraud or mislead consumers and (ii) shall not eliminate or restrict competition, damage or ruin the competitor’s reputation. Furthermore, the measures impose a series of regulatory requirements on new forms of online trading, such as online social networking e-commerce and online livestreaming e-commerce.</w:t>
      </w:r>
    </w:p>
    <w:p>
      <w:pPr>
        <w:spacing w:after="0" w:line="188" w:lineRule="exact"/>
        <w:rPr>
          <w:sz w:val="20"/>
          <w:szCs w:val="20"/>
          <w:color w:val="auto"/>
        </w:rPr>
      </w:pPr>
    </w:p>
    <w:p>
      <w:pPr>
        <w:ind w:left="240" w:right="40" w:firstLine="971"/>
        <w:spacing w:after="0" w:line="250" w:lineRule="auto"/>
        <w:rPr>
          <w:sz w:val="20"/>
          <w:szCs w:val="20"/>
          <w:color w:val="auto"/>
        </w:rPr>
      </w:pPr>
      <w:r>
        <w:rPr>
          <w:rFonts w:ascii="Times New Roman" w:cs="Times New Roman" w:eastAsia="Times New Roman" w:hAnsi="Times New Roman"/>
          <w:sz w:val="18"/>
          <w:szCs w:val="18"/>
          <w:color w:val="auto"/>
        </w:rPr>
        <w:t>According to the Measures for Supervision and Administration of Rule of Online Trading Platform, which was jointly promulgated by the SAMR and the CAC on December 18, 2025, and came into effect on February 1, 2026, an operator of an online trading platform shall strengthen the administration of joining to and exiting from, and the trading activities in, its platform through formulation, modification and implementation of platform rules, and fulfill their responsibilities in areas such as assurance of the quality of goods and services, protection of consumer rights, fair competition, credit management, information security management, protection of minors online, protection of personal data, and cybersecurity and data protection in accordance with the law.</w:t>
      </w:r>
    </w:p>
    <w:p>
      <w:pPr>
        <w:spacing w:after="0" w:line="187" w:lineRule="exact"/>
        <w:rPr>
          <w:sz w:val="20"/>
          <w:szCs w:val="20"/>
          <w:color w:val="auto"/>
        </w:rPr>
      </w:pPr>
    </w:p>
    <w:p>
      <w:pPr>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In March 2016, the State Taxation Administration, the Ministry of Finance and the General Administration of Customs jointly issued the Circular on Tax Policy for Cross-Border E-commerce Retail Imports, which took effect in April 2016. Pursuant to this circular, goods imported through the cross-border e-commerce retail are subject to tariff, import value-added tax, and consumption tax based on the types of goods. Individuals purchasing any goods imported through cross-border e-commerce retail are taxpayers, and e-commerce companies, companies operating e-commerce transaction platforms or logistic companies are required to withhold the taxes.</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are subject to these measures as a result of our online retail marketplace business.</w:t>
      </w:r>
    </w:p>
    <w:p>
      <w:pPr>
        <w:spacing w:after="0" w:line="1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980"/>
          </w:cols>
          <w:pgMar w:left="320" w:top="476" w:right="5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Content</w:t>
      </w:r>
    </w:p>
    <w:p>
      <w:pPr>
        <w:spacing w:after="0" w:line="114" w:lineRule="exact"/>
        <w:rPr>
          <w:sz w:val="20"/>
          <w:szCs w:val="20"/>
          <w:color w:val="auto"/>
        </w:rPr>
      </w:pPr>
    </w:p>
    <w:p>
      <w:pPr>
        <w:ind w:left="240" w:right="40" w:firstLine="971"/>
        <w:spacing w:after="0" w:line="262" w:lineRule="auto"/>
        <w:rPr>
          <w:sz w:val="20"/>
          <w:szCs w:val="20"/>
          <w:color w:val="auto"/>
        </w:rPr>
      </w:pPr>
      <w:r>
        <w:rPr>
          <w:rFonts w:ascii="Times New Roman" w:cs="Times New Roman" w:eastAsia="Times New Roman" w:hAnsi="Times New Roman"/>
          <w:sz w:val="17"/>
          <w:szCs w:val="17"/>
          <w:color w:val="auto"/>
        </w:rPr>
        <w:t>The Administrative Measures on Internet Information Services specify that internet information services regarding news, publications and education, among other things, are to be examined, approved and regulated by the authorities. Internet information providers are prohibited from providing services beyond those included in the scope of their ICP licenses or filings. Furthermore, these measures clearly specify a list of prohibited content. Internet information providers are prohibited from producing, copying, publishing or distributing information that is humiliating or defamatory to others or that infringes the lawful rights and interests of others. Internet information providers that violate the prohibition may face criminal charges or administrative sanctions by the PRC authorities. Internet information providers must monitor and control the information posted on their websites. If any prohibited content is found, they must remove the offending content immediately, keep a record of it and report to the authorities. Furthermore, in 2019, the CAC issued the Provisions on the Management of Network Information Content Ecology, which became effective on March 1, 2020, to further strengthen the regulation and management of network information content. Pursuant to the Provisions on the Management of Network Information Content Ecology, each network information content service platform is required, among others, (i) not to disseminate any information prohibited by laws and regulations, such as information jeopardizing national security; (ii) to strengthen the examination of advertisements published on such network information content service platform; (iii) to promulgate management rules and platform convention and improve user agreement, such that such network information content service platform could clarify users’ rights and obligations and perform management responsibilities required by laws, regulations, rules and convention; (iv) to establish convenient means for complaints and reports; and (v) to prepare annual work report regarding its management of network information content ecology. In addition, a network information content service platform must not, among others, (i) utilize new technologies such as deep learning and virtual reality to engage in activities prohibited by laws and regulations; (ii) engage in online traffic fraud, malicious traffic rerouting and other activities related to fraudulent account, illegal transaction account or maneuver of users’ account; or (iii) infringe a third party’s legitimate rights or seek illegal interests by way of interfering with information display.</w:t>
      </w:r>
    </w:p>
    <w:p>
      <w:pPr>
        <w:spacing w:after="0" w:line="177" w:lineRule="exact"/>
        <w:rPr>
          <w:sz w:val="20"/>
          <w:szCs w:val="20"/>
          <w:color w:val="auto"/>
        </w:rPr>
      </w:pPr>
    </w:p>
    <w:p>
      <w:pPr>
        <w:ind w:left="240" w:right="180" w:firstLine="971"/>
        <w:spacing w:after="0" w:line="251" w:lineRule="auto"/>
        <w:rPr>
          <w:sz w:val="20"/>
          <w:szCs w:val="20"/>
          <w:color w:val="auto"/>
        </w:rPr>
      </w:pPr>
      <w:r>
        <w:rPr>
          <w:rFonts w:ascii="Times New Roman" w:cs="Times New Roman" w:eastAsia="Times New Roman" w:hAnsi="Times New Roman"/>
          <w:sz w:val="18"/>
          <w:szCs w:val="18"/>
          <w:color w:val="auto"/>
        </w:rPr>
        <w:t>On September 15, 2021, the CAC promulgated the Opinions on Further Enforcing Responsibilities on Website Platforms as the Main Responsible Party for Information Content Management. In accordance with the Opinions, website platforms are required to perform specific responsibilities as the main responsible party for information content management, including, among others, enhancing the platform community rules, strengthening the regulation and management of accounts, improving the content vetting mechanism, improving the quality of information content, managing the dissemination of information content, and strengthening the management of key functions.</w:t>
      </w:r>
    </w:p>
    <w:p>
      <w:pPr>
        <w:spacing w:after="0" w:line="187" w:lineRule="exact"/>
        <w:rPr>
          <w:sz w:val="20"/>
          <w:szCs w:val="20"/>
          <w:color w:val="auto"/>
        </w:rPr>
      </w:pPr>
    </w:p>
    <w:p>
      <w:pPr>
        <w:ind w:left="240" w:right="60" w:firstLine="971"/>
        <w:spacing w:after="0" w:line="269" w:lineRule="auto"/>
        <w:rPr>
          <w:sz w:val="20"/>
          <w:szCs w:val="20"/>
          <w:color w:val="auto"/>
        </w:rPr>
      </w:pPr>
      <w:r>
        <w:rPr>
          <w:rFonts w:ascii="Times New Roman" w:cs="Times New Roman" w:eastAsia="Times New Roman" w:hAnsi="Times New Roman"/>
          <w:sz w:val="17"/>
          <w:szCs w:val="17"/>
          <w:color w:val="auto"/>
        </w:rPr>
        <w:t>Internet information in China is also regulated and restricted from a national security standpoint. The National People’s Congress, China’s national legislative body, has enacted the Decisions on Maintaining Internet Security, which may subject violators to criminal punishment in China for any effort to: (1) gain improper entry into a computer or system of strategic importance; (2) disseminate politically disruptive information; (3) leak state secrets; (4) spread false commercial information; or (5) infringe intellectual property rights. The Ministry of Public Security has promulgated measures that prohibit use of the internet in ways which, among other things, result in a leakage of state secrets or a spread of socially destabilizing content.</w:t>
      </w: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Information Security</w:t>
      </w:r>
    </w:p>
    <w:p>
      <w:pPr>
        <w:spacing w:after="0" w:line="114"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The National People’s Congress has enacted legislation that prohibits use of the internet that breaches the public security, disseminates socially destabilizing content or leaks state secrets. Breach of public security includes breach of national security and infringement on legal rights and interests of the state, society or citizens. Socially destabilizing content includes any content that incites defiance or violations of PRC laws or regulations or subversion of the PRC government or its political system, spreads socially disruptive rumors or involves cult activities, superstition, obscenities, pornography, gambling or violence. State secrets are defined broadly to include information concerning PRC national defense, state affairs and other matters as determined by the PRC authorities.</w:t>
      </w:r>
    </w:p>
    <w:p>
      <w:pPr>
        <w:spacing w:after="0" w:line="187" w:lineRule="exact"/>
        <w:rPr>
          <w:sz w:val="20"/>
          <w:szCs w:val="20"/>
          <w:color w:val="auto"/>
        </w:rPr>
      </w:pPr>
    </w:p>
    <w:p>
      <w:pPr>
        <w:jc w:val="both"/>
        <w:ind w:left="240" w:right="260" w:firstLine="971"/>
        <w:spacing w:after="0" w:line="258" w:lineRule="auto"/>
        <w:rPr>
          <w:sz w:val="20"/>
          <w:szCs w:val="20"/>
          <w:color w:val="auto"/>
        </w:rPr>
      </w:pPr>
      <w:r>
        <w:rPr>
          <w:rFonts w:ascii="Times New Roman" w:cs="Times New Roman" w:eastAsia="Times New Roman" w:hAnsi="Times New Roman"/>
          <w:sz w:val="18"/>
          <w:szCs w:val="18"/>
          <w:color w:val="auto"/>
        </w:rPr>
        <w:t>Pursuant to applicable regulations, ICP operators must complete mandatory security filing procedures and regularly update information security and monitoring systems for their websites with local public security authorities, and must also report any public dissemination of prohibited content.</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320" w:top="476" w:right="5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20" w:firstLine="971"/>
        <w:spacing w:after="0" w:line="249" w:lineRule="auto"/>
        <w:rPr>
          <w:sz w:val="20"/>
          <w:szCs w:val="20"/>
          <w:color w:val="auto"/>
        </w:rPr>
      </w:pPr>
      <w:r>
        <w:rPr>
          <w:rFonts w:ascii="Times New Roman" w:cs="Times New Roman" w:eastAsia="Times New Roman" w:hAnsi="Times New Roman"/>
          <w:sz w:val="18"/>
          <w:szCs w:val="18"/>
          <w:color w:val="auto"/>
        </w:rPr>
        <w:t>In December 2015, the Standing Committee of the National People’s Congress promulgated the Anti-Terrorism Law of the PRC, which took effect on January 1, 2016 and was amended on April 27, 2018. According to the law, telecommunication service operators or internet service providers shall (i) provide technical interfaces, decryption and other technical support and assistance for the competent departments to prevent and investigate terrorist activities; (ii) implement network security and information monitoring systems as well as safety and technical prevention measures to avoid the dissemination of terrorism information, delete the terrorism information, immediately halt its dissemination, keep records and report to the competent departments once the terrorism information is discovered; and (iii) examine customer identities before providing services. Any violation of the law may result in severe penalties, including substantial fines.</w:t>
      </w:r>
    </w:p>
    <w:p>
      <w:pPr>
        <w:spacing w:after="0" w:line="189" w:lineRule="exact"/>
        <w:rPr>
          <w:sz w:val="20"/>
          <w:szCs w:val="20"/>
          <w:color w:val="auto"/>
        </w:rPr>
      </w:pPr>
    </w:p>
    <w:p>
      <w:pPr>
        <w:ind w:left="240" w:firstLine="971"/>
        <w:spacing w:after="0" w:line="260" w:lineRule="auto"/>
        <w:rPr>
          <w:sz w:val="20"/>
          <w:szCs w:val="20"/>
          <w:color w:val="auto"/>
        </w:rPr>
      </w:pPr>
      <w:r>
        <w:rPr>
          <w:rFonts w:ascii="Times New Roman" w:cs="Times New Roman" w:eastAsia="Times New Roman" w:hAnsi="Times New Roman"/>
          <w:sz w:val="17"/>
          <w:szCs w:val="17"/>
          <w:color w:val="auto"/>
        </w:rPr>
        <w:t>In November 2016, the Standing Committee of the National People’s Congress promulgated the Cyber Security Law of the PRC, which took effect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On October 28, 2025, the Standing Committee of the National People’s Congress issued the Decision on Amending the Cyber Security Law of the PRC, which became effective on January 1, 2026. Pursuant to the amended Cyber Security Law of the PRC, the violations of the Cyber Security Law of the PRC shall be subject to more punishment. Specifically, the amended Cyber Security Law of the PRC enhanced the punishment against violations of the network operation security obligation, the critical information infrastructure operation security obligation, and the network information security obligation by increasing the upper limits of the fines and imposing additional punishment. The amended Cyber Security Law of the PRC also enhanced the punishment against personal information infringement by referencing to the punishment under applicable laws which would include relevant punishment under the PRC Personal Information Protection Law. On December 28, 2021, the CAC and other twelve PRC governmental authorities jointly issued the Cybersecurity Review Measures, with effect from February 15, 2022, which provide detailed cybersecurity review procedures for the purchase of network products and services by operators of “critical information infrastructure” or the data processing activities by a network platform operator. According to the Cybersecurity Review Measures, “network products and services” primarily refer to core network equipment, important communication product, high-performance computers and servers, mass storage equipment, large databases and applications, network security equipment, cloud computing services, and other network products and services that may have an important impact on the security of critical information infrastructure, cyber security or data security. 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Standing Committee of the PRC National People’s Congress published the Data Security Law of the People’s Republic of China, which took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shall be subject to stricter management system.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territory of the PRC shall not provide any foreign judicial body and law enforcement body with any data without the approval of the competent PRC governmental authorities. As the Data Security Law was recently promulgated, we may be required to make further adjustments to our business practices to comply with this law, as well as any adjustments that may be required by the ultimate Personal Information Protection Law.</w:t>
      </w:r>
    </w:p>
    <w:p>
      <w:pPr>
        <w:spacing w:after="0" w:line="200" w:lineRule="exact"/>
        <w:rPr>
          <w:sz w:val="20"/>
          <w:szCs w:val="20"/>
          <w:color w:val="auto"/>
        </w:rPr>
      </w:pPr>
    </w:p>
    <w:p>
      <w:pPr>
        <w:spacing w:after="0" w:line="214" w:lineRule="exact"/>
        <w:rPr>
          <w:sz w:val="20"/>
          <w:szCs w:val="20"/>
          <w:color w:val="auto"/>
        </w:rPr>
      </w:pPr>
    </w:p>
    <w:p>
      <w:pPr>
        <w:ind w:left="240" w:right="260" w:firstLine="971"/>
        <w:spacing w:after="0" w:line="251" w:lineRule="auto"/>
        <w:rPr>
          <w:sz w:val="20"/>
          <w:szCs w:val="20"/>
          <w:color w:val="auto"/>
        </w:rPr>
      </w:pPr>
      <w:r>
        <w:rPr>
          <w:rFonts w:ascii="Times New Roman" w:cs="Times New Roman" w:eastAsia="Times New Roman" w:hAnsi="Times New Roman"/>
          <w:sz w:val="18"/>
          <w:szCs w:val="18"/>
          <w:color w:val="auto"/>
        </w:rPr>
        <w:t>On July 6, 2021, certain PRC regulatory authorities issued Opinions on Strictly Cracking Down on Illegal Securities Activities, which, among others, provides for improving the laws and regulations on data security, cross-border data transmission, and confidential information management. It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87" w:lineRule="exact"/>
        <w:rPr>
          <w:sz w:val="20"/>
          <w:szCs w:val="20"/>
          <w:color w:val="auto"/>
        </w:rPr>
      </w:pPr>
    </w:p>
    <w:p>
      <w:pPr>
        <w:ind w:left="240" w:right="100" w:firstLine="971"/>
        <w:spacing w:after="0" w:line="247" w:lineRule="auto"/>
        <w:rPr>
          <w:sz w:val="20"/>
          <w:szCs w:val="20"/>
          <w:color w:val="auto"/>
        </w:rPr>
      </w:pPr>
      <w:r>
        <w:rPr>
          <w:rFonts w:ascii="Times New Roman" w:cs="Times New Roman" w:eastAsia="Times New Roman" w:hAnsi="Times New Roman"/>
          <w:sz w:val="18"/>
          <w:szCs w:val="18"/>
          <w:color w:val="auto"/>
        </w:rPr>
        <w:t>On July 30, 2021, the State Council issued the Regulations on Protection of Critical Information Infrastructure. Pursuant to these regulations, critical information infrastructure shall mean the important network facilities or information systems of key industries or fields such as public communication and information service, energy, transportation, water conservation, finance, public services, e-government affairs and national defense science, and important network facilities or information systems which may endanger national security, people’s livelihood and public interest once there occur damage, malfunctioning or data leakage to them. The Regulations provide that no individual or organization may carry out any illegal activity of intruding into, interfering with, or sabotaging any critical information infrastructures, or endanger the security of any critical information infrastructures. The Regulations also require that critical information infrastructure operators shall establish a cybersecurity protection system and accountability system, and that the main responsible person of a critical information infrastructure operator shall take full responsibility for the security protection of the critical information infrastructures operated by it. In addition, the administration departments for each important industry and sector shall be responsible for formulating the rule of critical information infrastructure determination applicable to their respective industry or sector, and determine the critical information infrastructure operators in their industry or sector.</w:t>
      </w:r>
    </w:p>
    <w:p>
      <w:pPr>
        <w:sectPr>
          <w:pgSz w:w="11900" w:h="16838" w:orient="portrait"/>
          <w:cols w:equalWidth="0" w:num="1">
            <w:col w:w="11000"/>
          </w:cols>
          <w:pgMar w:left="320" w:top="476" w:right="579" w:bottom="1440" w:gutter="0" w:footer="0" w:header="0"/>
        </w:sectPr>
      </w:pP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000"/>
          </w:cols>
          <w:pgMar w:left="320" w:top="476" w:right="57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On July 12, 2021, the MIIT and two other authorities jointly issued the Provisions on the Administration of Security Vulnerabilities of Network Products. The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offences shall not provide technical support, advertising, payment settlement and other assistance to the offenders. According to the Provisions, network product providers, network operators, and platforms collecting network product security vulnerabilities shall establish and improve channels for receiving network product security vulnerability information and keep such channels available, and retain network product security vulnerability information reception logs for at least six months. The Provisions also bans provision of undisclosed vulnerabilities to overseas organizations or individuals other than to the product providers.</w:t>
      </w:r>
    </w:p>
    <w:p>
      <w:pPr>
        <w:spacing w:after="0" w:line="193" w:lineRule="exact"/>
        <w:rPr>
          <w:sz w:val="20"/>
          <w:szCs w:val="20"/>
          <w:color w:val="auto"/>
        </w:rPr>
      </w:pPr>
    </w:p>
    <w:p>
      <w:pPr>
        <w:ind w:left="240" w:right="500" w:firstLine="971"/>
        <w:spacing w:after="0" w:line="270" w:lineRule="auto"/>
        <w:rPr>
          <w:sz w:val="20"/>
          <w:szCs w:val="20"/>
          <w:color w:val="auto"/>
        </w:rPr>
      </w:pPr>
      <w:r>
        <w:rPr>
          <w:rFonts w:ascii="Times New Roman" w:cs="Times New Roman" w:eastAsia="Times New Roman" w:hAnsi="Times New Roman"/>
          <w:sz w:val="17"/>
          <w:szCs w:val="17"/>
          <w:color w:val="auto"/>
        </w:rPr>
        <w:t>On July 7, 2022, the CAC promulgated the Security Assessment Measures for Outbound Data Transfer, which became effective on September 1, 2022. These measures provide for the circumstances under which a data processor shall be subject to security assessment, including</w:t>
      </w:r>
    </w:p>
    <w:p>
      <w:pPr>
        <w:spacing w:after="0" w:line="1" w:lineRule="exact"/>
        <w:rPr>
          <w:sz w:val="20"/>
          <w:szCs w:val="20"/>
          <w:color w:val="auto"/>
        </w:rPr>
      </w:pPr>
    </w:p>
    <w:p>
      <w:pPr>
        <w:ind w:left="240" w:right="20" w:hanging="10"/>
        <w:spacing w:after="0" w:line="259" w:lineRule="auto"/>
        <w:tabs>
          <w:tab w:leader="none" w:pos="45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data processor provides important data abroad; (ii) where a critical information infrastructure operator or a data processor that processes personal information of more than one million individuals provides personal information abroad; (iii) where a data processor that has exported personal information of over 100,000 individuals or sensitive personal information of over 10,000 individuals in total since January 1 of the previous year provides personal information abroad; and (iv) other circumstances prescribed by the CAC. On March 22, 2024, the CAC issued the Provisions on Facilitating and Regulating Cross-Border Data Flows (the “Cross-Border Data Flows Provisions”), which requires that data processors shall apply to the national cyberspace administration for security assessment of cross-border data transfer under the following circumstances, through the local cyberspace administration at the provincial level: (i) critical information infrastructure operators providing personal information or important data overseas; and</w:t>
      </w:r>
    </w:p>
    <w:p>
      <w:pPr>
        <w:spacing w:after="0" w:line="3" w:lineRule="exact"/>
        <w:rPr>
          <w:rFonts w:ascii="Times New Roman" w:cs="Times New Roman" w:eastAsia="Times New Roman" w:hAnsi="Times New Roman"/>
          <w:sz w:val="17"/>
          <w:szCs w:val="17"/>
          <w:color w:val="auto"/>
        </w:rPr>
      </w:pPr>
    </w:p>
    <w:p>
      <w:pPr>
        <w:ind w:left="240" w:right="60" w:hanging="10"/>
        <w:spacing w:after="0" w:line="245" w:lineRule="auto"/>
        <w:tabs>
          <w:tab w:leader="none" w:pos="49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processors other than critical information infrastructure operators providing important data overseas, or cumulatively providing overseas personal information (excluding sensitive personal information) of more than one million individuals or sensitive personal information of more than 10,000 individuals since January 1 of a given year and up until the end of that year. The Cross-Border Data Flows Provisions also provides that, where the data processors other than critical information infrastructure operators provide personal information (excluding sensitive personal information) overseas of not less than 100,000 but not more than one million individuals, or the sensitive personal information of not more than 10,000 individuals, cumulatively since January 1 of a given year and up until the end of that year, it shall conclude a standard contract with overseas recipients or obtain the authentication on personal information protection. Articles 3 to 6 of the Cross-Border Data Flows Provisions mainly provide the exemptions from applying for the security assessment or authentication, and entering into the standard contracts. Exemptions include but are not limited to international trade, cross-border transportation, academic cooperation, transactional manufacturing, marketing and other activities that do not involve personal information or important data, among others.</w:t>
      </w:r>
    </w:p>
    <w:p>
      <w:pPr>
        <w:spacing w:after="0" w:line="196"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On September 24, 2024, the State Council issued the Administrative Measures for Internet Data Security, which came into effect on January 1, 2025. These measures stipulate that internet data processors who carry out internet data processing activities that affect or may affect national security shall undergo national security review in accordance with relevant state regulations. In addition, the Administrative Measures for Internet Data Security also regulate other specific requirements in respect of the data processing activities conducted by data processors in the view of personal data protection, important data safety, data cross-broader safety management and obligations of network platform service provider. Internet data processors shall identify and declare important data in accordance with relevant state regulations. For data confirmed as important data, relevant regions and departments shall promptly inform internet data processors or make public announcements. Internet data processors shall fulfill their responsibilities for internet data security protection. Processors of important data shall designate persons in charge of data security and establish data security management institutions. Internet data security management institutions shall fulfill their responsibilities for data security protection. Processors of important data shall conduct risk assessments of their data processing activities on an annual basis and submit risk assessment reports to relevant competent departments at or above the provincial level. Relevant competent departments shall promptly notify the cyberspace affairs departments and public security organs at the same level. Network platform service providers shall clarify the data security protection obligations of third-party product and service providers accessing their platforms through platform rules or contracts, and urge third-party product and service providers to strengthen cyber data security management. When network platform service providers push information to individuals through automated decision-making methods, they shall set up easy-to-understand, accessible and operable personalized recommendation closing options, and provide users with functions such as refusing to receive pushed information and deleting user tags for their personal characteristics. Furthermore, the Provisions on Technological Measures for Internet Security Protection, promulgated by the Ministry of Public Security and became effective in March 2006, require all ICP operators to keep records of certain information about its users (including user registration information, log-in and log-out time, IP address, content and time of posts by users) for at least 60 days and submit the above information as required by laws and regulations. The Decision on Strengthening Network Information Protection, which was promulgated by the Standing Committee of the National People’s Congress in December 2012, states that ICP operators must request identity information from users when ICP operators provide information publication services to the users. If ICP operators come across prohibited information, they must immediately cease the transmission of such information, take measures such as elimination, keep records, and report to the government authorities.</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320" w:top="476" w:right="5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On October 21, 2019, the Supreme People’s Court and the Supreme People’s Procuratorate of the PRC jointly issued the Interpretations on Certain Issues Regarding the Applicable of Law in the Handling of Criminal Case Involving Illegal Use of Information Networks and Assisting Committing Internet Crimes, which came into effect on November 1, 2019, and further clarifies the meaning of Internet service provider and the severe situations of the crimes.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Internet Privacy</w:t>
      </w:r>
    </w:p>
    <w:p>
      <w:pPr>
        <w:spacing w:after="0" w:line="114"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The PRC Constitution states that PRC law protects the freedom and privacy of communications of citizens and prohibits infringement of these rights. In recent years, PRC government authorities have enacted legislation on internet use to protect personal information from any unauthorized disclosure. The Decision on Strengthening Network Information Protection provides that electronic information that identifies a citizen or involves privacy of any citizen is protected by law and must not be unlawfully collected or provided to others. ICP operators collecting or using personal electronic information of citizens must specify the purposes, manners and scopes of information collection and uses, obtain consent of the relevant citizens, and keep the collected personal information confidential. ICP operators are prohibited from disclosing, tampering with, damaging, selling or illegally providing others with, collected personal information. ICP operators are required to take technical and other measures to prevent the collected personal information from any unauthorized disclosure, damage or loss. The Administrative Measures on Internet Information Services prohibit an ICP operator from insulting or slandering a third party or infringing upon the lawful rights and interests of a third party. According to the Provisions on Protection of Personal Information of Telecommunication and Internet Users, which was promulgated by MIIT and became effective in September 2013, telecommunication business operators and ICP operators are responsible for the security of the personal information of users they collect or use in the course of their provision of services. Without obtaining the consent from the users, telecommunication business operators and ICP operators may not collect or use the users’ personal information. The personal information collected or used in the course of provision of services by the telecommunication business operators or ICP operators must be kept in strict confidence, and may not be divulged, tampered with or damaged, and may not be sold or illegally provided to others. The ICP operators are required to take certain measures to prevent any divulgence of, damage to, tampering with or loss of users’ personal information. In accordance with the Cyber Security Law, network operators are required to collect and use personal information in compliance with the principles of legitimacy, properness and necessity, and strictly within the scope of authorization by the subject of personal information unless otherwise prescribed by laws or regulations. In the event of any unauthorized disclosure, damage or loss of collected personal information, network operators must take immediate remedial measures, notify the affected users and report the incidents to the authorities in a timely manner. If any user knows that a network operator illegally collects and uses his or her personal information in violation of laws, regulations or any agreement with the user, or the collected and stored personal information is inaccurate or wrong, the user has the right to request the network operator to delete or correct the collected personal information.</w:t>
      </w:r>
    </w:p>
    <w:p>
      <w:pPr>
        <w:spacing w:after="0" w:line="197" w:lineRule="exact"/>
        <w:rPr>
          <w:sz w:val="20"/>
          <w:szCs w:val="20"/>
          <w:color w:val="auto"/>
        </w:rPr>
      </w:pPr>
    </w:p>
    <w:p>
      <w:pPr>
        <w:ind w:left="240" w:firstLine="971"/>
        <w:spacing w:after="0" w:line="246" w:lineRule="auto"/>
        <w:rPr>
          <w:sz w:val="20"/>
          <w:szCs w:val="20"/>
          <w:color w:val="auto"/>
        </w:rPr>
      </w:pPr>
      <w:r>
        <w:rPr>
          <w:rFonts w:ascii="Times New Roman" w:cs="Times New Roman" w:eastAsia="Times New Roman" w:hAnsi="Times New Roman"/>
          <w:sz w:val="18"/>
          <w:szCs w:val="18"/>
          <w:color w:val="auto"/>
        </w:rPr>
        <w:t>The telecommunications authorities are further authorized to order ICP operators to rectify unauthorized disclosure. ICP operators are subject to legal liability, including warnings, fines, confiscation of illegal gains, revocation of licenses or filings, closing of the websites, administrative punishment, criminal liabilities, or civil liabilities, if they violate provisions on internet privacy. Pursuant to the Ninth Amendment to the Criminal Law issued by the Standing Committee of the National People’s Congress in August 2015 and becoming effective in November 2015, the standards of crime of infringing citizens’ personal information were amended accordingly and the criminal culpability of unlawful collection, transaction, and provision of personal information has been reinforced. In addition, any ICP provider that fails to fulfill the obligations related to information cybersecurity administration as required by applicable laws and refuses to rectify upon orders, will be subject to criminal liability for (i) dissemination of illegal information in large scale; (ii) severe effect due to the leakage of the client’s information; (iii) serious loss of evidence of criminal activities; or (iv) other severe situations, and any individual or entity that (x) sells or provides personal information to others unlawfully, or (y) steals or illegally obtains any personal information, will be subject to criminal liability in severe situations. In addition, the Interpretations of the Supreme People’s Court and the Supreme People’s Procuratorate of the PRC on Several Issues Concerning the Application of Law in Handling Criminal Cases of Infringing Personal Information, effective in June 2017, have clarified certain standards for the conviction and sentencing in relation to personal information infringement. The PRC government has the power and authority to order ICP operators to turn over personal information if an internet user posts any prohibited content or engages in illegal activities on the internet. The Civil Code further provides in a stand-alone chapter of right of personality and reiterate that the personal information of a natural person shall be protected by the law. Any organization or individual shall legitimately obtain such personal information of others in due course on a need-to-know basis and ensure the safety and privacy of such information, and refrain from excessively handling or using such information.</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320" w:top="476" w:right="5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60" w:lineRule="auto"/>
        <w:rPr>
          <w:sz w:val="20"/>
          <w:szCs w:val="20"/>
          <w:color w:val="auto"/>
        </w:rPr>
      </w:pPr>
      <w:r>
        <w:rPr>
          <w:rFonts w:ascii="Times New Roman" w:cs="Times New Roman" w:eastAsia="Times New Roman" w:hAnsi="Times New Roman"/>
          <w:sz w:val="17"/>
          <w:szCs w:val="17"/>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 Security Law and should be responsible for the security of personal information obtained from users and take effective measures to strengthen the personal information protection. Furthermore, app operators should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 On November 28, 2019, the CAC, the MIIT, the Ministry of Public Security and the SAMR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collection and use,” “failure to expressly state the purpose, manner and scope of collecting and using personal information,” “collection and use of personal information without consent of users,” “collecting personal information irrelevant to the services provided by such app in violation of the principle of necessity,” “provision of personal information to others without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w:t>
      </w:r>
    </w:p>
    <w:p>
      <w:pPr>
        <w:spacing w:after="0" w:line="13" w:lineRule="exact"/>
        <w:rPr>
          <w:sz w:val="20"/>
          <w:szCs w:val="20"/>
          <w:color w:val="auto"/>
        </w:rPr>
      </w:pPr>
    </w:p>
    <w:p>
      <w:pPr>
        <w:jc w:val="center"/>
        <w:ind w:left="240" w:right="120" w:hanging="10"/>
        <w:spacing w:after="0" w:line="259" w:lineRule="auto"/>
        <w:tabs>
          <w:tab w:leader="none" w:pos="49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modifying any user’s settings for activating the permission for collecting any personal information without such user’s consent; (vi) using users’ personal information and any algorithms to directionally push any information, without providing the option of non-directed pushing such information;</w:t>
      </w:r>
    </w:p>
    <w:p>
      <w:pPr>
        <w:spacing w:after="0" w:line="1" w:lineRule="exact"/>
        <w:rPr>
          <w:rFonts w:ascii="Times New Roman" w:cs="Times New Roman" w:eastAsia="Times New Roman" w:hAnsi="Times New Roman"/>
          <w:sz w:val="17"/>
          <w:szCs w:val="17"/>
          <w:color w:val="auto"/>
        </w:rPr>
      </w:pPr>
    </w:p>
    <w:p>
      <w:pPr>
        <w:ind w:left="240" w:right="320" w:hanging="10"/>
        <w:spacing w:after="0" w:line="246" w:lineRule="auto"/>
        <w:tabs>
          <w:tab w:leader="none" w:pos="5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 and using personal information in violation of the rules for collecting and using personal information promulgated by such app operator.</w:t>
      </w:r>
    </w:p>
    <w:p>
      <w:pPr>
        <w:spacing w:after="0" w:line="191"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On August 22, 2019, the CAC promulgated the Provisions on the Internet Protection of Children’s Personal Information, which took effect on October 1, 2019, requiring that before collecting, using, transferring or disclosing the personal information of a child, the Internet service operator should inform the child’s guardians in a noticeable and clear manner and obtain their consents. Meanwhile, internet service operators should take measures like encryption when storing children’s personal information. On March 12, 2021, the CAC and three other authorities jointly issued the Rules on the Scope of Necessary Personal Information for Common Types of Mobile Internet Applications. The Rules specifies the scope of necessary personal information to be collected each for a variety of common mobile internet applications, such as maps and navigation apps, online ride-hailing apps, instant messaging apps, online community apps. Operators of such apps shall not refuse to provide basic services to users on the ground of users’ refusal to provide their personal non-essential information.</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20"/>
          </w:cols>
          <w:pgMar w:left="320" w:top="476" w:right="5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In addition, on August 20, 2021, the Standing Committee of the National People’s Congress adopted the Personal Information Protection Law which took effect on November 1, 2021. The Personal Information Protection Law requires, among others, that (i) the processing of personal information should have a clear and reasonable purpose which should be directly related to the processing purpose, in a method that has the least impact on personal rights and interests, and (ii) the collection of personal information should be limited to the minimum scope necessary to achieve the processing purpose to avoid the excessive collection of personal information. Different types of personal information and personal information processing will be subject to various rules on consent, transfer, and security. Entities handling personal information shall bear responsibilities for their personal information handling activities, and adopt necessary measures to safeguard the security of the personal information they handle. The entities failing to comply could be ordered to correct, or suspend or terminate the provision of services, and face confiscation of illegal income, fines or other penalties.</w:t>
      </w:r>
    </w:p>
    <w:p>
      <w:pPr>
        <w:spacing w:after="0" w:line="190"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On February 12, 2025, the CAC issued the Administrative Measures for Personal Information Protection Compliance Audit, which took effect on May 1, 2025. According to these administrative measures, any personal information processor who processes personal information of more than 10 million individuals shall carry out the personal information protection compliance audit at least once each two years. Any personal information processor who processes personal information of more than 1 million individuals shall designate a specific officer to be responsible for the compliance audit of its personal information protection. Any personal information processor providing important internet platform services, with a large number of users and with the complicated business types shall establish an independent institution mainly composed of external personnel to supervise the personal information protection compliance audit. After completion of compliance audit, the personal information processors shall submit the compliance audit report issued by the agency to the protection authorities. Any personal information processor which violates these provisions shall be punished in accordance with the Personal Information Protection Law, the Administrative Measures for Internet Data Security and other relevant laws and regulations. If the violation constitutes a crime, such personal information processor shall be prosecuted for criminal responsibility.</w:t>
      </w:r>
    </w:p>
    <w:p>
      <w:pPr>
        <w:spacing w:after="0" w:line="176" w:lineRule="exact"/>
        <w:rPr>
          <w:sz w:val="20"/>
          <w:szCs w:val="20"/>
          <w:color w:val="auto"/>
        </w:rPr>
      </w:pPr>
    </w:p>
    <w:p>
      <w:pPr>
        <w:ind w:left="240" w:right="100" w:firstLine="971"/>
        <w:spacing w:after="0" w:line="263" w:lineRule="auto"/>
        <w:rPr>
          <w:sz w:val="20"/>
          <w:szCs w:val="20"/>
          <w:color w:val="auto"/>
        </w:rPr>
      </w:pPr>
      <w:r>
        <w:rPr>
          <w:rFonts w:ascii="Times New Roman" w:cs="Times New Roman" w:eastAsia="Times New Roman" w:hAnsi="Times New Roman"/>
          <w:sz w:val="17"/>
          <w:szCs w:val="17"/>
          <w:color w:val="auto"/>
        </w:rPr>
        <w:t>On November 22, 2025, the CAC and the Ministry of Public Security jointly released the Protection of Personal Information by Large-Scale Online Platforms (Draft for Comments), pursuant to which, the national cyberspace administration, together with the Ministry of Public Security and other relevant authorities, shall formulate and publish a catalogue of large-scale online platforms and update it dynamically. In determining large online platforms, the following factors shall be primarily considered: (i) registered users of 50 million or more, or monthly active users of 10 million or more; (ii) provision of important network services or business scope covering multiple types of business; (iii) data held and processed which, once leaked, tampered with, or damaged, shall have a significant impact on national security, economic operation, and national livelihood, among others;</w:t>
      </w:r>
    </w:p>
    <w:p>
      <w:pPr>
        <w:spacing w:after="0" w:line="1" w:lineRule="exact"/>
        <w:rPr>
          <w:sz w:val="20"/>
          <w:szCs w:val="20"/>
          <w:color w:val="auto"/>
        </w:rPr>
      </w:pPr>
    </w:p>
    <w:p>
      <w:pPr>
        <w:ind w:left="240" w:right="100" w:hanging="10"/>
        <w:spacing w:after="0" w:line="246" w:lineRule="auto"/>
        <w:tabs>
          <w:tab w:leader="none" w:pos="53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as provided by the national cyberspace administration and the Ministry of Public Security. Such large-scale online platforms must appoint a management personnel member who is a Chinese national with no permanent residency abroad and over five years of relevant experience as Personal Information Protection Officer. And such large-scale online platforms shall conduct personal information protection compliance audits and risk assessments on their own or by engaging third-party professional institutions, and rectify issues identified.</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Artificial Intelligence</w:t>
      </w:r>
    </w:p>
    <w:p>
      <w:pPr>
        <w:spacing w:after="0" w:line="114" w:lineRule="exact"/>
        <w:rPr>
          <w:sz w:val="20"/>
          <w:szCs w:val="20"/>
          <w:color w:val="auto"/>
        </w:rPr>
      </w:pPr>
    </w:p>
    <w:p>
      <w:pPr>
        <w:ind w:left="240" w:right="60" w:firstLine="971"/>
        <w:spacing w:after="0" w:line="266" w:lineRule="auto"/>
        <w:rPr>
          <w:sz w:val="20"/>
          <w:szCs w:val="20"/>
          <w:color w:val="auto"/>
        </w:rPr>
      </w:pPr>
      <w:r>
        <w:rPr>
          <w:rFonts w:ascii="Times New Roman" w:cs="Times New Roman" w:eastAsia="Times New Roman" w:hAnsi="Times New Roman"/>
          <w:sz w:val="17"/>
          <w:szCs w:val="17"/>
          <w:color w:val="auto"/>
        </w:rPr>
        <w:t>Pursuant to the Internet Information Service Algorithmic Recommendation Management Provisions, which came into effect on March 1, 2022, algorithm recommendation service providers shall clearly inform users of their provision of algorithm recommendation services, and make public the basic principles, intentions and main operating mechanisms of the algorithm recommendation services. The algorithmic recommendation service providers shall not (i) carry out any illegal activity which may endanger national security and social public interest, disturb economic order and social order, or infringe third parties’ legal interest, or (ii) spread any information prohibited by laws or regulations. Algorithm recommendation service providers selling goods or providing services to consumers shall also protect consumers’ rights of fair trade, and are prohibited from carrying out illegal conduct such as unreasonable, differentiated treatment based on consumers’ preferences, purchase behavior or such other characteristics.</w:t>
      </w:r>
    </w:p>
    <w:p>
      <w:pPr>
        <w:spacing w:after="0" w:line="175" w:lineRule="exact"/>
        <w:rPr>
          <w:sz w:val="20"/>
          <w:szCs w:val="20"/>
          <w:color w:val="auto"/>
        </w:rPr>
      </w:pPr>
    </w:p>
    <w:p>
      <w:pPr>
        <w:ind w:left="240" w:right="40" w:firstLine="971"/>
        <w:spacing w:after="0" w:line="247" w:lineRule="auto"/>
        <w:rPr>
          <w:sz w:val="20"/>
          <w:szCs w:val="20"/>
          <w:color w:val="auto"/>
        </w:rPr>
      </w:pPr>
      <w:r>
        <w:rPr>
          <w:rFonts w:ascii="Times New Roman" w:cs="Times New Roman" w:eastAsia="Times New Roman" w:hAnsi="Times New Roman"/>
          <w:sz w:val="18"/>
          <w:szCs w:val="18"/>
          <w:color w:val="auto"/>
        </w:rPr>
        <w:t>On July 10, 2023, the Cyberspace Administration of China and six other regulatory authorities in the Chinese mainland promulgated the Interim Measures for Generative Artificial Intelligence Services, which took effect on August 15, 2023. The measures impose compliance requirements for providers of generative artificial intelligence services to the general public within the Chinese mainland. The measures stipulate that providers of generative artificial intelligence services related to text, image, audio, video and other content to the general public within the Chinese mainland will be responsible as “producers of Internet information content” and “personal information processors,” with the responsibilities specified in the Personal Information Protection Law, the Data Security Law, the Internet Security Law, and other Chinese mainland laws and regulations related to cybersecurity and personal information protection. Providers of generative artificial intelligence services are required to enter into service agreements with their users and adopt effective measures to prevent minor users from over-relying upon or becoming addicted to generative artificial intelligence services. In addition, providers of generative artificial intelligence services that have the potential to influence public opinion or provoke social agitation are required to conduct security assessments and complete filings in accordance with the Internet Information Service Algorithmic Recommendation Management Provisions.</w:t>
      </w:r>
    </w:p>
    <w:p>
      <w:pPr>
        <w:spacing w:after="0" w:line="1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320" w:top="476" w:right="5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 Quality, Consumer Protection and Operation Safety</w:t>
      </w:r>
    </w:p>
    <w:p>
      <w:pPr>
        <w:spacing w:after="0" w:line="114"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The Product Quality Law applies to all production and sale activities in China. Pursuant to this law, products offered for sale must satisfy the applicable quality and safety standards. Enterprises may not produce or sell counterfeit products in any fashion, including forging brand labels or giving false information regarding a product’s manufacturer. Violations of state or industrial standards for health and safety and any other related violations may result in civil liabilities and administrative penalties, such as compensation for damages, fines, suspension or shutdown of business, as well as confiscation of products illegally produced and sold and the proceeds from such sales. Severe violations may subject the responsible individual or enterprise to criminal liabilities. Where a defective product causes physical injury to a person or damage to another person’s property, the victim may claim compensation from the manufacturer or from the seller of the product. If the seller pays compensation and it is the manufacturer that should bear the liability, the seller has a right of recourse against the manufacturer. Similarly, if the manufacturer pays compensation and it is the seller that should bear the liability, the manufacturer has a right of recourse against the seller.</w:t>
      </w:r>
    </w:p>
    <w:p>
      <w:pPr>
        <w:spacing w:after="0" w:line="190"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The Consumer Protection Law sets out the obligations of business operators and the rights and interests of the consumers in China.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Failure to comply with the Consumer Protection Law may subject business operators to civil liabilities such as refunding purchase prices, replacement of commodities, repairing, ceasing damages, compensation, and restoring reputation, and even subject the business operators or the responsible individuals to criminal penalties when personal damages are involved or if the circumstances are severe. The Consumer Protection Law was further amended in October 2013 and became effective in March 2014. The amended Consumer Protection Law further strengthens the protection of consumers and impose more stringent requirements and obligations on business operators, especially on the business operators through the internet. For example, the consumers are entitled to return the goods (except for certain specific goods, such as custom-made goods, fresh and perishable goods, digital products (e.g. audio-visual products, computer software downloaded online or unpacked by the consumer), newspapers and periodicals delivered and other goods for which non-return of goods is confirmed by the consumer at the time of purchase based on the characteristics of the goods,) within seven days upon receipt without any reasons when they purchase the goods from business operators on the internet. The consumers whose interests have been damaged due to their purchase of goods or acceptance of services on online marketplace platforms may claim damages from sellers or service providers. Where the providers of the online marketplace platforms are unable to provide the real names, addresses and valid contact details of the sellers or service providers, the consumers may also claim damages from the providers of the online marketplace platforms. Providers of online marketplace platforms that know or should have known that sellers or service providers use their platforms to infringe upon the legitimate rights and interests of consumers but fail to take necessary measures must bear joint and several liabilities with the sellers or service providers. Moreover, if business operators deceive consumers or knowingly sell substandard or defective products, they should not only compensate consumers for their losses, but also pay additional damages equal to three times the price of the goods or services. The Implementing Rules of the Consumer Protection Law, which became effective on July 1, 2024, further specify the obligations stipulated in the PRC Consumer Protection Law, such as protecting consumers’ personal and property safety, handling of defective products, prohibiting fraudulent advertising and unfair practices in standard terms, price transparency, quality guarantee, and protecting consumers’ personal information. Furthermore, these rules provide requirements to address situations where business operators may abuse technology, platform rules or their dominant positions to infringe on consumer rights, such as prohibiting price discrimination, fraudulent advertising and excessively collecting consumers’ personal information. In addition, these rules require livestreaming marketing platform operators to establish and improve mechanisms for consumer rights protection. In particular, in the field of food safety, the PRC Food Safety Law, which took effective from June 1, 2009 and most recently amended and effective as of December 1, 2025, sets forth provisions governing the online food transactions and administration of providers of third-party online platforms for food transactions and online food business operators, including, without limitation, obligations requiring providers of third-party online platforms for food transactions to conduct real-name registration and review licenses for online food business operators on their platforms. To strengthen the supervision and administration of food safety of online catering services, the SAMR promulgated Measures for the Supervision and Administration of Food Safety of Online Catering Services on November 6, 2017, which became effective on January 1, 2018 and was last amended on October 23, 2020, to regulate the business activities of provider of a third-party online catering services platform and catering service providers who provide catering services through third-party platforms and self-developed websites.</w:t>
      </w:r>
    </w:p>
    <w:p>
      <w:pPr>
        <w:spacing w:after="0" w:line="3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320" w:top="476" w:right="5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80" w:firstLine="971"/>
        <w:spacing w:after="0" w:line="270" w:lineRule="auto"/>
        <w:rPr>
          <w:sz w:val="20"/>
          <w:szCs w:val="20"/>
          <w:color w:val="auto"/>
        </w:rPr>
      </w:pPr>
      <w:r>
        <w:rPr>
          <w:rFonts w:ascii="Times New Roman" w:cs="Times New Roman" w:eastAsia="Times New Roman" w:hAnsi="Times New Roman"/>
          <w:sz w:val="18"/>
          <w:szCs w:val="18"/>
          <w:color w:val="auto"/>
        </w:rPr>
        <w:t>We are subject to the Product Quality Law and the Consumer Protection Law as an online supplier of commodities and a provider of online marketplace platform and believe that we are currently in compliance with these regulations in all material aspects.</w:t>
      </w:r>
    </w:p>
    <w:p>
      <w:pPr>
        <w:spacing w:after="0" w:line="169"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In addition, we are subject to PRC regulations relating to operation safety. According to the Work Safety Law, which was effective on November 1, 2002 and most recently amended on June 10, 2021, the principal person-in-charge of a production and operation entity shall be the primary person responsible for the work safety of such entity, and the production and operation entities in emerging industries and fields such as platform economy shall, based on the characteristics of their respective industries and fields, establish, improve and implement a responsibility system for work safety of employees, as well as strengthen the education and training on work safety for employees.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Pricing</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In China, the prices of a very small number of products and services are guided or fixed by the government. According to the Pricing Law, business operators must, as required by the government departments in charge of pricing, mark the prices explicitly and indicate the name, origin of production, specifications, and other related particulars clearly. Business operators may not sell products at a premium or charge any fees that are not explicitly indicated. Business operators must not commit the specified unlawful pricing activities, such as colluding with others to manipulate the market price, using false or misleading prices to deceive consumers to transact, or conducting price discrimination against other business operators. Failure to comply with the Pricing Law may subject business operators to administrative sanctions such as warning, ceasing unlawful activities, compensation, confiscating illegal gains, fines. The business operators may be ordered to suspend business for rectification, or have their business licenses revoked if the circumstances are severe. We are subject to the Pricing Law as online retailer as well as business operator. We believe that our pricing activities are currently in compliance with the law in all material aspects.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Mobile Telecommunications Resale Business</w:t>
      </w:r>
    </w:p>
    <w:p>
      <w:pPr>
        <w:spacing w:after="0" w:line="114" w:lineRule="exact"/>
        <w:rPr>
          <w:sz w:val="20"/>
          <w:szCs w:val="20"/>
          <w:color w:val="auto"/>
        </w:rPr>
      </w:pPr>
    </w:p>
    <w:p>
      <w:pPr>
        <w:ind w:left="240" w:right="80" w:firstLine="971"/>
        <w:spacing w:after="0" w:line="261" w:lineRule="auto"/>
        <w:rPr>
          <w:sz w:val="20"/>
          <w:szCs w:val="20"/>
          <w:color w:val="auto"/>
        </w:rPr>
      </w:pPr>
      <w:r>
        <w:rPr>
          <w:rFonts w:ascii="Times New Roman" w:cs="Times New Roman" w:eastAsia="Times New Roman" w:hAnsi="Times New Roman"/>
          <w:sz w:val="17"/>
          <w:szCs w:val="17"/>
          <w:color w:val="auto"/>
        </w:rPr>
        <w:t>In May 2013, the MIIT issued the Circular regarding the Pilot Work on Implementation of Mobile Telecommunications Resale Business and the Pilot Program on Mobile Telecommunications Resale Business, pursuant to which private capital is encouraged to invest in the mobile telecommunications resale business. The resale business refers to the business whereby a reseller purchases mobile telecommunications services (excluding mobile satellite telecommunications service) from a basic telecommunications service provider who owns a mobile network, repackages the services with its private brand and sells the services to end users. Under the circular and the pilot program, the mobile telecommunications resale is categorized as a Class II basic telecommunications business but managed by reference to the value-added telecommunications business. A mobile communications reseller does not build its own wireless network, core network, transmission network and other mobile telecommunications network infrastructures, but must build its customer service system and may build its own business management platform, and billing, business accounting and other business supporting systems as needed. The applicant for the mobile telecommunications resale business must be a private company of which the private capital must account for no less than 50% of the capital and the capital contributed by its largest shareholder must come from private capital. A mobile telecommunications reseller is required to enter into a commercial contract for mobile telecommunications resale business with a basic telecommunications service provider, specifying the resources for resale to mobile communications users, division of responsibilities for service quality assurance between both parties, as well as protection of users’ rights and interests and user information. Resellers may pre-charge service fees for up to two years from users on the condition that they provide evidence of their measures to ensure long-term services, and must abide by the Telecommunications Regulations, the Administrative Measures on Internet Information Services and other PRC related laws and regulations. In addition, the MIIT issued the Circular of the Ministry of Industry and Information Technology on the Official Commercial Use of Mobile Communication Resale Business, pursuant to which the mobile communication resale business will be transferred from the pilot to the formal commercial use, and the enterprise that has already approved to be a pilot to conduct the mobile telecommunications resale business, and intends to continue the business, the commercial contract shall be renewed in accordance with the provisions of this circular and shall apply for renewal of its telecommunications business license. Jingdong 360 has been approved to conduct the mobile telecommunications resale business, has renewed the telecommunications business license, and has cooperated with China Telecom in 60 cities and with China Unicom in 105 cities.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20"/>
          </w:cols>
          <w:pgMar w:left="320" w:top="476" w:right="5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Leasing</w:t>
      </w:r>
    </w:p>
    <w:p>
      <w:pPr>
        <w:spacing w:after="0" w:line="114" w:lineRule="exact"/>
        <w:rPr>
          <w:sz w:val="20"/>
          <w:szCs w:val="20"/>
          <w:color w:val="auto"/>
        </w:rPr>
      </w:pPr>
    </w:p>
    <w:p>
      <w:pPr>
        <w:ind w:left="240" w:firstLine="971"/>
        <w:spacing w:after="0" w:line="269" w:lineRule="auto"/>
        <w:rPr>
          <w:sz w:val="20"/>
          <w:szCs w:val="20"/>
          <w:color w:val="auto"/>
        </w:rPr>
      </w:pPr>
      <w:r>
        <w:rPr>
          <w:rFonts w:ascii="Times New Roman" w:cs="Times New Roman" w:eastAsia="Times New Roman" w:hAnsi="Times New Roman"/>
          <w:sz w:val="17"/>
          <w:szCs w:val="17"/>
          <w:color w:val="auto"/>
        </w:rPr>
        <w:t>Pursuant to the Law on Administration of Urban Real Estate which took effect in January 1995 with the latest amendment on August 26, 2019, which became effective on January 1, 2020, lessors and lessees are required to enter into a written lease contract, containing such provisions as the term of the lease, the use of the premises, rental price, liability for repair, and other rights and obligations of both parties. Both lessor and lessee are also required to file for registration and record the lease contract with the real estate administration department. Pursuant to implementing rules stipulated by certain provinces or cities, if the lessor and lessee fail to go through the registration procedures, both lessor and lessee may be subject to fines.</w:t>
      </w:r>
    </w:p>
    <w:p>
      <w:pPr>
        <w:spacing w:after="0" w:line="174" w:lineRule="exact"/>
        <w:rPr>
          <w:sz w:val="20"/>
          <w:szCs w:val="20"/>
          <w:color w:val="auto"/>
        </w:rPr>
      </w:pPr>
    </w:p>
    <w:p>
      <w:pPr>
        <w:ind w:left="240" w:right="120" w:firstLine="971"/>
        <w:spacing w:after="0" w:line="251" w:lineRule="auto"/>
        <w:rPr>
          <w:sz w:val="20"/>
          <w:szCs w:val="20"/>
          <w:color w:val="auto"/>
        </w:rPr>
      </w:pPr>
      <w:r>
        <w:rPr>
          <w:rFonts w:ascii="Times New Roman" w:cs="Times New Roman" w:eastAsia="Times New Roman" w:hAnsi="Times New Roman"/>
          <w:sz w:val="18"/>
          <w:szCs w:val="18"/>
          <w:color w:val="auto"/>
        </w:rPr>
        <w:t>According to the PRC Civil Code (which took effect on January 1, 2021), the lessee may sublease the leased premises to a third party, subject to the consent of the lessor. Where the lessee subleases the premises, the lease contract between the lessee and the lessor remains valid. The lessor is entitled to terminate the lease contract if the lessee subleases the premises without the consent of the lessor. In addition, if the ownership of the leased premises changes during the lessee’s possession in accordance with the terms of the lease contract, the validity of the lease contract shall not be affected.</w:t>
      </w:r>
    </w:p>
    <w:p>
      <w:pPr>
        <w:spacing w:after="0" w:line="187" w:lineRule="exact"/>
        <w:rPr>
          <w:sz w:val="20"/>
          <w:szCs w:val="20"/>
          <w:color w:val="auto"/>
        </w:rPr>
      </w:pPr>
    </w:p>
    <w:p>
      <w:pPr>
        <w:ind w:left="240" w:right="80" w:firstLine="971"/>
        <w:spacing w:after="0" w:line="267" w:lineRule="auto"/>
        <w:rPr>
          <w:sz w:val="20"/>
          <w:szCs w:val="20"/>
          <w:color w:val="auto"/>
        </w:rPr>
      </w:pPr>
      <w:r>
        <w:rPr>
          <w:rFonts w:ascii="Times New Roman" w:cs="Times New Roman" w:eastAsia="Times New Roman" w:hAnsi="Times New Roman"/>
          <w:sz w:val="17"/>
          <w:szCs w:val="17"/>
          <w:color w:val="auto"/>
        </w:rPr>
        <w:t>Pursuant to the PRC Civil Code, if the mortgaged property has been leased and transferred for occupation prior to the establishment of the mortgage right, the original tenancy shall not be affected by such mortgage right. According to the Interpretation of the Supreme People’s Court on Several Issues concerning the Application of Law in the Trial of Cases about Disputes Over Lease Contracts on Urban Buildings (2020 version), which took effect on January 1, 2021, if the ownership of the leased premises changes during the lessee’s possession in accordance with the terms of the lease contract, and the lessee requests the assignee to continue to perform the original lease contract, the PRC court shall support it, except that the mortgage right has been established before the lease of the leased premises and the ownership changes due to the mortgagee’s realization of the mortgage right.</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Advertising Business</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The SAMR is the government agency responsible for regulating advertising activities in the PRC. According to PRC laws and regulations, companies that engage in advertising activities must obtain a business license from the SAMR or its local branches which specifically includes operating an advertising business within its business scope. The business license of an advertising company is valid for the duration of its existence, unless the license is suspended or revoked due to a violation of any law or regulation. PRC advertising laws and regulations set forth certain content requirements for advertisements in the PRC including, among other things, prohibitions on false or misleading content, superlative wording, socially destabilizing content or content involving obscenities, superstition, violence, discrimination or infringement of the public interest. Advertisers, advertising agencies, and advertising distributors are required to ensure that the content of the advertisements they prepare or distribute is true and in full compliance with applicable law. In providing advertising services, advertising operators and advertising distributors must review the supporting documents provided by advertisers for advertisements and verify that the content of the advertisements complies with applicable PRC laws and regulations. Prior to distributing advertisements that are subject to government censorship and approval, advertising distributors are obligated to verify that such censorship has been performed and approval has been obtained. The release or delivery of advertisements through the internet must not impair the normal use of the network by users. The advertisements released in pop-up form on a webpage and other forms must show the close flag prominently and ensure one-click close. Violation of these regulations may result in penalties, including fines, confiscation of advertising income, orders to cease dissemination of the advertisements and orders to eliminate the effect of illegal advertisement. In circumstances involving serious violations, the SAMR or its local branches may revoke the violators’ licenses or permits for their advertising business operations.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20"/>
          </w:cols>
          <w:pgMar w:left="320" w:top="476" w:right="5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In July 2016, the State Administration of Industry and Commerce issued the Interim Measures for the Administration of Internet Advertising to regulate internet advertising activities. On February 25, 2023, the SAMR released the Administrative Measures for Internet Advertising, which came into effect from May 1, 2023 and replaced Interim Measures for the Administration of Internet Advertising. The Administrative Measures for Internet Advertising set out, among other things, the following requirements for Internet advertising activities:</w:t>
      </w:r>
    </w:p>
    <w:p>
      <w:pPr>
        <w:spacing w:after="0" w:line="92" w:lineRule="exact"/>
        <w:rPr>
          <w:sz w:val="20"/>
          <w:szCs w:val="20"/>
          <w:color w:val="auto"/>
        </w:rPr>
      </w:pPr>
    </w:p>
    <w:p>
      <w:pPr>
        <w:ind w:left="1620" w:right="200" w:hanging="319"/>
        <w:spacing w:after="0" w:line="270"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advertisements for tobacco (including e-cigarettes) are not allowed, and online advertisements for prescription medicine are not allowed unless otherwise permitted by laws and regulations;</w:t>
      </w:r>
    </w:p>
    <w:p>
      <w:pPr>
        <w:spacing w:after="0" w:line="76" w:lineRule="exact"/>
        <w:rPr>
          <w:rFonts w:ascii="Times New Roman" w:cs="Times New Roman" w:eastAsia="Times New Roman" w:hAnsi="Times New Roman"/>
          <w:sz w:val="18"/>
          <w:szCs w:val="18"/>
          <w:color w:val="auto"/>
        </w:rPr>
      </w:pPr>
    </w:p>
    <w:p>
      <w:pPr>
        <w:ind w:left="1620" w:right="140" w:hanging="319"/>
        <w:spacing w:after="0" w:line="253"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advertisements for special commodities and services such as medical treatments, pharmaceuticals, medical devices, agrochemicals, veterinary medicine, health foods and food for special medical purposes must be reviewed by competent authorities before online publication, and the advertisements for such commodities and services are not allowed to be published in the form of introducing health and wellness knowledge;</w:t>
      </w:r>
    </w:p>
    <w:p>
      <w:pPr>
        <w:spacing w:after="0" w:line="92" w:lineRule="exact"/>
        <w:rPr>
          <w:rFonts w:ascii="Times New Roman" w:cs="Times New Roman" w:eastAsia="Times New Roman" w:hAnsi="Times New Roman"/>
          <w:sz w:val="18"/>
          <w:szCs w:val="18"/>
          <w:color w:val="auto"/>
        </w:rPr>
      </w:pPr>
    </w:p>
    <w:p>
      <w:pPr>
        <w:ind w:left="1620" w:right="120" w:hanging="319"/>
        <w:spacing w:after="0" w:line="258"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advertisements for medical treatments, pharmaceuticals, health foods, special medical purpose formula foods, medical devices, cosmetics, alcohol, beauty advertisements, and online game advertisements that are detrimental to the physical and mental health of minors shall not be published on Internet media targeted to minors;</w:t>
      </w:r>
    </w:p>
    <w:p>
      <w:pPr>
        <w:spacing w:after="0" w:line="85" w:lineRule="exact"/>
        <w:rPr>
          <w:rFonts w:ascii="Times New Roman" w:cs="Times New Roman" w:eastAsia="Times New Roman" w:hAnsi="Times New Roman"/>
          <w:sz w:val="18"/>
          <w:szCs w:val="18"/>
          <w:color w:val="auto"/>
        </w:rPr>
      </w:pPr>
    </w:p>
    <w:p>
      <w:pPr>
        <w:ind w:left="1620" w:right="180" w:hanging="319"/>
        <w:spacing w:after="0" w:line="270"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advertisements must be visibly marked as “advertisement” while paid-search results must be obviously distinguished from natural search results; and</w:t>
      </w:r>
    </w:p>
    <w:p>
      <w:pPr>
        <w:spacing w:after="0" w:line="76" w:lineRule="exact"/>
        <w:rPr>
          <w:rFonts w:ascii="Times New Roman" w:cs="Times New Roman" w:eastAsia="Times New Roman" w:hAnsi="Times New Roman"/>
          <w:sz w:val="18"/>
          <w:szCs w:val="18"/>
          <w:color w:val="auto"/>
        </w:rPr>
      </w:pPr>
    </w:p>
    <w:p>
      <w:pPr>
        <w:ind w:left="1620" w:right="440" w:hanging="319"/>
        <w:spacing w:after="0" w:line="270"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Internet advertisements are published by means of algorithmic recommendation or other technologies, the rules related to algorithm recommendation services and advertising records shall be included in the advertising archives.</w:t>
      </w:r>
    </w:p>
    <w:p>
      <w:pPr>
        <w:spacing w:after="0" w:line="169"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According to the Administrative Measures for Internet Advertising, the advertisers are responsible for the authenticity of the content of internet advertisements, while the internet advertisement publishers and advertisement agencies are required to establish, improve, and implement registration, review, and archive management systems for internet advertising businesses, which include verifying and registering advertiser information, verifying supporting documents and advertisements content, and allocating advertising review personnel familiar with advertising laws and regulations or establish advertising review bodies.</w:t>
      </w:r>
    </w:p>
    <w:p>
      <w:pPr>
        <w:spacing w:after="0" w:line="187" w:lineRule="exact"/>
        <w:rPr>
          <w:sz w:val="20"/>
          <w:szCs w:val="20"/>
          <w:color w:val="auto"/>
        </w:rPr>
      </w:pPr>
    </w:p>
    <w:p>
      <w:pPr>
        <w:ind w:left="240" w:right="260" w:firstLine="971"/>
        <w:spacing w:after="0" w:line="250" w:lineRule="auto"/>
        <w:rPr>
          <w:sz w:val="20"/>
          <w:szCs w:val="20"/>
          <w:color w:val="auto"/>
        </w:rPr>
      </w:pPr>
      <w:r>
        <w:rPr>
          <w:rFonts w:ascii="Times New Roman" w:cs="Times New Roman" w:eastAsia="Times New Roman" w:hAnsi="Times New Roman"/>
          <w:sz w:val="18"/>
          <w:szCs w:val="18"/>
          <w:color w:val="auto"/>
        </w:rPr>
        <w:t>In addition, the Administrative Measures for Internet Advertising require internet platform operators providing internet information services to take measures to prevent and stop illegal advertisements, which include recording and storing the real identity information of users who publish advertisements for at least three years, monitoring and investigating the content of advertisements, and employing measures to stop illegal advertisements. Internet platform operators are also required to establish effective complaint and reporting mechanisms, cooperate with market regulatory departments in investigating illegal conduct, and use measures such as warnings, suspending or terminating services for users who publish illegal advertisements.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320" w:top="476" w:right="5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Intellectual Property Rights</w:t>
      </w:r>
    </w:p>
    <w:p>
      <w:pPr>
        <w:spacing w:after="0" w:line="114" w:lineRule="exact"/>
        <w:rPr>
          <w:sz w:val="20"/>
          <w:szCs w:val="20"/>
          <w:color w:val="auto"/>
        </w:rPr>
      </w:pPr>
    </w:p>
    <w:p>
      <w:pPr>
        <w:ind w:left="240" w:right="400" w:firstLine="971"/>
        <w:spacing w:after="0" w:line="270" w:lineRule="auto"/>
        <w:rPr>
          <w:sz w:val="20"/>
          <w:szCs w:val="20"/>
          <w:color w:val="auto"/>
        </w:rPr>
      </w:pPr>
      <w:r>
        <w:rPr>
          <w:rFonts w:ascii="Times New Roman" w:cs="Times New Roman" w:eastAsia="Times New Roman" w:hAnsi="Times New Roman"/>
          <w:sz w:val="18"/>
          <w:szCs w:val="18"/>
          <w:color w:val="auto"/>
        </w:rPr>
        <w:t>The PRC has adopted comprehensive legislation governing intellectual property rights, including copyrights, patents, trademarks and domain names.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Copyright in the PRC is principally protected under the Copyright Law of the PRC and its implementation rules. Reproducing, distributing, performing, projecting, broadcasting or compiling a work or communicating the same to the public via an information network without permission from the owner of the copyright therein, unless otherwise provided in the Copyright Law of the PRC and related rules and regulations, shall constitute infringements of copyrights. The infringer shall, according to the circumstances of the case, undertake to cease the infringement, take remedial action, and offer an apology, pay damages, etc. In addition, the Regulations on the Protection of Rights to Information Network Communication promulgated by the State Council on May 18, 2006 (as amended in 2013), provides specific rules on fair use, statutory license, and a safe harbor for use of copyrights and copyright management technology and specifies the liabilities of various entities for violations, including copyright holders, libraries and internet service providers.</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14" w:lineRule="exact"/>
        <w:rPr>
          <w:sz w:val="20"/>
          <w:szCs w:val="20"/>
          <w:color w:val="auto"/>
        </w:rPr>
      </w:pPr>
    </w:p>
    <w:p>
      <w:pPr>
        <w:jc w:val="both"/>
        <w:ind w:left="240" w:right="20" w:firstLine="971"/>
        <w:spacing w:after="0" w:line="273" w:lineRule="auto"/>
        <w:rPr>
          <w:sz w:val="20"/>
          <w:szCs w:val="20"/>
          <w:color w:val="auto"/>
        </w:rPr>
      </w:pPr>
      <w:r>
        <w:rPr>
          <w:rFonts w:ascii="Times New Roman" w:cs="Times New Roman" w:eastAsia="Times New Roman" w:hAnsi="Times New Roman"/>
          <w:sz w:val="17"/>
          <w:szCs w:val="17"/>
          <w:color w:val="auto"/>
        </w:rPr>
        <w:t>The Patent Law provides for three types of patents, “invention,” “utility model” and “design.” Invention or utility models must meet three criteria to be patentable: novelty, inventiveness and practicability. The China National Intellectual Property Administration is responsible for examining and approving patent applications. As of December 31, 2025, we had approximately 13,000 patents granted in China, over 1,100 patents granted outside China, approximately 24,200 patent applications pending in China and approximately 2,000 patent applications pending outside China.</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14" w:lineRule="exact"/>
        <w:rPr>
          <w:sz w:val="20"/>
          <w:szCs w:val="20"/>
          <w:color w:val="auto"/>
        </w:rPr>
      </w:pPr>
    </w:p>
    <w:p>
      <w:pPr>
        <w:ind w:left="240" w:firstLine="971"/>
        <w:spacing w:after="0" w:line="273" w:lineRule="auto"/>
        <w:rPr>
          <w:sz w:val="20"/>
          <w:szCs w:val="20"/>
          <w:color w:val="auto"/>
        </w:rPr>
      </w:pPr>
      <w:r>
        <w:rPr>
          <w:rFonts w:ascii="Times New Roman" w:cs="Times New Roman" w:eastAsia="Times New Roman" w:hAnsi="Times New Roman"/>
          <w:sz w:val="17"/>
          <w:szCs w:val="17"/>
          <w:color w:val="auto"/>
        </w:rPr>
        <w:t>The Trademark Law and its implementation rules protect registered trademarks. The Trademark Office of China National Intellectual Property Administration is responsible for the registration and administration of trademarks throughout the PRC. The Trademark Law has adopted a “first-to-file” principle with respect to trademark registration. As of December 31, 2025, we had approximately 41,800 registered trademarks in different applicable trademark categories in different jurisdictions, approximately 44,400 trademark applications in China and over 9,500 outside China.</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 xml:space="preserve">Domain names are protected under the Administrative Measures on the Internet Domain Names promulgated by the MIIT. The MIIT is the major regulatory body responsible for the administration of the PRC internet domain names, under supervision of which the CNNIC is responsible for the daily administration of .cn domain names and Chinese domain names. CNNIC adopts the “first to file” principle with respect to the registration of domain names. In November 2017, the MIIT promulgated the Notice of the Ministry of Industry and Information Technology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 We have registered </w:t>
      </w:r>
      <w:r>
        <w:rPr>
          <w:rFonts w:ascii="Times New Roman" w:cs="Times New Roman" w:eastAsia="Times New Roman" w:hAnsi="Times New Roman"/>
          <w:sz w:val="18"/>
          <w:szCs w:val="18"/>
          <w:i w:val="1"/>
          <w:iCs w:val="1"/>
          <w:color w:val="auto"/>
        </w:rPr>
        <w:t>jd.com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jdl.cn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jdh.com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jingdongindustrials.com</w:t>
      </w:r>
      <w:r>
        <w:rPr>
          <w:rFonts w:ascii="Times New Roman" w:cs="Times New Roman" w:eastAsia="Times New Roman" w:hAnsi="Times New Roman"/>
          <w:sz w:val="18"/>
          <w:szCs w:val="18"/>
          <w:color w:val="auto"/>
        </w:rPr>
        <w:t xml:space="preserve"> and other domain names.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320" w:top="476" w:right="5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Employment</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The Labor Contract Law and its implementation rules provide requirements concerning employment contracts between an employer and its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day following the lapse of one month from the date of establishment of the employment relationship to the day prior to the execution of the written employment contract. The Labor Contract Law and its implementation rules also require compensation to be paid upon certain terminations, which significantly affects the cost of reducing workforce for employers. In addition, if an employer intends to enforce a non-compete provision with an employee in an employment contract or non-competition agreement, it has to compensate the employee on a monthly basis during the term of the restriction period after the termination or ending of the labor contract. Employers in most cases are also required to provide a severance payment to their employees after their employment relationships are terminated.</w:t>
      </w:r>
    </w:p>
    <w:p>
      <w:pPr>
        <w:spacing w:after="0" w:line="190"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Enterprises in China are required by PRC laws and regulations to participate in certain employee benefit plans, including social insurance funds, namely a pension plan, a medical insurance plan, an unemployment insurance plan, a work-related injury insurance plan and a maternity insurance plan, and a housing provident fund, and contribute to the plans or funds in amounts equal to certain percentages of salaries, including bonuses and allowances, of the employees as specified by the local government from time to time at locations where they operate their businesses or where they are located. According to the Social Insurance Law, an employer that fails to make social insurance contributions may be ordered to pay the required contributions within a stipulated deadline and be subject to a late fee. If the employer still fails to rectify the failure to make social insurance contributions within the stipulated deadline, it may be subject to a fine ranging from one to three times the amount overdue. According to the Regulations on Management of Housing Fund, an enterprise that fails to make housing fund contributions may be ordered to rectify the non-compliance and pay the required contributions within a stipulated deadline; otherwise, an application may be made to a local court for compulsory enforcement.</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Overseas Listing and M&amp;A</w:t>
      </w:r>
    </w:p>
    <w:p>
      <w:pPr>
        <w:spacing w:after="0" w:line="114" w:lineRule="exact"/>
        <w:rPr>
          <w:sz w:val="20"/>
          <w:szCs w:val="20"/>
          <w:color w:val="auto"/>
        </w:rPr>
      </w:pPr>
    </w:p>
    <w:p>
      <w:pPr>
        <w:ind w:left="240" w:right="160" w:firstLine="971"/>
        <w:spacing w:after="0" w:line="266" w:lineRule="auto"/>
        <w:rPr>
          <w:sz w:val="20"/>
          <w:szCs w:val="20"/>
          <w:color w:val="auto"/>
        </w:rPr>
      </w:pPr>
      <w:r>
        <w:rPr>
          <w:rFonts w:ascii="Times New Roman" w:cs="Times New Roman" w:eastAsia="Times New Roman" w:hAnsi="Times New Roman"/>
          <w:sz w:val="17"/>
          <w:szCs w:val="17"/>
          <w:color w:val="auto"/>
        </w:rPr>
        <w:t>On August 8, 2006, six PRC governmental and regulatory agencies, including the Ministry of Commerce and the CSRC, jointly promulgated the Regulations on Mergers and Acquisitions of Domestic Enterprises by Foreign Investors, a new regulation with respect to the mergers and acquisitions of domestic enterprises by foreign investors that became effective on September 8, 2006 and revised on June 22, 2009. Foreign investors shall comply with the M&amp;A rules when they purchase equity interests of a domestic company or subscribe for the increased capital of a domestic company, and thus changing the nature of the domestic company into a foreign invested enterprise; or when the foreign investors establish a foreign-invested enterprise in the PRC for the purpose of purchasing the assets of a domestic company and operating the asset; or when the foreign investors purchase the asset of a domestic company, establish a foreign-invested enterprise by injecting such assets, and operate the assets.</w:t>
      </w:r>
    </w:p>
    <w:p>
      <w:pPr>
        <w:spacing w:after="0" w:line="175"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60"/>
          </w:cols>
          <w:pgMar w:left="320" w:top="476" w:right="6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60" w:lineRule="auto"/>
        <w:rPr>
          <w:sz w:val="20"/>
          <w:szCs w:val="20"/>
          <w:color w:val="auto"/>
        </w:rPr>
      </w:pPr>
      <w:r>
        <w:rPr>
          <w:rFonts w:ascii="Times New Roman" w:cs="Times New Roman" w:eastAsia="Times New Roman" w:hAnsi="Times New Roman"/>
          <w:sz w:val="17"/>
          <w:szCs w:val="17"/>
          <w:color w:val="auto"/>
        </w:rPr>
        <w:t>On February 17, 2023, the CSRC, as approved by the State Council, released the Trial Measures. According to the Trial Measures, domestic companies in the Chinese mainland that directly or indirectly offer or list their securities in an overseas market, are required to file with the CSRC. Specifically, the securities under the Trial Measures refer to stocks, depositary receipts, convertible corporate bonds, exchangeable bonds and other equity-linked securities to be issued and offered in overseas markets by domestic companies directly or indirectly, while a direct offering and listing refers to the overseas offering and listing of a joint-stock company incorporated in the Chinese mainland, and an indirect offering and listing refers to the overseas offering and listing of a domestic company which conducts its business operations primarily in the Chinese mainland, in the name of an offshore company and based on the underlying equities, assets, earnings or similar interests of the domestic company. In particular, the determination of an indirect offering and listing will be conducted on a “substance over form” basis, and an offering and listing should be considered as an indirect overseas offering and listing by a domestic company if the issuer meets both of the following conditions: (i) any of the revenue, profits, total assets or net assets of such domestic company in the most recent financial year account for more than 50% of the corresponding data in the issuer’s audited consolidated financial statements for the same period; and (ii) the majority of its business operations are conducted in the Chinese mainland or its principal place of business is located in the Chinese mainland, or the majority of senior management in charge of business operations are Chinese citizens or have domicile in the Chinese mainland. According to the Trial Measures, an overseas offering and listing is prohibited under any of the following circumstances: (i) if the intended securities offering and listing is specifically prohibited by the laws, administrative regulations and provisions; (ii) if the intended securities offering and listing may constitute a threat to or endangers national security as reviewed and determined by competent authorities under the State Council in accordance with law; (iii) the domestic companies or their controlling shareholders or actual controllers have committed corruption, bribery, embezzlement, misappropriation of property, or other criminal offenses disruptive to the order of the socialist market economy in the past three years; (iv) the domestic companies are currently under investigations in connection with suspicion of having committed criminal offenses or material violations of applicable laws and regulations, and there is still no explicit conclusion; (v) there are material ownership disputes over the shareholdings held by the controlling shareholder or the shareholder under the control of the controlling shareholder or the actual controllers. According to the Trial Measures, the issuer or its affiliated domestic company, as the case may be, is required to file with the CSRC</w:t>
      </w:r>
    </w:p>
    <w:p>
      <w:pPr>
        <w:spacing w:after="0" w:line="12" w:lineRule="exact"/>
        <w:rPr>
          <w:sz w:val="20"/>
          <w:szCs w:val="20"/>
          <w:color w:val="auto"/>
        </w:rPr>
      </w:pPr>
    </w:p>
    <w:p>
      <w:pPr>
        <w:ind w:left="240" w:right="40" w:hanging="10"/>
        <w:spacing w:after="0" w:line="245" w:lineRule="auto"/>
        <w:tabs>
          <w:tab w:leader="none" w:pos="45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initial public offering and listing and its subsequent securities offering in an overseas market different from the market where it has listed, within three business days after its submission of listing application documents to the regulator in the place of intended listing, (ii) with respect to its follow-on offering in the same overseas market where it has listed (including issuance of any corporate convertible bonds, exchangeable bonds and other equity-linked securities, but excluding the offering for employees incentive, dividend distribution by shares and share split), within three business days after completion of such follow-on offering, (iii) with respect to listing by means of single or multiple acquisitions, share swap, transfers of shares and similar transactions, within three business days after its initial filing of the listing application or the first public announcement of the transaction, as case may be. Failure to comply with the filing requirements may result in an order of rectification, a warning and fines up to RMB10 million to the non-compliant domestic companies, and the directly responsible persons of the companies will be warned and fined between RMB500,000 and RMB5 million. Furthermore, if the controlling shareholder and the actual controller of the non-compliant companies organizes or instigates the breach, they will be fined between RMB1 million and RMB10 million. In addition to above filing requirements, the Filings Rules also requires an issuer to report to the CSRC within three business days after occurrence of any the following events: (i) its change of control; (ii) its being subject to investigation or sanctions by any overseas securities regulators or overseas authorities; (iii) its change of listing status or listing segment; (iv) voluntary or mandatory delisting; and (v) material change of its principal business operations to the extent that it ceases to be subject to the filing requirements of the Trial Measures.</w:t>
      </w:r>
    </w:p>
    <w:p>
      <w:pPr>
        <w:spacing w:after="0" w:line="2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Anti-Monopoly</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The currently effective Anti-Monopoly Law was promulgated by Standing Committee of the National People’s Congress in 2007 and most recently amended on June 24, 2022. Pursuant to the Anti-Monopoly Law, the operators of a concentration of undertakings which reaches the standard for declaration shall make an advance declaration to the Anti-Monopoly Law enforcement authority under the State Council. The fines for illegal concentration of business operators shall be “no more than ten percent of its preceding year’s sales revenue if the concentration of business operator has or may have an effect of excluding or limiting competition; or a fine of up to RMB5 million if the concentration of business operator does not have an effect of excluding or limiting competition.” Pursuant to the Anti-Monopoly Law, the authority may require the operators to make a declaration where there is evidence that the concentration has or may have the effect of eliminating or restricting competition, even if such concentration does not reach the filing threshold.</w:t>
      </w:r>
    </w:p>
    <w:p>
      <w:pPr>
        <w:spacing w:after="0" w:line="193"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promulgated the Anti-Monopoly Guidelines for the Internet Platform Economy Sector which stipulates that any concentration of undertakings involving variable interest entities shall fall within the scope of anti-monopoly review. Furthermore, the Guidelines to Anti-Monopoly in the Field of Internet Platforms prohibit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20"/>
          </w:cols>
          <w:pgMar w:left="320" w:top="476" w:right="5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Pursuant to the Anti-Unfair Competition Law promulgated by the Standing Committee of the National People’s Congress on September 2, 1993, which was last amended on June 27, 2025 and became effective on October 15, 2025, operators are prohibited from engaging in unfair competition activities such as market confusion, commercial bribery, misleading false publicity, infringement on trade secrets, price dumping, and illegitimate premium sales. Any operator in violation of the Anti-Unfair Competition Law may be ordered to cease illegal activities, eliminate the adverse effect thereof or compensate for the damages caused to any other party. The competent authorities may also confiscate any illegal gains or impose fines on these operators.</w:t>
      </w:r>
    </w:p>
    <w:p>
      <w:pPr>
        <w:spacing w:after="0" w:line="187"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In May 2024, the SAMR issued the Interim Measures on Online Anti-unfair Competition, which came into effect on September 1, 2024. These measures have improved the standards and regulatory requirements for various types of unfair online competition behaviors, including the new manifestations of traditional unfair competition behaviors such as counterfeiting, confusion and false advertising, and the new types of unfair competition behaviors conducted through technological means such as reverse bidding manipulation and illegal data acquisition. Regarding platform operators, the measures highlight the platform operators’ responsibilities and require platforms operators to strengthen the management of competition behavior within the platform. Necessary measures should be taken to deal with unfair competition behavior within the platform, relevant records should be kept, and timely reports should be made to the market supervision authorities. In addition, these Measures prohibit platforms from abusing their competitive advantages to obstruct the normal operation of network products or services of other operators, using service agreements or transaction rules to unreasonably restrict the transactions of operators within the platform, or charging unreasonable service fees to operators within the platform. If a platform operator fails to comply with the requirements of the measures, it may be subject to administrative penalties including rectification orders, fines and orders to suspend operations.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PRC Value Added Tax</w:t>
      </w:r>
    </w:p>
    <w:p>
      <w:pPr>
        <w:spacing w:after="0" w:line="114"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Pursuant to the Value-added Tax of the PRC promulgated by Standing Committee of the National People’s Congress on December 25, 2024 and became effective from January 1, 2026, which repealed the Provisional Regulations of the People’s Republic of China on Value-added Tax, promulgated on December 13, 1993 and last amended on November 19, 2017, along with the issuance of the Implementation Regulations for the Value-added Tax Law of the People’s Republic of China on December 25, 2025, and effective from January 1, 2026, all enterprises and individuals engaged in the sale of goods, the provision of processing, repair and replacement services, sales of services, intangible assets, real property, and the importation of goods within the territory of the PRC are subject to Value-added Tax.</w:t>
      </w:r>
    </w:p>
    <w:p>
      <w:pPr>
        <w:spacing w:after="0" w:line="187"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On March 23, 2016, the Ministry of Finance and the State Taxation Administration jointly issued the Circular on the Pilot Program for Overall Implementation of the Collection of Value Added Tax Instead of Business Tax, which took effect on May 1, 2016. Pursuant to this circular, all of the companies operating in construction, real estate, finance, modern service or other sectors which were required to pay business tax are required to pay VAT, in lieu of business tax. The VAT rate is 6%, except for rate of 11% for real estate sale, land use right transferring and providing service of transportation, postal sector, basic telecommunications, construction, real estate lease; rate of 17% for providing lease service of tangible property; and rate of zero for specific cross-bond activities.</w:t>
      </w:r>
    </w:p>
    <w:p>
      <w:pPr>
        <w:spacing w:after="0" w:line="187"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On April 4, 2018, the Ministry of Finance and the State Taxation Administration jointly promulgated the Circular of the Ministry of Finance and the State Taxation Administration on Adjustment of Value-Added Tax Rates, according to which, (i) for VAT taxable sales or importation of goods originally subject to value-added tax rates of 17% and 11% respectively, such tax rates shall be adjusted to 16% and 10%, respectively; (ii) for purchase of agricultural products originally subject to deduction rate of 11%, such deduction rate shall be adjusted to 10%; (iii) for purchase of agricultural products for the purpose of production and sales or consigned processing of goods subject to tax rate of 16%, the input VAT will be calculated at a 12% deduction rate; (iv) for exported goods originally subject to tax rate of 17% and export tax refund rate of 17%, the export tax refund rate shall be adjusted to 16%; and (v) for exported goods and cross-border taxable acts originally subject to tax rate of 11% and export tax refund rate of 11%, the export tax refund rate shall be adjusted to 10%. This circular became effective on May 1, 2018 and shall supersede any previously existing provisions in the case of any inconsistency.</w:t>
      </w:r>
    </w:p>
    <w:p>
      <w:pPr>
        <w:spacing w:after="0" w:line="190" w:lineRule="exact"/>
        <w:rPr>
          <w:sz w:val="20"/>
          <w:szCs w:val="20"/>
          <w:color w:val="auto"/>
        </w:rPr>
      </w:pPr>
    </w:p>
    <w:p>
      <w:pPr>
        <w:ind w:left="240" w:right="40" w:firstLine="971"/>
        <w:spacing w:after="0" w:line="264" w:lineRule="auto"/>
        <w:rPr>
          <w:sz w:val="20"/>
          <w:szCs w:val="20"/>
          <w:color w:val="auto"/>
        </w:rPr>
      </w:pPr>
      <w:r>
        <w:rPr>
          <w:rFonts w:ascii="Times New Roman" w:cs="Times New Roman" w:eastAsia="Times New Roman" w:hAnsi="Times New Roman"/>
          <w:sz w:val="17"/>
          <w:szCs w:val="17"/>
          <w:color w:val="auto"/>
        </w:rPr>
        <w:t>Further, on March 20, 2019, the Ministry of Finance, the State Taxation Administration and the General Administration of Customs jointly issued the Announcement on Policies for Deepening the VAT Reform, to further slash value-added tax rates. According to this announcement, (i) for general VAT payers’ sales activities or imports that are subject to VAT at an existing applicable rate of 16% or 10%, the applicable VAT rate is adjusted to 13% or 9% respectively; (ii) for the agricultural products purchased by taxpayers to which an existing 10% deduction rate is applicable, the deduction rate is adjusted to 9%; (iii) for the agricultural products purchased by taxpayers for production or commissioned processing, which are subject to VAT at 13%, the input VAT will be calculated at a 10% deduction rate; (iv) for the exportation of goods or labor services that are subject to VAT at 16%, with the applicable export refund at the same rate, the export refund rate is adjusted to 13%; (v) for the exportation of goods or cross-border taxable activities that are subject to VAT at 10%, with the export refund at the same rate, the export refund rate is adjusted to 9%; and (vi) for taxpayers providing production and living services, the deductible input VAT amount for the current period shall be added additional 10% based on the actual input VAT amount. This announcement came into effect on April 1, 2019 and shall be prevail in case of any conflict with existing provisions.</w:t>
      </w:r>
    </w:p>
    <w:p>
      <w:pPr>
        <w:spacing w:after="0" w:line="1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0"/>
          </w:cols>
          <w:pgMar w:left="320" w:top="476" w:right="5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Dividend Withholding Tax</w:t>
      </w:r>
    </w:p>
    <w:p>
      <w:pPr>
        <w:spacing w:after="0" w:line="114" w:lineRule="exact"/>
        <w:rPr>
          <w:sz w:val="20"/>
          <w:szCs w:val="20"/>
          <w:color w:val="auto"/>
        </w:rPr>
      </w:pPr>
    </w:p>
    <w:p>
      <w:pPr>
        <w:ind w:left="240" w:firstLine="971"/>
        <w:spacing w:after="0" w:line="260" w:lineRule="auto"/>
        <w:rPr>
          <w:sz w:val="20"/>
          <w:szCs w:val="20"/>
          <w:color w:val="auto"/>
        </w:rPr>
      </w:pPr>
      <w:r>
        <w:rPr>
          <w:rFonts w:ascii="Times New Roman" w:cs="Times New Roman" w:eastAsia="Times New Roman" w:hAnsi="Times New Roman"/>
          <w:sz w:val="17"/>
          <w:szCs w:val="17"/>
          <w:color w:val="auto"/>
        </w:rPr>
        <w:t>Pursuant to the Enterprise Income Tax Law and its implementation rules, if a non-resident enterprise has not set up an organization or establishment in the PRC, or has set up an organization or establishment but the income derived has no actual connection with such organization or establishment, it will be subject to a withholding tax on its PRC-sourced income at a rate of 10%. Pursuant to the Arrangement between the Chinese mainland and the Hong Kong Special Administrative Region for the Avoidance of Double Taxation and Tax Evasion on Income, the withholding tax rate in respect to the payment of dividends by a PRC enterprise to a Hong Kong enterprise is reduced to 5% from a standard rate of 10% if the Hong Kong enterprise directly holds at least 25% of the PRC enterprise. Pursuant to the Notice of the State Taxation Administration on the Issues concerning the Application of the Dividend Clauses of Tax Agreements, if the PRC tax authorities determine, in their discretion, that a company benefits from such reduced income tax rate due to a structure or arrangement that is primarily tax-driven, such PRC tax authorities may adjust the preferential tax treatment. Furthermore, the Administrative Measures for Non-Resident Taxpayer to Enjoy Treatments under Tax Treaties, which became effective in November 2015, require that non-resident enterprises which satisfy the criteria for entitlement to tax treaty benefits may, at the time of tax declaration or withholding declaration through a withholding agent, enjoy the tax treaty benefits, and be subject to ongoing administration by the tax authorities. In the case where the non-resident enterprises do not apply to the withholding agent to claim the tax treaty benefits, or the materials and the information stated in the reports and statements provided to the withholding agent do not satisfy the criteria for entitlement to tax treaty benefits, the withholding agent should withhold tax pursuant to the provisions of the PRC tax laws. The State Taxation Administration issued the Announcement of State Taxation Administration on Promulgation of the Administrative Measures on Non-resident Taxpayers Enjoying Treaty Benefits, or STA Circular 35, on October 14, 2019, which became effective on January 1, 2020. STA Circular 35 further simplified the procedures for enjoying treaty benefits and replaced the Administrative Measures for Non-Resident Taxpayer to Enjoy Treatments under Tax Treaties. According to STA Circular 35, no approvals from the tax authorities are required for a non-resident taxpayer to enjoy treaty benefits, where a nonresident taxpayer self-assesses and concludes that it satisfies the criteria for claiming treaty benefits, it may enjoy treaty benefits at the time of tax declaration or at the time of withholding through the withholding agent, but it shall gather and retain the materials as required for future inspection, and accept follow-up administration by the tax authorities. There are also other conditions for enjoying the reduced withholding tax rate according to other tax rules and regulations. According to the Circular on Several Issues regarding the “Beneficial Owner” in Tax Treaties, or Circular 9, which was issued on February 3, 2018 by the State Taxation Administration, effective as of April 1, 2018, when determining the applicant’s status of the “beneficial owner” regarding tax treatments in connection with dividends, interests or royalties in the tax treaties, several factors, including without limitation, whether the applicant is obligated to pay more than 50% of its income in twelve months to residents in third country or region, whether the business operated by the applicant constitutes the actual business activities, and whether the counterparty country or region to the tax treaties does not levy any tax or grant tax exemption on the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documents to the tax bureau according to the Administrative Measures for Non-Resident Enterprises to Enjoy Treatments under Tax Treaties. Accordingly, JD.com International Limited may be able to enjoy the 5% withholding tax rate for the dividends it received from Jingdong Century, if it satisfies the conditions prescribed under Notice of the State Taxation Administration on the Issues concerning the Application of the Dividend Clauses of Tax Agreements and other tax rules and regulations, and obtains the approvals as required. However, if the tax authorities consider the transactions or arrangements we have are for the primary purpose of enjoying a favorable tax treatment, the tax authorities may adjust the favorable withholding tax in the future.</w:t>
      </w:r>
    </w:p>
    <w:p>
      <w:pPr>
        <w:spacing w:after="0" w:line="3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320" w:top="476" w:right="5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w:t>
      </w:r>
    </w:p>
    <w:p>
      <w:pPr>
        <w:spacing w:after="0" w:line="114" w:lineRule="exact"/>
        <w:rPr>
          <w:sz w:val="20"/>
          <w:szCs w:val="20"/>
          <w:color w:val="auto"/>
        </w:rPr>
      </w:pPr>
    </w:p>
    <w:p>
      <w:pPr>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most recently amended in August 2008. Under the PRC foreign exchange regulations, payments of current account items, such as profit distributions and trade and service-related foreign exchange transactions, can be made in foreign currencies without prior approval from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w:t>
      </w:r>
    </w:p>
    <w:p>
      <w:pPr>
        <w:spacing w:after="0" w:line="187" w:lineRule="exact"/>
        <w:rPr>
          <w:sz w:val="20"/>
          <w:szCs w:val="20"/>
          <w:color w:val="auto"/>
        </w:rPr>
      </w:pPr>
    </w:p>
    <w:p>
      <w:pPr>
        <w:ind w:left="240" w:firstLine="971"/>
        <w:spacing w:after="0" w:line="261" w:lineRule="auto"/>
        <w:rPr>
          <w:sz w:val="20"/>
          <w:szCs w:val="20"/>
          <w:color w:val="auto"/>
        </w:rPr>
      </w:pPr>
      <w:r>
        <w:rPr>
          <w:rFonts w:ascii="Times New Roman" w:cs="Times New Roman" w:eastAsia="Times New Roman" w:hAnsi="Times New Roman"/>
          <w:sz w:val="17"/>
          <w:szCs w:val="17"/>
          <w:color w:val="auto"/>
        </w:rPr>
        <w:t>In August 2008, SAFE issued the Circular on the Relevant Operating Issues Concerning the Improvement of the Administration of the Payment and Settlement of Foreign Currency Capital of Foreign-Invested Enterprises, or SAFE Circular 142, regulating the conversion by a foreign-invested enterprise of foreign currency-registered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the PRC.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on Reforming the Management Approach regarding the Settlement of Foreign Capital of Foreign-invested Enterprise, which took effect and replaced SAFE Circular 142 from June 1, 2015. According to Circular 19, the foreign exchange capital of foreign-invested enterprises shall be subject to the Discretionary Foreign Exchange Settlement, which means that the foreign exchange capital in the capital account of a foreign-invested enterprise for which the rights and interests of monetary contribution have been confirmed by the local foreign exchange bureau (or the book-entry registration of monetary contribution by the banks) can be settled at the banks based on the actual operational needs of the foreign-invested enterprise, and if a foreign-invested enterprise needs to make further payment from such account, it still needs to provide supporting documents and proceed with the review process with the banks. Furthermore, Circular 19 stipulates that the use of capital by foreign-invested enterprises shall follow the principles of authenticity and self-use within the business scope of enterprises. The capital of a foreign-invested enterprise and capital in Renminbi obtained by the foreign-invested enterprise from foreign exchange settlement shall not be used for the following purposes: (i) directly or indirectly used for payments beyond the business scope of the enterprises or payments as prohibited by the laws and regulations; (ii) directly or indirectly used for investment in securities unless otherwise provided by the laws and regulations; (iii) directly or indirectly used for granting entrust loans in Renminbi (unless permitted by the scope of business), repaying inter-enterprise borrowings (including advances by the third-party) or repaying the bank loans in Renminbi that have been sub-lent to third parties; or (iv) directly or indirectly used for expenses related to the purchase of real estate that is not for self-use (except for the foreign-invested real estate enterprises). In November 2012, SAFE promulgated the Circular of Further Improving and Adjusting Foreign Exchange Administration Policies on Foreign Direct Investment which substantially amends and simplifies the current foreign exchange procedure. Pursuant to this circular, the opening of various special purpose foreign exchange accounts (e.g. pre-establishment expenses account, foreign exchange capital account, guarantee account), the reinvestment of lawful incomes derived by foreign investors in the PRC (e.g.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391"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In February 2015, SAFE promulgated The Circular of Further Improving and Adjusting Foreign Exchange Administration Policies on Foreign Direct Investment, which took effect on June 1, 2015 and was amended on December 30, 2019, cancels the administrative approvals of foreign exchange registration of direct domestic investment and direct overseas investment and simplifies the procedure of foreign exchange-related registration. Pursuant to this Circular, investors should register with banks for direct domestic investment and direct overseas investment.</w:t>
      </w:r>
    </w:p>
    <w:p>
      <w:pPr>
        <w:spacing w:after="0" w:line="185"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The Circular on Reforming and Standardizing the Foreign Exchange Settlement Management Policy of Capital Account, was promulgated by SAFE on June 9, 2016 and was amended on December 4, 2023. Pursuant to this Circular, enterprises registered in the PRC may also convert their foreign debts from foreign currency to Renminbi on a self-discretionary basis. This Circular reiterates the principle that Renminbi converted from foreign currency-denominated capital of a company may not be directly or indirectly used for purposes beyond its business scope or prohibited by PRC Laws, while such converted Renminbi shall not be provided as loans to its non-affiliated entities.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20"/>
          </w:cols>
          <w:pgMar w:left="320" w:top="476" w:right="5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October 2019, the SAFE promulgated the Notice for Further Advancing the Facilitation of Cross-border Trade and Investment</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(amended on December 4, 2023), which, among other things, allows all FIEs to use Renminbi converted from foreign currency denominated capital for</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investments in the Chinese mainland, as long as the equity investment is genuine, does not violate applicable laws, and complies with the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negative list on foreign investment. The Circular Regarding Further Optimizing the Cross-border RMB Policy to Support the Stabilization of Foreign</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Trade and Foreign Investment jointly promulgated by the People’s Bank of China, the NDRC, the Ministry of Commerce, the State-owned Assets</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Supervision and Administration Commission of the State Council, the China Banking and Insurance Regulatory Commission and SAFE on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December 31, 2020 and effective on February 4, 2021 allows the non-investment foreign-invested enterprises to make domestic reinvestment with RMB</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capital in accordance with the law on the premise that they comply with prevailing regulations and the invested projects in the Chinese mainland are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authentic and compliant. In addition, if a foreign-invested enterprise uses RMB income under capital accounts to conduct domestic reinvestment, the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invested enterprise is not required to open a special deposit account for RMB capital.</w:t>
      </w:r>
    </w:p>
    <w:p>
      <w:pPr>
        <w:spacing w:after="0" w:line="199"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According to the Circular of the State Administration for Foreign Exchange on Optimizing Foreign Exchange Administration to Support the Development of Foreign-related Business, promulgated and effective on April 10, 2020 by the SAFE, the reform of facilitating the payments of incomes under the capital accounts shall be promoted nationwide. Under the prerequisite of ensuring true and compliant use of funds and compliance and complying with the prevailing administrative provisions on use of income from capital projects, enterprises which satisfy the criteria are allowed to use income under the capital account, such as capital funds, foreign debt and overseas listing, etc., for domestic payment, without the need to provide proof materials for veracity to the bank beforehand for each transaction.</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320" w:top="476" w:right="5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95" w:lineRule="exact"/>
        <w:rPr>
          <w:sz w:val="20"/>
          <w:szCs w:val="20"/>
          <w:color w:val="auto"/>
        </w:rPr>
      </w:pPr>
    </w:p>
    <w:p>
      <w:pPr>
        <w:ind w:left="660" w:hanging="430"/>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46" w:lineRule="exact"/>
        <w:rPr>
          <w:sz w:val="20"/>
          <w:szCs w:val="20"/>
          <w:color w:val="auto"/>
        </w:rPr>
      </w:pPr>
    </w:p>
    <w:p>
      <w:pPr>
        <w:ind w:left="240" w:firstLine="971"/>
        <w:spacing w:after="0" w:line="255" w:lineRule="auto"/>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and the consolidated variable interest entities as of February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34290</wp:posOffset>
            </wp:positionV>
            <wp:extent cx="7054850" cy="79914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54850" cy="7991475"/>
                    </a:xfrm>
                    <a:prstGeom prst="rect">
                      <a:avLst/>
                    </a:prstGeom>
                    <a:noFill/>
                  </pic:spPr>
                </pic:pic>
              </a:graphicData>
            </a:graphic>
          </wp:anchor>
        </w:drawing>
      </w:r>
    </w:p>
    <w:p>
      <w:pPr>
        <w:sectPr>
          <w:pgSz w:w="11900" w:h="16838" w:orient="portrait"/>
          <w:cols w:equalWidth="0" w:num="1">
            <w:col w:w="11000"/>
          </w:cols>
          <w:pgMar w:left="320" w:top="476"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000"/>
          </w:cols>
          <w:pgMar w:left="320" w:top="476" w:right="57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292735</wp:posOffset>
            </wp:positionV>
            <wp:extent cx="7556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w:t>
      </w:r>
    </w:p>
    <w:p>
      <w:pPr>
        <w:spacing w:after="0" w:line="82" w:lineRule="exact"/>
        <w:rPr>
          <w:sz w:val="20"/>
          <w:szCs w:val="20"/>
          <w:color w:val="auto"/>
        </w:rPr>
      </w:pPr>
    </w:p>
    <w:p>
      <w:pPr>
        <w:ind w:left="660" w:hanging="430"/>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Assets Holding Limited has 81 subsidiaries holding, directly or indirectly, non-logistics properties.</w:t>
      </w:r>
    </w:p>
    <w:p>
      <w:pPr>
        <w:ind w:left="660" w:hanging="430"/>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Asia Development Limited has 530 subsidiaries holding, directly or indirectly, logistics properties.</w:t>
      </w:r>
    </w:p>
    <w:p>
      <w:pPr>
        <w:spacing w:after="0" w:line="2" w:lineRule="exact"/>
        <w:rPr>
          <w:rFonts w:ascii="Times New Roman" w:cs="Times New Roman" w:eastAsia="Times New Roman" w:hAnsi="Times New Roman"/>
          <w:sz w:val="18"/>
          <w:szCs w:val="18"/>
          <w:color w:val="auto"/>
        </w:rPr>
      </w:pPr>
    </w:p>
    <w:p>
      <w:pPr>
        <w:ind w:left="660" w:right="20" w:hanging="430"/>
        <w:spacing w:after="0" w:line="245"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360, Jiangsu Yuanzhou, Xi’an Jingdong Xincheng, Jiangsu Jingdong Bangneng, and Suqian Hanyu are the significant consolidated variable interest entities with which we have contractual arrangements. Each of Jingdong 360, Jiangsu Yuanzhou, Xi’an Jingdong Xincheng and Jiangsu Jingdong Bangneng is 45% owned by Mr. Qin Miao, 30% owned by Ms. Yayun Li and 25% owned by Ms. Pang Zhang. Suqian Hanyu is 45% owned by Mr. Qin Miao, 30% owned by Ms. Tingting Sui and 25% owned by Ms. Pang Zhang. Mr. Qin Miao is a vice president of our company, Ms. Yayun Li was a senior vice president of our company, Ms. Pang Zhang is our chief human resources officer, and Ms. Tingting Sui is a vice president of our company. We are in the process of replacing Ms. Li with Ms. Sui as the shareholders of the consolidated variable interest entities.</w:t>
      </w:r>
    </w:p>
    <w:p>
      <w:pPr>
        <w:spacing w:after="0" w:line="1"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Jingdong Century has 457 subsidiaries that engage in retail business.</w:t>
      </w:r>
    </w:p>
    <w:p>
      <w:pPr>
        <w:spacing w:after="0" w:line="4"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JD.com Investment Limited has 136 subsidiaries that hold, directly or indirectly, the companies invested by us.</w:t>
      </w:r>
    </w:p>
    <w:p>
      <w:pPr>
        <w:spacing w:after="0" w:line="5" w:lineRule="exact"/>
        <w:rPr>
          <w:sz w:val="20"/>
          <w:szCs w:val="20"/>
          <w:color w:val="auto"/>
        </w:rPr>
      </w:pPr>
    </w:p>
    <w:p>
      <w:pPr>
        <w:ind w:left="660" w:hanging="430"/>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diagram above omits our equity investees that are insignificant individually and in the aggregate.</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Consolidated Variable Interest Entities</w:t>
      </w:r>
    </w:p>
    <w:p>
      <w:pPr>
        <w:spacing w:after="0" w:line="99"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Under current PRC laws and regulations, foreign ownership of certain of our businesses is subject to restrictions, such as value-added telecommunication services and domestic document delivery services. For example, foreign investors are not allowed to own more than 50% of the equity interests in a value-added telecommunication service provider (excluding e-commerce, domestic multi-party communications, data collection and transmission services and call centers), except for certain limited pilot regions under a pilot program.</w:t>
      </w:r>
    </w:p>
    <w:p>
      <w:pPr>
        <w:spacing w:after="0" w:line="145" w:lineRule="exact"/>
        <w:rPr>
          <w:sz w:val="20"/>
          <w:szCs w:val="20"/>
          <w:color w:val="auto"/>
        </w:rPr>
      </w:pPr>
    </w:p>
    <w:p>
      <w:pPr>
        <w:ind w:left="240" w:right="20" w:firstLine="971"/>
        <w:spacing w:after="0" w:line="266" w:lineRule="auto"/>
        <w:rPr>
          <w:sz w:val="20"/>
          <w:szCs w:val="20"/>
          <w:color w:val="auto"/>
        </w:rPr>
      </w:pPr>
      <w:r>
        <w:rPr>
          <w:rFonts w:ascii="Times New Roman" w:cs="Times New Roman" w:eastAsia="Times New Roman" w:hAnsi="Times New Roman"/>
          <w:sz w:val="17"/>
          <w:szCs w:val="17"/>
          <w:color w:val="auto"/>
        </w:rPr>
        <w:t>JD.com, Inc. is a Cayman Islands exempted company and its PRC subsidiaries are considered foreign-invested enterprises. Accordingly, our PRC subsidiaries may not be eligible to provide certain restricted services related to our businesses. As a result, we conduct or will conduct such business activities through the consolidated variable interest entities and their subsidiaries in PRC, including Jingdong 360, Jiangsu Yuanzhou, Xi’an Jingdong Xincheng and its subsidiary Beijing Jingbangda, Jiangsu Jingdong Bangneng, and Suqian Hanyu. Jingdong 360 holds our ICP license as an internet information provider and primarily engages in our online marketplace business. Xi’an Jingdong Xincheng primarily provides courier services through Beijing Jingbangda and its subsidiaries. Jiangsu Yuanzhou primarily engages in the business of selling books, audio and video products. Jiangsu Jingdong Bangneng primarily engages in business of investment management. Suqian Hanyu primarily provide technology services.</w:t>
      </w:r>
    </w:p>
    <w:p>
      <w:pPr>
        <w:spacing w:after="0" w:line="136" w:lineRule="exact"/>
        <w:rPr>
          <w:sz w:val="20"/>
          <w:szCs w:val="20"/>
          <w:color w:val="auto"/>
        </w:rPr>
      </w:pPr>
    </w:p>
    <w:p>
      <w:pPr>
        <w:ind w:left="240" w:right="260" w:firstLine="971"/>
        <w:spacing w:after="0" w:line="251" w:lineRule="auto"/>
        <w:rPr>
          <w:sz w:val="20"/>
          <w:szCs w:val="20"/>
          <w:color w:val="auto"/>
        </w:rPr>
      </w:pPr>
      <w:r>
        <w:rPr>
          <w:rFonts w:ascii="Times New Roman" w:cs="Times New Roman" w:eastAsia="Times New Roman" w:hAnsi="Times New Roman"/>
          <w:sz w:val="18"/>
          <w:szCs w:val="18"/>
          <w:color w:val="auto"/>
        </w:rPr>
        <w:t>Each of Jingdong 360, Jiangsu Yuanzhou, Xi’an Jingdong Xincheng and Jiangsu Jingdong Bangneng is 45% owned by Mr. Qin Miao, 30% owned by Ms. Yayun Li, and 25% owned by Ms. Pang Zhang. Suqian Hanyu is 45% owned by Mr. Qin Miao, 30% owned by Ms. Tingting Sui, and 25% owned by Ms. Pang Zhang. Mr. Qin Miao is a vice president of our company, Ms. Yayun Li was a senior vice president of our company, Ms. Pang Zhang is our chief human resources officer and Ms. Tingting Sui is a vice president of our company. Mr. Miao, Ms. Li, Ms. Zhang and Ms. Sui are PRC citizens.</w:t>
      </w:r>
    </w:p>
    <w:p>
      <w:pPr>
        <w:spacing w:after="0" w:line="147"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We obtained control over Jingdong 360 through Jingdong Century in April 2007 by entering into a series of contractual arrangements with Jingdong 360 and the shareholders of Jingdong 360, which we refer to as the Jingdong 360 Agreements. The Jingdong 360 Agreements were subsequently amended and restated. In September 2022, due to a change in the shareholders of Jingdong 360, a new set of contractual arrangements were entered into among Jingdong Century, Jingdong 360 and the shareholders of Jingdong 360. We have been the primary beneficiary of Jingdong 360 since April 2007. We treat Jingdong 360 as the variable interest entity and have consolidated its financial results in our consolidated financial statements in accordance with U.S. GAAP.</w:t>
      </w:r>
    </w:p>
    <w:p>
      <w:pPr>
        <w:spacing w:after="0" w:line="160" w:lineRule="exact"/>
        <w:rPr>
          <w:sz w:val="20"/>
          <w:szCs w:val="20"/>
          <w:color w:val="auto"/>
        </w:rPr>
      </w:pPr>
    </w:p>
    <w:p>
      <w:pPr>
        <w:ind w:left="240" w:right="280" w:firstLine="971"/>
        <w:spacing w:after="0" w:line="253" w:lineRule="auto"/>
        <w:rPr>
          <w:sz w:val="20"/>
          <w:szCs w:val="20"/>
          <w:color w:val="auto"/>
        </w:rPr>
      </w:pPr>
      <w:r>
        <w:rPr>
          <w:rFonts w:ascii="Times New Roman" w:cs="Times New Roman" w:eastAsia="Times New Roman" w:hAnsi="Times New Roman"/>
          <w:sz w:val="18"/>
          <w:szCs w:val="18"/>
          <w:color w:val="auto"/>
        </w:rPr>
        <w:t>Similarly, we obtained control over our other significant consolidated variable interest entities, including Jiangsu Yuanzhou, Xi’an Jingdong Xincheng, Jiangsu Jingdong Bangneng and Suqian Hanyu through contractual arrangements with their shareholders. We treat each of these entities as the variable interest entity and have consolidated their financial results in our consolidated financial statements in accordance with U.S. GAAP.</w:t>
      </w:r>
    </w:p>
    <w:p>
      <w:pPr>
        <w:spacing w:after="0" w:line="145"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In addition to the significant consolidated variable interest entities above, we assisted in establishing additional consolidated variable interest entities, such as Suqian Jingdong Tianning. We have entered into a series of contractual arrangements with each of these variable interest entities and their respective shareholders.</w:t>
      </w:r>
    </w:p>
    <w:p>
      <w:pPr>
        <w:spacing w:after="0" w:line="13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contractual arrangements relating to the consolidated variable interest entities allow us to:</w:t>
      </w:r>
    </w:p>
    <w:p>
      <w:pPr>
        <w:spacing w:after="0" w:line="97" w:lineRule="exact"/>
        <w:rPr>
          <w:sz w:val="20"/>
          <w:szCs w:val="20"/>
          <w:color w:val="auto"/>
        </w:rPr>
      </w:pPr>
    </w:p>
    <w:p>
      <w:pPr>
        <w:ind w:left="1180" w:hanging="421"/>
        <w:spacing w:after="0"/>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the consolidated variable interest entities; and</w:t>
      </w:r>
    </w:p>
    <w:p>
      <w:pPr>
        <w:spacing w:after="0" w:line="97" w:lineRule="exact"/>
        <w:rPr>
          <w:rFonts w:ascii="Times New Roman" w:cs="Times New Roman" w:eastAsia="Times New Roman" w:hAnsi="Times New Roman"/>
          <w:sz w:val="18"/>
          <w:szCs w:val="18"/>
          <w:color w:val="auto"/>
        </w:rPr>
      </w:pPr>
    </w:p>
    <w:p>
      <w:pPr>
        <w:ind w:left="1180" w:right="180" w:hanging="421"/>
        <w:spacing w:after="0" w:line="270" w:lineRule="auto"/>
        <w:tabs>
          <w:tab w:leader="none" w:pos="11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the consolidated variable interest entities when and to the extent permitted by PRC law.</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320" w:top="476" w:right="5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There are certain risks involved in our corporate structure and the contractual arrangements. A detailed discussion of material risks relating to our Contractual Arrangements is set forth in the section headed “Item 3.D. Key Information—Risk Factors—Risks Related to Our Corporate Structure.” We have determined that the costs of insurance for the risks associated with our corporate structure and the difficulties associated with acquiring such insurance on commercially reasonable terms make it impractical for us to have such insurance. Accordingly, as of December 31, 2025, we did not purchase any insurance to cover the risks relating to the contractual arrangements.</w:t>
      </w:r>
    </w:p>
    <w:p>
      <w:pPr>
        <w:spacing w:after="0" w:line="187" w:lineRule="exact"/>
        <w:rPr>
          <w:sz w:val="20"/>
          <w:szCs w:val="20"/>
          <w:color w:val="auto"/>
        </w:rPr>
      </w:pPr>
    </w:p>
    <w:p>
      <w:pPr>
        <w:ind w:left="240" w:right="140" w:firstLine="971"/>
        <w:spacing w:after="0" w:line="280" w:lineRule="auto"/>
        <w:rPr>
          <w:sz w:val="20"/>
          <w:szCs w:val="20"/>
          <w:color w:val="auto"/>
        </w:rPr>
      </w:pPr>
      <w:r>
        <w:rPr>
          <w:rFonts w:ascii="Times New Roman" w:cs="Times New Roman" w:eastAsia="Times New Roman" w:hAnsi="Times New Roman"/>
          <w:sz w:val="17"/>
          <w:szCs w:val="17"/>
          <w:color w:val="auto"/>
        </w:rPr>
        <w:t>We have consolidated the financial results of the consolidated variable interest entities and their subsidiaries in our consolidated financial statements in accordance with U.S. GAAP. The external revenues of the consolidated variable interest entities and their subsidiaries collectively contributed 7.8%, 8.7% and 6.8% of our consolidated total net revenues for the years ended December 31, 2023, 2024 and 2025, respectively.</w:t>
      </w:r>
    </w:p>
    <w:p>
      <w:pPr>
        <w:spacing w:after="0" w:line="1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the opinion of Shihui Partners, our PRC legal counsel:</w:t>
      </w:r>
    </w:p>
    <w:p>
      <w:pPr>
        <w:spacing w:after="0" w:line="124" w:lineRule="exact"/>
        <w:rPr>
          <w:sz w:val="20"/>
          <w:szCs w:val="20"/>
          <w:color w:val="auto"/>
        </w:rPr>
      </w:pPr>
    </w:p>
    <w:p>
      <w:pPr>
        <w:ind w:left="1180" w:right="340" w:hanging="421"/>
        <w:spacing w:after="0" w:line="258"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the consolidated variable interest entities and the PRC subsidiaries that have entered into contractual arrangements with the variable interest entities, including Jingdong Century, will not result in any violation of PRC laws or regulations currently in effect; and</w:t>
      </w:r>
    </w:p>
    <w:p>
      <w:pPr>
        <w:spacing w:after="0" w:line="85" w:lineRule="exact"/>
        <w:rPr>
          <w:rFonts w:ascii="Times New Roman" w:cs="Times New Roman" w:eastAsia="Times New Roman" w:hAnsi="Times New Roman"/>
          <w:sz w:val="18"/>
          <w:szCs w:val="18"/>
          <w:color w:val="auto"/>
        </w:rPr>
      </w:pPr>
    </w:p>
    <w:p>
      <w:pPr>
        <w:ind w:left="1180" w:right="260" w:hanging="421"/>
        <w:spacing w:after="0" w:line="258" w:lineRule="auto"/>
        <w:tabs>
          <w:tab w:leader="none" w:pos="11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the PRC subsidiaries, including Jingdong Century, the variable interest entities and their respective shareholders governed by PRC law are valid, legally binding and enforceable, and will not result in any violation of PRC laws or regulations currently in effect.</w:t>
      </w:r>
    </w:p>
    <w:p>
      <w:pPr>
        <w:spacing w:after="0" w:line="179" w:lineRule="exact"/>
        <w:rPr>
          <w:sz w:val="20"/>
          <w:szCs w:val="20"/>
          <w:color w:val="auto"/>
        </w:rPr>
      </w:pPr>
    </w:p>
    <w:p>
      <w:pPr>
        <w:ind w:left="240" w:right="180" w:firstLine="971"/>
        <w:spacing w:after="0" w:line="255" w:lineRule="auto"/>
        <w:rPr>
          <w:sz w:val="20"/>
          <w:szCs w:val="20"/>
          <w:color w:val="auto"/>
        </w:rPr>
      </w:pPr>
      <w:r>
        <w:rPr>
          <w:rFonts w:ascii="Times New Roman" w:cs="Times New Roman" w:eastAsia="Times New Roman" w:hAnsi="Times New Roman"/>
          <w:sz w:val="18"/>
          <w:szCs w:val="18"/>
          <w:color w:val="auto"/>
        </w:rPr>
        <w:t>However, we have been further advised by our PRC legal counsel that there are uncertainties regarding the interpretation and application of current and future PRC laws, regulations and rules. Accordingly, the PRC regulatory authorities may in the future take a view that is</w:t>
      </w:r>
    </w:p>
    <w:p>
      <w:pPr>
        <w:spacing w:after="0" w:line="1" w:lineRule="exact"/>
        <w:rPr>
          <w:sz w:val="20"/>
          <w:szCs w:val="20"/>
          <w:color w:val="auto"/>
        </w:rPr>
      </w:pPr>
    </w:p>
    <w:p>
      <w:pPr>
        <w:ind w:left="240"/>
        <w:spacing w:after="0" w:line="246" w:lineRule="auto"/>
        <w:rPr>
          <w:sz w:val="20"/>
          <w:szCs w:val="20"/>
          <w:color w:val="auto"/>
        </w:rPr>
      </w:pPr>
      <w:r>
        <w:rPr>
          <w:rFonts w:ascii="Times New Roman" w:cs="Times New Roman" w:eastAsia="Times New Roman" w:hAnsi="Times New Roman"/>
          <w:sz w:val="18"/>
          <w:szCs w:val="18"/>
          <w:color w:val="auto"/>
        </w:rPr>
        <w:t>different from the above opinion of our PRC legal counsel. We have been further advised by our PRC counsel that if the PRC government finds that the agreements that establish the structure for operating our online retail and marketplace business do not comply with PRC government restrictions on foreign investment in e-commerce and related businesses, including online retail and marketplace businesses, we could be subject to severe penalties including being prohibited from continuing operations. See “Item 3.D. Key Information—Risk Factors—Risks Related to Our Corporate Structure—If the PRC government determines that the contractual arrangements constituting part of the consolidated variable interest entities structure do not comply with PRC laws and regulations, or if these laws and regulations change or are interpreted differently in the future, we could be subject to severe penalties or be forced to relinquish our interests in those operations.”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Contractual Arrangements with the Significant Consolidated Variable Interest Entities</w:t>
      </w:r>
    </w:p>
    <w:p>
      <w:pPr>
        <w:spacing w:after="0" w:line="112" w:lineRule="exact"/>
        <w:rPr>
          <w:sz w:val="20"/>
          <w:szCs w:val="20"/>
          <w:color w:val="auto"/>
        </w:rPr>
      </w:pPr>
    </w:p>
    <w:p>
      <w:pPr>
        <w:jc w:val="both"/>
        <w:ind w:left="240" w:right="440" w:firstLine="971"/>
        <w:spacing w:after="0" w:line="258" w:lineRule="auto"/>
        <w:rPr>
          <w:sz w:val="20"/>
          <w:szCs w:val="20"/>
          <w:color w:val="auto"/>
        </w:rPr>
      </w:pPr>
      <w:r>
        <w:rPr>
          <w:rFonts w:ascii="Times New Roman" w:cs="Times New Roman" w:eastAsia="Times New Roman" w:hAnsi="Times New Roman"/>
          <w:sz w:val="18"/>
          <w:szCs w:val="18"/>
          <w:color w:val="auto"/>
        </w:rPr>
        <w:t>The Jingdong 360 Agreements, Jiangsu Yuanzhou Agreements, Xi’an Jingdong Xincheng Agreements, Jiangsu Jingdong Bangneng Agreements and Suqian Hanyu Agreements are substantially similar in key aspects governing the contractual arrangements with a variable interest entity. The following is a summary of these agreements currently in effect.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Control</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114"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color w:val="auto"/>
        </w:rPr>
        <w:t>On September 16, 2022, Jingdong Century, Jingdong 360 and each of the shareholders of Jingdong 360 entered into an equity pledge agreement, pursuant to which each of the shareholders of Jingdong 360 has pledged all of his equity interest in Jingdong 360 to guarantee their and Jingdong 360’s performance of his obligations under, where applicable, the exclusive technology consulting and services agreement, loan agreement, exclusive purchase option agreement and power of attorney. If Jingdong 360 or the shareholders of Jingdong 360 breach their contractual obligations under these agreements, Jingdong Century, as pledgee, will have the right to dispose of the pledged equity interests. The shareholders of Jingdong 360 agree that, during the term of the equity pledge agreements, they will not dispose of the pledged equity interests or create or allow any encumbrance on the pledged equity interests, and they also agree that Jingdong Century’s rights relating to the equity pledge should not be prejudiced by the legal actions of the shareholders, their successors or their designates. During the term of the equity pledge agreements, Jingdong Century has the right to receive all of the dividends and profits distributed on the pledged equity. The equity pledge agreements will terminate on the second anniversary of the date when Jingdong 360 and the shareholders of Jingdong 360 have completed all their obligations under the exclusive technology consulting and services agreement, loan agreement, exclusive purchase option agreement and powers of attorney.</w:t>
      </w:r>
    </w:p>
    <w:p>
      <w:pPr>
        <w:spacing w:after="0" w:line="1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320" w:top="476" w:right="5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right="38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Jiangsu Yuanzhou and each of the shareholders of Jiangsu Yuanzhou entered into an equity pledge agreement, which contains terms substantially similar to the amended and restated equity pledge agreement relating to Jingdong 360 described above.</w:t>
      </w:r>
    </w:p>
    <w:p>
      <w:pPr>
        <w:spacing w:after="0" w:line="179"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Jiangsu Jingdong Bangneng and each of the shareholders of Jiangsu Jingdong Bangneng entered into an equity pledge agreement, which contains terms substantially similar to the amended and restated equity pledge agreement relating to Jingdong 360 described above.</w:t>
      </w:r>
    </w:p>
    <w:p>
      <w:pPr>
        <w:spacing w:after="0" w:line="179" w:lineRule="exact"/>
        <w:rPr>
          <w:sz w:val="20"/>
          <w:szCs w:val="20"/>
          <w:color w:val="auto"/>
        </w:rPr>
      </w:pPr>
    </w:p>
    <w:p>
      <w:pPr>
        <w:ind w:left="240" w:right="120" w:firstLine="971"/>
        <w:spacing w:after="0" w:line="300" w:lineRule="auto"/>
        <w:rPr>
          <w:sz w:val="20"/>
          <w:szCs w:val="20"/>
          <w:color w:val="auto"/>
        </w:rPr>
      </w:pPr>
      <w:r>
        <w:rPr>
          <w:rFonts w:ascii="Times New Roman" w:cs="Times New Roman" w:eastAsia="Times New Roman" w:hAnsi="Times New Roman"/>
          <w:sz w:val="17"/>
          <w:szCs w:val="17"/>
          <w:color w:val="auto"/>
        </w:rPr>
        <w:t>On March 20, 2026, Jiangsu Huiji, Suqian Hanyu and each of the shareholders of Suqian Hanyu entered into an equity pledge agreement, which contains terms substantially similar to the amended and restated equity pledge agreement relating to Jingdong 360 described above.</w:t>
      </w:r>
    </w:p>
    <w:p>
      <w:pPr>
        <w:spacing w:after="0" w:line="146"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On September 16, 2022, Xi’an Jingxundi, Xi’an Jingdong Xincheng and the shareholders of Xi’an Jingdong Xincheng entered into a share pledge agreement, pursuant to which the shareholders of Xi’an Jingdong Xincheng will pledge as first charge all of their respective equity interests in Xi’an Jingdong Xincheng to Xi’an Jingxundi as collateral security for any or all of their payments due to Xi’an Jingxundi and to secure performance of their obligations under the exclusive business cooperation agreement, the exclusive option agreement, the loan agreement, the shareholders’ rights entrustment agreement and the powers of attorney.</w:t>
      </w:r>
    </w:p>
    <w:p>
      <w:pPr>
        <w:spacing w:after="0" w:line="187" w:lineRule="exact"/>
        <w:rPr>
          <w:sz w:val="20"/>
          <w:szCs w:val="20"/>
          <w:color w:val="auto"/>
        </w:rPr>
      </w:pPr>
    </w:p>
    <w:p>
      <w:pPr>
        <w:ind w:left="240" w:right="320" w:firstLine="971"/>
        <w:spacing w:after="0" w:line="270" w:lineRule="auto"/>
        <w:rPr>
          <w:sz w:val="20"/>
          <w:szCs w:val="20"/>
          <w:color w:val="auto"/>
        </w:rPr>
      </w:pPr>
      <w:r>
        <w:rPr>
          <w:rFonts w:ascii="Times New Roman" w:cs="Times New Roman" w:eastAsia="Times New Roman" w:hAnsi="Times New Roman"/>
          <w:sz w:val="18"/>
          <w:szCs w:val="18"/>
          <w:color w:val="auto"/>
        </w:rPr>
        <w:t>We have completed the registration of the equity pledge for substantially all the consolidated variable interest entities with the relevant office of the administration for market regulation.</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114" w:lineRule="exact"/>
        <w:rPr>
          <w:sz w:val="20"/>
          <w:szCs w:val="20"/>
          <w:color w:val="auto"/>
        </w:rPr>
      </w:pPr>
    </w:p>
    <w:p>
      <w:pPr>
        <w:ind w:left="240" w:right="100" w:firstLine="971"/>
        <w:spacing w:after="0" w:line="266" w:lineRule="auto"/>
        <w:rPr>
          <w:sz w:val="20"/>
          <w:szCs w:val="20"/>
          <w:color w:val="auto"/>
        </w:rPr>
      </w:pPr>
      <w:r>
        <w:rPr>
          <w:rFonts w:ascii="Times New Roman" w:cs="Times New Roman" w:eastAsia="Times New Roman" w:hAnsi="Times New Roman"/>
          <w:sz w:val="17"/>
          <w:szCs w:val="17"/>
          <w:color w:val="auto"/>
        </w:rPr>
        <w:t>On September 16, 2022, each of the shareholders of Jingdong 360 granted an irrevocable power of attorney to replace the irrevocable powers of attorney previously executed. Pursuant to the irrevocable power of attorney, each of the shareholders of Jingdong 360 appointed Jingdong Century’s designated person as his attorney-in-fact to exercise all shareholder rights, including voting on their behalf on all matters of Jingdong 360 requiring shareholder approval, disposing of all or part of the shareholder’s equity interest in Jingdong 360, and electing, appointing or removing directors and executive officers. The person designated by Jingdong Century is entitled to dispose of dividends and profits on the equity interest subject to the instructions of the shareholder. Each power of attorney will remain in force for so long as the shareholder remains a shareholder of Jingdong 360. Each shareholder has waived all the rights which have been authorized to Jingdong Century’s designated person under each power of attorney.</w:t>
      </w: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On September 30, 2022, each of the shareholders of Jiangsu Yuanzhou granted an irrevocable power of attorney to Shanghai Shengdayuan.</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powers of attorney contain terms substantially similar to the powers of attorney granted by the shareholders of Jingdong 360 described above.</w:t>
      </w:r>
    </w:p>
    <w:p>
      <w:pPr>
        <w:spacing w:after="0" w:line="199" w:lineRule="exact"/>
        <w:rPr>
          <w:sz w:val="20"/>
          <w:szCs w:val="20"/>
          <w:color w:val="auto"/>
        </w:rPr>
      </w:pPr>
    </w:p>
    <w:p>
      <w:pPr>
        <w:ind w:left="240" w:right="340" w:firstLine="971"/>
        <w:spacing w:after="0" w:line="300" w:lineRule="auto"/>
        <w:rPr>
          <w:sz w:val="20"/>
          <w:szCs w:val="20"/>
          <w:color w:val="auto"/>
        </w:rPr>
      </w:pPr>
      <w:r>
        <w:rPr>
          <w:rFonts w:ascii="Times New Roman" w:cs="Times New Roman" w:eastAsia="Times New Roman" w:hAnsi="Times New Roman"/>
          <w:sz w:val="17"/>
          <w:szCs w:val="17"/>
          <w:color w:val="auto"/>
        </w:rPr>
        <w:t>On September 30, 2022, each of the shareholders of Jiangsu Jingdong Bangneng granted an irrevocable power of attorney to Shanghai Shengdayuan, which contains terms substantially similar to the powers of attorney granted by the shareholders of Jingdong 360 described above.</w:t>
      </w:r>
    </w:p>
    <w:p>
      <w:pPr>
        <w:spacing w:after="0" w:line="146" w:lineRule="exact"/>
        <w:rPr>
          <w:sz w:val="20"/>
          <w:szCs w:val="20"/>
          <w:color w:val="auto"/>
        </w:rPr>
      </w:pPr>
    </w:p>
    <w:p>
      <w:pPr>
        <w:ind w:left="240" w:right="180" w:firstLine="971"/>
        <w:spacing w:after="0" w:line="270" w:lineRule="auto"/>
        <w:rPr>
          <w:sz w:val="20"/>
          <w:szCs w:val="20"/>
          <w:color w:val="auto"/>
        </w:rPr>
      </w:pPr>
      <w:r>
        <w:rPr>
          <w:rFonts w:ascii="Times New Roman" w:cs="Times New Roman" w:eastAsia="Times New Roman" w:hAnsi="Times New Roman"/>
          <w:sz w:val="18"/>
          <w:szCs w:val="18"/>
          <w:color w:val="auto"/>
        </w:rPr>
        <w:t>On March 20, 2026, each of the shareholders of Suqian Hanyu granted an irrevocable power of attorney to Jiangsu Huiji, which contains terms substantially similar to the powers of attorney granted by the shareholders of Jingdong 360 described above.</w:t>
      </w:r>
    </w:p>
    <w:p>
      <w:pPr>
        <w:spacing w:after="0" w:line="169"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On September 16, 2022, Xi’an Jingxundi, Xi’an Jingdong Xincheng and the shareholders of Xi’an Jingdong Xincheng entered into a shareholder’s rights entrustment agreement, and each of the shareholders of Xi’an Jingdong Xincheng executed the irrevocable power of attorney on the same date, pursuant to which the shareholders of Xi’an Jingdong Xincheng appointed Xi’an Jingxundi or a director of its offshore holding company or his or her successor (including a liquidator replacing Xi’an Jingxundi’s director) as their exclusive agent and attorney to act on their behalf on all matters concerning Xi’an Jingdong Xincheng and to exercise all of its rights as a registered shareholder of Xi’an Jingdong Xincheng. As a result of the shareholders’ rights entrustment agreement and the powers of attorney, we, through Xi’an Jingxundi, are able to exercise management control over the activities that most significantly impact the economic performance of Xi’an Jingdong Xincheng.</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320" w:top="476" w:right="5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Allow Us to Receive Economic Benefits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Technology Consulting and Service Agreement/Exclusive Business Cooperation Agreement</w:t>
      </w:r>
    </w:p>
    <w:p>
      <w:pPr>
        <w:spacing w:after="0" w:line="114"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On September 16, 2022, Jingdong Century and Jingdong 360 entered into an exclusive technology consulting and services agreement, which supersedes the version entered into in June 2016. Pursuant to the 2022 agreement, Jingdong Century has the sole and exclusive right to provide specified technology consulting and services to Jingdong 360. Without the prior written consent of Jingdong Century, Jingdong 360 may not accept the same or similar technology consulting and services provided by any third party during the term of the agreement. All the benefits and interests generated from the agreement, including intellectual property rights, know-how and trade secrets, will be Jingdong Century’s sole and exclusive rights. Jingdong 360 agrees to pay service fees to Jingdong Century on a quarterly basis and the amount of the service fee is decided by Jingdong Century on the basis of the work performed and commercial value of the services, subject to annual evaluation and adjustment. The agreement is valid for ten years and may be extended unilaterally by Jingdong Century with Jingdong Century’s written confirmation prior to the expiration date. Jingdong 360 cannot terminate the agreement early unless Jingdong Century commits fraud, gross negligence or illegal acts, or becomes bankrupt or winds up.</w:t>
      </w:r>
    </w:p>
    <w:p>
      <w:pPr>
        <w:spacing w:after="0" w:line="180" w:lineRule="exact"/>
        <w:rPr>
          <w:sz w:val="20"/>
          <w:szCs w:val="20"/>
          <w:color w:val="auto"/>
        </w:rPr>
      </w:pPr>
    </w:p>
    <w:p>
      <w:pPr>
        <w:ind w:left="240" w:right="46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and Jiangsu Yuanzhou entered into an exclusive technology consulting and services agreement, which contains terms substantially similar to the exclusive technology consulting and services agreement relating to Jingdong 360 as described above.</w:t>
      </w:r>
    </w:p>
    <w:p>
      <w:pPr>
        <w:spacing w:after="0" w:line="179" w:lineRule="exact"/>
        <w:rPr>
          <w:sz w:val="20"/>
          <w:szCs w:val="20"/>
          <w:color w:val="auto"/>
        </w:rPr>
      </w:pPr>
    </w:p>
    <w:p>
      <w:pPr>
        <w:ind w:left="240" w:right="16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and Jiangsu Jingdong Bangneng entered into an exclusive technology consulting and services agreement, which contains terms substantially similar to the exclusive technology consulting and services agreement relating to Jingdong 360 as described above.</w:t>
      </w:r>
    </w:p>
    <w:p>
      <w:pPr>
        <w:spacing w:after="0" w:line="179" w:lineRule="exact"/>
        <w:rPr>
          <w:sz w:val="20"/>
          <w:szCs w:val="20"/>
          <w:color w:val="auto"/>
        </w:rPr>
      </w:pPr>
    </w:p>
    <w:p>
      <w:pPr>
        <w:ind w:left="240" w:right="440" w:firstLine="971"/>
        <w:spacing w:after="0" w:line="300" w:lineRule="auto"/>
        <w:rPr>
          <w:sz w:val="20"/>
          <w:szCs w:val="20"/>
          <w:color w:val="auto"/>
        </w:rPr>
      </w:pPr>
      <w:r>
        <w:rPr>
          <w:rFonts w:ascii="Times New Roman" w:cs="Times New Roman" w:eastAsia="Times New Roman" w:hAnsi="Times New Roman"/>
          <w:sz w:val="17"/>
          <w:szCs w:val="17"/>
          <w:color w:val="auto"/>
        </w:rPr>
        <w:t>On March 20, 2026, Jiangsu Huiji and Suqian Hanyu entered into an exclusive technology consulting and services agreement, which contains terms substantially similar to the exclusive technology consulting and services agreement relating to Jingdong 360 as described above.</w:t>
      </w:r>
    </w:p>
    <w:p>
      <w:pPr>
        <w:spacing w:after="0" w:line="146"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On September 16, 2022, Xi’an Jingxundi and Xi’an Jingdong Xincheng entered into an exclusive business cooperation agreement, pursuant to which Xi’an Jingdong Xincheng agrees to engage Xi’an Jingxundi as its exclusive provider of business support, technical and consulting services in exchange for service fees. Under these arrangements, the service fees, subject to Xi’an Jingxundi’s adjustment, are equal to all of the net profit of Xi’an Jingdong Xincheng and its subsidiaries. Xi’an Jingxundi enjoys all the economic benefits derived from the businesses of Xi’an Jingdong Xincheng and bears the relevant portion of the business risks of Xi’an Jingdong Xincheng. If Xi’an Jingdong Xincheng runs into financial deficit or suffers severe operation difficulties, Xi’an Jingxundi will provide financial support to Xi’an Jingdong Xincheng.</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Operations Agreement</w:t>
      </w:r>
    </w:p>
    <w:p>
      <w:pPr>
        <w:spacing w:after="0" w:line="114" w:lineRule="exact"/>
        <w:rPr>
          <w:sz w:val="20"/>
          <w:szCs w:val="20"/>
          <w:color w:val="auto"/>
        </w:rPr>
      </w:pPr>
    </w:p>
    <w:p>
      <w:pPr>
        <w:ind w:left="240" w:right="20" w:firstLine="971"/>
        <w:spacing w:after="0" w:line="264" w:lineRule="auto"/>
        <w:rPr>
          <w:sz w:val="20"/>
          <w:szCs w:val="20"/>
          <w:color w:val="auto"/>
        </w:rPr>
      </w:pPr>
      <w:r>
        <w:rPr>
          <w:rFonts w:ascii="Times New Roman" w:cs="Times New Roman" w:eastAsia="Times New Roman" w:hAnsi="Times New Roman"/>
          <w:sz w:val="17"/>
          <w:szCs w:val="17"/>
          <w:color w:val="auto"/>
        </w:rPr>
        <w:t>On September 16, 2022, Jingdong Century entered into a business operations agreement with Jingdong 360 and its shareholders. Pursuant to the business operations agreement, Jingdong 360’s shareholders must appoint the candidates nominated by Jingdong Century to be the directors on its board of directors in accordance with applicable laws and the articles of association of Jingdong 360, and must cause the persons recommended by Jingdong Century to be appointed as its general manager, chief financial officer and other senior executives. Jingdong 360 and its shareholders also agree to accept and strictly follow the guidance provided by Jingdong Century from time to time relating to employment, termination of employment, daily operations and financial management. Moreover, Jingdong 360 and its shareholders agree that Jingdong 360 will not engage in any transactions that could materially affect its assets, business, personnel, liabilities, rights or operations, including the incurrence of debt from any third party and the amendment of Jingdong 360’s articles of association, without the prior consent of Jingdong Century’s respective designees. Unless otherwise terminated early by Jingdong Century, the agreement will remain effective until Jingdong 360 is dissolved according to the PRC law.</w:t>
      </w:r>
    </w:p>
    <w:p>
      <w:pPr>
        <w:spacing w:after="0" w:line="1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320" w:top="476" w:right="5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entered into a business operations agreement with Jiangsu Yuanzhou and its shareholders. The business operations agreement with Jiangsu Yuanzhou contains terms substantially similar to the amended and restated business operations agreement with Jingdong 360 described above.</w:t>
      </w:r>
    </w:p>
    <w:p>
      <w:pPr>
        <w:spacing w:after="0" w:line="179" w:lineRule="exact"/>
        <w:rPr>
          <w:sz w:val="20"/>
          <w:szCs w:val="20"/>
          <w:color w:val="auto"/>
        </w:rPr>
      </w:pPr>
    </w:p>
    <w:p>
      <w:pPr>
        <w:ind w:left="240" w:right="30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entered into a business operations agreement with Jiangsu Jingdong Bangneng and its shareholders. The business operations agreement with Jiangsu Jingdong Bangneng contains terms substantially similar to the amended and restated business operations agreement with Jingdong 360 described above.</w:t>
      </w:r>
    </w:p>
    <w:p>
      <w:pPr>
        <w:spacing w:after="0" w:line="179"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On March 20, 2026, Jiangsu Huiji entered into a business operations agreement with Suqian Hanyu and its shareholders. The business operations agreement with Suqian Hanyu contains terms substantially similar to the amended and restated business operations agreement with Jingdong 360 described above.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the Option to Purchase the Equity Interest</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Purchase Option Agreements</w:t>
      </w:r>
    </w:p>
    <w:p>
      <w:pPr>
        <w:spacing w:after="0" w:line="114"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On September 16, 2022, Jingdong Century, Jingdong 360 and the shareholders of Jingdong 360 entered into an amended and restated exclusive purchase option agreement in replacement of the previous exclusive purchase option agreements. Pursuant to the amended and restated exclusive purchase option agreement, the shareholders of Jingdong 360 irrevocably grant Jingdong Century an exclusive option to purchase or have its designated persons to purchase at its discretion, to the extent permitted under PRC law, all or part of their equity interests in Jingdong 360. In addition, the purchase price should equal the amount that the shareholders contributed to Jingdong 360 as registered capital for the equity interest to be purchased, or be the lowest price permitted by applicable PRC law. Without the prior written consent of Jingdong Century, Jingdong 360 may not amend its articles of associate, increase or decrease the registered capital, sell or otherwise dispose of its assets or beneficial interest, create or allow any encumbrance on its assets or other beneficial interests, provide any loans for any third parties, enter into any material contract (except those contracts entered into in the ordinary course of business), merge with or acquire any other persons or make any investments, or distribute dividends to the shareholders. The shareholders of Jingdong 360 agree that, without the prior written consent of Jingdong Century, they will not dispose of their equity interests in Jingdong 360 or create or allow any encumbrance on the equity interests. The initial term of the amended and restated exclusive purchase option agreement is 10 years and can be renewed for an additional 10 years on the same terms at Jingdong Century’s option, for an unlimited number of times.</w:t>
      </w:r>
    </w:p>
    <w:p>
      <w:pPr>
        <w:spacing w:after="0" w:line="179" w:lineRule="exact"/>
        <w:rPr>
          <w:sz w:val="20"/>
          <w:szCs w:val="20"/>
          <w:color w:val="auto"/>
        </w:rPr>
      </w:pPr>
    </w:p>
    <w:p>
      <w:pPr>
        <w:ind w:left="240" w:right="200" w:firstLine="971"/>
        <w:spacing w:after="0" w:line="253" w:lineRule="auto"/>
        <w:rPr>
          <w:sz w:val="20"/>
          <w:szCs w:val="20"/>
          <w:color w:val="auto"/>
        </w:rPr>
      </w:pPr>
      <w:r>
        <w:rPr>
          <w:rFonts w:ascii="Times New Roman" w:cs="Times New Roman" w:eastAsia="Times New Roman" w:hAnsi="Times New Roman"/>
          <w:sz w:val="18"/>
          <w:szCs w:val="18"/>
          <w:color w:val="auto"/>
        </w:rPr>
        <w:t>On September 30, 2022, Shanghai Shengdayuan, Jiangsu Yuanzhou and the shareholders of Jiangsu Yuanzhou entered into an amended and restated exclusive purchase option agreement in replacement of the previous exclusive purchase option agreement. The amended and restated exclusive purchase option agreement contains terms substantially similar to the amended and restated exclusive purchase option agreement relating to Jingdong 360 described above.</w:t>
      </w:r>
    </w:p>
    <w:p>
      <w:pPr>
        <w:spacing w:after="0" w:line="185"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On September 30, 2022, Shanghai Shengdayuan, Jiangsu Jingdong Bangneng and the shareholders of Jiangsu Jingdong Bangneng entered into an exclusive purchase option agreement, which contains terms substantially similar to the amended and restated exclusive purchase option agreement relating to Jingdong 360 described above.</w:t>
      </w:r>
    </w:p>
    <w:p>
      <w:pPr>
        <w:spacing w:after="0" w:line="179" w:lineRule="exact"/>
        <w:rPr>
          <w:sz w:val="20"/>
          <w:szCs w:val="20"/>
          <w:color w:val="auto"/>
        </w:rPr>
      </w:pPr>
    </w:p>
    <w:p>
      <w:pPr>
        <w:jc w:val="both"/>
        <w:ind w:left="240" w:right="560" w:firstLine="971"/>
        <w:spacing w:after="0" w:line="258" w:lineRule="auto"/>
        <w:rPr>
          <w:sz w:val="20"/>
          <w:szCs w:val="20"/>
          <w:color w:val="auto"/>
        </w:rPr>
      </w:pPr>
      <w:r>
        <w:rPr>
          <w:rFonts w:ascii="Times New Roman" w:cs="Times New Roman" w:eastAsia="Times New Roman" w:hAnsi="Times New Roman"/>
          <w:sz w:val="18"/>
          <w:szCs w:val="18"/>
          <w:color w:val="auto"/>
        </w:rPr>
        <w:t>On March 20, 2026, Jiangsu Huiji, Suqian Hanyu and the shareholders of Suqian Hanyu entered into an exclusive purchase option agreement, which contains terms substantially similar to the amended and restated exclusive purchase option agreement relating to Jingdong 360 described above.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320" w:top="476" w:right="5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40" w:firstLine="971"/>
        <w:spacing w:after="0" w:line="250" w:lineRule="auto"/>
        <w:rPr>
          <w:sz w:val="20"/>
          <w:szCs w:val="20"/>
          <w:color w:val="auto"/>
        </w:rPr>
      </w:pPr>
      <w:r>
        <w:rPr>
          <w:rFonts w:ascii="Times New Roman" w:cs="Times New Roman" w:eastAsia="Times New Roman" w:hAnsi="Times New Roman"/>
          <w:sz w:val="18"/>
          <w:szCs w:val="18"/>
          <w:color w:val="auto"/>
        </w:rPr>
        <w:t>On September 16, 2022, Xi’an Jingxundi, Xi’an Jingdong Xincheng and the shareholders of Xi’an Jingdong Xincheng entered into an exclusive purchase option agreement, pursuant to which Xi’an Jingxundi (or JD Logistics or any subsidiary of JD Logistics, the “designee”) is granted an irrevocable and exclusive right to purchase all of the equity interest in and/or assets of Xi’an Jingdong Xincheng for a nominal price, unless the government authorities or the PRC laws request that another amount be used as the purchase price, in which case the purchase price shall be the lowest amount under such request. Subject to PRC laws and regulations, the shareholders of Xi’an Jingdong Xincheng and/ or Xi’an Jingdong Xincheng shall return any amount of purchase price they have received to Xi’an Jingxundi or its designee.</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Pursuant to an amended and restated loan agreement dated September 16, 2022 between Jingdong Century and the shareholders of Jingdong 360, Jingdong Century made loans to the shareholders of Jingdong 360 for the capitalization of Jingdong 360 and purchase of equity interest of Jingdong 360. Pursuant to the amended and restated loan agreement, the shareholders can only repay the loans by the sale of all their equity interest in Jingdong 360 to Jingdong Century or its designated person. The shareholders must sell all of their equity interests in Jingdong 360 to Jingdong Century or its designated person and pay all of the proceeds from sale of such equity interests or the maximum amount permitted under PRC law to Jingdong Century. In the event that shareholders sell their equity interests to Jingdong Century or its designated person with a price equivalent to or less than the amount of the principal, the loans will be interest free. If the price is higher than the amount of the principal, the excess amount will be paid to Jingdong Century as the loan interest. The maturity date of the loans is on the tenth anniversary of the date when the shareholders received the loans and paid the amount as capital contribution to Jingdong 360. The term of the loans will be extended automatically for an additional 10 years, unless Jingdong Century objects, for an unlimited number of times. The loan must be repaid immediately under certain circumstances, including, among others, (i) if the shareholders terminate their services with us, (ii) if any other third-party claims against shareholders for an amount more than RMB100,000 and Jingdong Century has reasonable ground to believe that the shareholders are unable to repay the claimed amount, (iii) if a foreign investor is permitted to hold majority or 100% equity interest in Jingdong 360 and Jingdong Century elects to exercise its exclusive equity purchase option, or (iv) if the loan agreement, equity pledge agreement or exclusive purchase option agreement terminates for cause not attributable to Jingdong Century or is deemed to be invalid by a court.</w:t>
      </w:r>
    </w:p>
    <w:p>
      <w:pPr>
        <w:spacing w:after="0" w:line="189" w:lineRule="exact"/>
        <w:rPr>
          <w:sz w:val="20"/>
          <w:szCs w:val="20"/>
          <w:color w:val="auto"/>
        </w:rPr>
      </w:pPr>
    </w:p>
    <w:p>
      <w:pPr>
        <w:ind w:left="240" w:right="380" w:firstLine="971"/>
        <w:spacing w:after="0" w:line="258" w:lineRule="auto"/>
        <w:rPr>
          <w:sz w:val="20"/>
          <w:szCs w:val="20"/>
          <w:color w:val="auto"/>
        </w:rPr>
      </w:pPr>
      <w:r>
        <w:rPr>
          <w:rFonts w:ascii="Times New Roman" w:cs="Times New Roman" w:eastAsia="Times New Roman" w:hAnsi="Times New Roman"/>
          <w:sz w:val="18"/>
          <w:szCs w:val="18"/>
          <w:color w:val="auto"/>
        </w:rPr>
        <w:t>Pursuant to the loan agreement dated September 30, 2022 between Shanghai Shengdayuan and the shareholders of Jiangsu Yuanzhou, Shanghai Shengdayuan made loans to the shareholders of Jiangsu Yuanzhou for the capitalization of Jiangsu Yuanzhou and the purchase of equity interest of Jiangsu Yuanzhou.</w:t>
      </w:r>
    </w:p>
    <w:p>
      <w:pPr>
        <w:spacing w:after="0" w:line="179" w:lineRule="exact"/>
        <w:rPr>
          <w:sz w:val="20"/>
          <w:szCs w:val="20"/>
          <w:color w:val="auto"/>
        </w:rPr>
      </w:pPr>
    </w:p>
    <w:p>
      <w:pPr>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Pursuant to the loan agreement dated September 30, 2022 between Shanghai Shengdayuan and the shareholders of Jiangsu Jingdong Bangneng, Shanghai Shengdayuan made loans to the shareholders of Jiangsu Jingdong Bangneng for the capitalization of Jiangsu Jingdong Bangneng and the purchase of equity interest of Jiangsu Jingdong Bangneng.</w:t>
      </w:r>
    </w:p>
    <w:p>
      <w:pPr>
        <w:spacing w:after="0" w:line="179"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Pursuant to the loan agreement dated March 20, 2026 between Jiangsu Huiji and the shareholders of Suqian Hanyu, Jiangsu Huiji made loans to the shareholders of Suqian Hanyu for the capitalization of Suqian Hanyu and the purchase of equity interest of Suqian Hanyu.</w:t>
      </w:r>
    </w:p>
    <w:p>
      <w:pPr>
        <w:spacing w:after="0" w:line="169"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Pursuant to the loan agreement, dated September 16, 2022, between Xi’an Jingxundi and the shareholders of Xi’an Jingdong Xincheng, Xi’an Jingxundi made loans to the shareholders of Xi’an Jingdong Xincheng solely for the capitalization of Xi’an Jingdong Xincheng.</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Additional Contractual Arrangements</w:t>
      </w:r>
    </w:p>
    <w:p>
      <w:pPr>
        <w:spacing w:after="0" w:line="112" w:lineRule="exact"/>
        <w:rPr>
          <w:sz w:val="20"/>
          <w:szCs w:val="20"/>
          <w:color w:val="auto"/>
        </w:rPr>
      </w:pPr>
    </w:p>
    <w:p>
      <w:pPr>
        <w:ind w:left="240" w:right="340" w:firstLine="971"/>
        <w:spacing w:after="0" w:line="249" w:lineRule="auto"/>
        <w:rPr>
          <w:sz w:val="20"/>
          <w:szCs w:val="20"/>
          <w:color w:val="auto"/>
        </w:rPr>
      </w:pPr>
      <w:r>
        <w:rPr>
          <w:rFonts w:ascii="Times New Roman" w:cs="Times New Roman" w:eastAsia="Times New Roman" w:hAnsi="Times New Roman"/>
          <w:sz w:val="18"/>
          <w:szCs w:val="18"/>
          <w:color w:val="auto"/>
        </w:rPr>
        <w:t>In addition to the Jingdong 360 Agreements, Jiangsu Yuanzhou Agreements, Xi’an Jingdong Xincheng Agreements, Jiangsu Jingdong Bangneng Agreements and Suqian Hanyu Agreements, we have also entered into contractual arrangements with each of the other variable interest entities, including Suqian Jingdong Tianning, and their respective shareholders, including equity pledge agreements, powers of attorney, exclusive technology consulting and services agreements, business operations agreements, exclusive purchase option agreements and loan agreements, as applicable. Our contractual agreements with these other variable interest entities contain terms substantially similar to those in the Jingdong 360 Agreements, Jiangsu Yuanzhou Agreements, Xi’an Jingdong Xincheng Agreements, Jiangsu Jingdong Bangneng Agreements or Suqian Hanyu Agreements, as applicable.</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320" w:top="476" w:right="5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hanging="430"/>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12" w:lineRule="exact"/>
        <w:rPr>
          <w:sz w:val="20"/>
          <w:szCs w:val="20"/>
          <w:color w:val="auto"/>
        </w:rPr>
      </w:pPr>
    </w:p>
    <w:p>
      <w:pPr>
        <w:ind w:left="240" w:right="60" w:firstLine="971"/>
        <w:spacing w:after="0" w:line="300" w:lineRule="auto"/>
        <w:rPr>
          <w:sz w:val="20"/>
          <w:szCs w:val="20"/>
          <w:color w:val="auto"/>
        </w:rPr>
      </w:pPr>
      <w:r>
        <w:rPr>
          <w:rFonts w:ascii="Times New Roman" w:cs="Times New Roman" w:eastAsia="Times New Roman" w:hAnsi="Times New Roman"/>
          <w:sz w:val="17"/>
          <w:szCs w:val="17"/>
          <w:color w:val="auto"/>
        </w:rPr>
        <w:t>Our national headquarters are located in Yizhuang Economic and Technological Development Zone in Beijing, where we own office buildings with an aggregate floor area of approximately 1,415,000 square meters. We have acquired land use rights in Beijing to build our headquarters.</w:t>
      </w:r>
    </w:p>
    <w:p>
      <w:pPr>
        <w:spacing w:after="0" w:line="146" w:lineRule="exact"/>
        <w:rPr>
          <w:sz w:val="20"/>
          <w:szCs w:val="20"/>
          <w:color w:val="auto"/>
        </w:rPr>
      </w:pPr>
    </w:p>
    <w:p>
      <w:pPr>
        <w:ind w:left="240" w:right="880" w:firstLine="971"/>
        <w:spacing w:after="0" w:line="270" w:lineRule="auto"/>
        <w:rPr>
          <w:sz w:val="20"/>
          <w:szCs w:val="20"/>
          <w:color w:val="auto"/>
        </w:rPr>
      </w:pPr>
      <w:r>
        <w:rPr>
          <w:rFonts w:ascii="Times New Roman" w:cs="Times New Roman" w:eastAsia="Times New Roman" w:hAnsi="Times New Roman"/>
          <w:sz w:val="18"/>
          <w:szCs w:val="18"/>
          <w:color w:val="auto"/>
        </w:rPr>
        <w:t>In addition, we lease our other offices in Beijing and regional offices in 82 other cities in China with an aggregate floor area of approximately 591,000 square meters.</w:t>
      </w:r>
    </w:p>
    <w:p>
      <w:pPr>
        <w:spacing w:after="0" w:line="169"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We own our global training center, national customer service center and our data center in Suqian, which have an aggregate floor area of approximately 213,000, 868,000 and 133,000 square meters, respectively. We built our own customer service center in Chengdu, with an aggregate floor area of about 255,000 square meters, and lease our customer service centers in Datong and Wuhan with an aggregate floor area of approximately 69,000 square meters.</w:t>
      </w:r>
    </w:p>
    <w:p>
      <w:pPr>
        <w:spacing w:after="0" w:line="185"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As of December 31, 2025, we have developed, owned or managed Modern Infrastructure Assets across 29 provincial-level administrative regions in China and 12 countries and regions overseas. Highly automated and efficient warehouses will not only expand our ability to fulfill orders by ourselves but also support the third-party merchants on our online marketplace as well as a wide range of business partners in the ecosystem. As of December 31, 2025, our nationwide fulfillment infrastructure covered almost all counties and districts across China, with a network of over 1,600 warehouses with an aggregate gross floor area of over 34 million square meters. We incurred total lease cost of RMB12,275 million, RMB12,197 million and RMB12,618 million (US$1,804 million) in 2023, 2024 and 2025, respectively.</w:t>
      </w:r>
    </w:p>
    <w:p>
      <w:pPr>
        <w:spacing w:after="0" w:line="187" w:lineRule="exact"/>
        <w:rPr>
          <w:sz w:val="20"/>
          <w:szCs w:val="20"/>
          <w:color w:val="auto"/>
        </w:rPr>
      </w:pPr>
    </w:p>
    <w:p>
      <w:pPr>
        <w:jc w:val="both"/>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We plan to expand our nationwide fulfillment network by leasing, building or purchasing additional facilities across China over the next several years. As of December 31, 2025, we had incurred construction in progress costs of RMB6,503 million (US$930 million) for these fulfillment facilities and new office buildings.</w:t>
      </w:r>
    </w:p>
    <w:p>
      <w:pPr>
        <w:sectPr>
          <w:pgSz w:w="11900" w:h="16838" w:orient="portrait"/>
          <w:cols w:equalWidth="0" w:num="1">
            <w:col w:w="11000"/>
          </w:cols>
          <w:pgMar w:left="320" w:top="476" w:right="579" w:bottom="1440" w:gutter="0" w:footer="0" w:header="0"/>
        </w:sectPr>
      </w:pP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Unresolved Staff Comments</w:t>
      </w:r>
    </w:p>
    <w:p>
      <w:pPr>
        <w:spacing w:after="0" w:line="124" w:lineRule="exact"/>
        <w:rPr>
          <w:sz w:val="20"/>
          <w:szCs w:val="20"/>
          <w:color w:val="auto"/>
        </w:rPr>
      </w:pPr>
    </w:p>
    <w:p>
      <w:pPr>
        <w:sectPr>
          <w:pgSz w:w="11900" w:h="16838" w:orient="portrait"/>
          <w:cols w:equalWidth="0" w:num="2">
            <w:col w:w="880" w:space="420"/>
            <w:col w:w="9700"/>
          </w:cols>
          <w:pgMar w:left="320" w:top="476" w:right="57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1000"/>
          </w:cols>
          <w:pgMar w:left="320" w:top="476" w:right="579" w:bottom="1440" w:gutter="0" w:footer="0" w:header="0"/>
          <w:type w:val="continuous"/>
        </w:sectPr>
      </w:pP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and Financial Review and Prospects</w:t>
      </w:r>
    </w:p>
    <w:p>
      <w:pPr>
        <w:spacing w:after="0" w:line="124" w:lineRule="exact"/>
        <w:rPr>
          <w:sz w:val="20"/>
          <w:szCs w:val="20"/>
          <w:color w:val="auto"/>
        </w:rPr>
      </w:pPr>
    </w:p>
    <w:p>
      <w:pPr>
        <w:sectPr>
          <w:pgSz w:w="11900" w:h="16838" w:orient="portrait"/>
          <w:cols w:equalWidth="0" w:num="2">
            <w:col w:w="760" w:space="540"/>
            <w:col w:w="9700"/>
          </w:cols>
          <w:pgMar w:left="320" w:top="476" w:right="579" w:bottom="1440" w:gutter="0" w:footer="0" w:header="0"/>
          <w:type w:val="continuous"/>
        </w:sect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is based upon, and should be read in conjunction with, our audited consolidated financial statements and the related notes included in this annual report.</w:t>
      </w:r>
    </w:p>
    <w:p>
      <w:pPr>
        <w:spacing w:after="0" w:line="169"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This report contains forward-looking statements. See “Forward-Looking Information.” In evaluating our business, you should carefully consider the information provided under the caption “Item 3.D. Key Information—Risk Factors” in this annual report.</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caution you that our businesses and financial performance are subject to substantial risks and uncertainties.</w:t>
      </w:r>
    </w:p>
    <w:p>
      <w:pPr>
        <w:spacing w:after="0" w:line="359" w:lineRule="exact"/>
        <w:rPr>
          <w:sz w:val="20"/>
          <w:szCs w:val="20"/>
          <w:color w:val="auto"/>
        </w:rPr>
      </w:pPr>
    </w:p>
    <w:p>
      <w:pPr>
        <w:ind w:left="660" w:hanging="430"/>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4"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We are a leading supply chain-based technology and service provider. Our e-commerce business includes online retail and online marketplace. In the online retail business, we acquire products from suppliers and sell them directly to our customers primarily through our mobile apps and websites. In the online marketplace business, third-party merchants sell products to customers primarily through our mobile apps and websites. We also offer marketing, logistics and other value-added services.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320" w:top="476" w:right="57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40" w:firstLine="971"/>
        <w:spacing w:after="0" w:line="253" w:lineRule="auto"/>
        <w:rPr>
          <w:sz w:val="20"/>
          <w:szCs w:val="20"/>
          <w:color w:val="auto"/>
        </w:rPr>
      </w:pPr>
      <w:r>
        <w:rPr>
          <w:rFonts w:ascii="Times New Roman" w:cs="Times New Roman" w:eastAsia="Times New Roman" w:hAnsi="Times New Roman"/>
          <w:sz w:val="18"/>
          <w:szCs w:val="18"/>
          <w:color w:val="auto"/>
        </w:rPr>
        <w:t>We generated total net revenues of RMB1,084.7 billion, RMB1,158.8 billion and RMB1,309.1 billion (US$187.2 billion) in 2023, 2024 and 2025, respectively. Our online retail business generated net product revenues of RMB871.2 billion, RMB928.0 billion and RMB1,023.8 billion (US$146.4 billion) in 2023, 2024 and 2025, respectively. In addition, our marketplace and marketing, logistics and other services generated net service revenues of RMB213.4 billion, RMB230.8 billion and RMB285.3 billion (US$40.8 billion) in 2023, 2024 and 2025, respectively.</w:t>
      </w:r>
    </w:p>
    <w:p>
      <w:pPr>
        <w:spacing w:after="0" w:line="185" w:lineRule="exact"/>
        <w:rPr>
          <w:sz w:val="20"/>
          <w:szCs w:val="20"/>
          <w:color w:val="auto"/>
        </w:rPr>
      </w:pPr>
    </w:p>
    <w:p>
      <w:pPr>
        <w:ind w:left="240" w:right="220" w:firstLine="971"/>
        <w:spacing w:after="0" w:line="253" w:lineRule="auto"/>
        <w:rPr>
          <w:sz w:val="20"/>
          <w:szCs w:val="20"/>
          <w:color w:val="auto"/>
        </w:rPr>
      </w:pPr>
      <w:r>
        <w:rPr>
          <w:rFonts w:ascii="Times New Roman" w:cs="Times New Roman" w:eastAsia="Times New Roman" w:hAnsi="Times New Roman"/>
          <w:sz w:val="18"/>
          <w:szCs w:val="18"/>
          <w:color w:val="auto"/>
        </w:rPr>
        <w:t>Due to the PRC legal restrictions on foreign ownership of companies that engage in a value-added telecommunications service business and certain other businesses in China, we conduct the relevant parts of our operations through consolidated variable interest entities. We have contractual arrangements with these entities and their shareholders that enable us to effectively control and receive substantially all of the economic benefits from the entities. Accordingly, we consolidate the results of these entities in our financial statements.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112"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general factors driving China’s retail industry, including levels of per capita disposable income and consumer spending in China. In addition, they are also affected by factors driving online retail in China, such as the growing number of online shoppers, the adoption of online sales strategies by manufacturers and service providers, the availability of improved delivery services and the increasing variety of payment options. Our results of operations are also affected by general economic conditions in China. In particular, we have experienced and expect to continue to experience upward pressure on our operating expenses.</w:t>
      </w:r>
    </w:p>
    <w:p>
      <w:pPr>
        <w:spacing w:after="0" w:line="187"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Our results of operations are also affected by PRC regulations and industry policies related to our business operations, licenses and permits and corporate structure. For example, the product quality and consumer protection laws require us to ensure the quality of the goods we sell and give customers the right to return goods within seven days of receipt with no questions asked, the labor contract law and related rules require employers to enter into written contracts with workers and to pay compensation to workers who are terminated under certain circumstances, regulations on foreign ownership and on transfer of funds into and out of China affect our corporate structure and financing, and regulations on business licenses affect our legal and compliance functions. For a summary of the principal PRC laws and regulations that affect us, see “Item 3.D. Key Information—Risk Factors” and “Item 4.B. Information on the Company—Business Overview—Regulation.” Although we have generally benefited from the Chinese government’s policies to encourage economic growth, we are also affected by the complexity, uncertainties and changes in PRC regulations governing various aspects of our operations. For a detailed description of the PRC regulations applicable to us, see “Item 4.B. Information on the Company—Business Overview —Regulation.”</w:t>
      </w:r>
    </w:p>
    <w:p>
      <w:pPr>
        <w:spacing w:after="0" w:line="188"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JD.com, Inc., the holding company that is listed on Nasdaq and Hong Kong Stock Exchange, has no material operations of its own. We conduct our operations primarily through our subsidiaries and the consolidated variable interest entities and their subsidiaries in China. As a result, JD.com, Inc.’s ability to pay dividends to our shareholders depends in part upon dividends paid by our PRC subsidiaries subject to compliance with applicable PRC regulations. Our wholly-owned PRC subsidiaries are permitted to pay dividends to us only out of their retained earnings, if any, as determined in accordance with PRC accounting standards and regulations. Under PRC regulations, each of our wholly-owned PRC subsidiaries is required to set aside at least 10% of its after-tax profits each year, if any, to fund certain statutory reserve funds until such reserve funds reach 50% of its registered capital. Remittance of dividends by a wholly foreign-owned company out of China is subject to examination by the banks designated by SAFE. As of December 31, 2025, the amount restricted, including paid-in capital and statutory reserve funds, as determined in accordance with PRC accounting standards and regulations, was approximately RMB78.2 billion (US$11.2 billion).</w:t>
      </w:r>
    </w:p>
    <w:p>
      <w:pPr>
        <w:spacing w:after="0" w:line="190" w:lineRule="exact"/>
        <w:rPr>
          <w:sz w:val="20"/>
          <w:szCs w:val="20"/>
          <w:color w:val="auto"/>
        </w:rPr>
      </w:pPr>
    </w:p>
    <w:p>
      <w:pPr>
        <w:ind w:left="240" w:right="340" w:firstLine="971"/>
        <w:spacing w:after="0" w:line="270" w:lineRule="auto"/>
        <w:rPr>
          <w:sz w:val="20"/>
          <w:szCs w:val="20"/>
          <w:color w:val="auto"/>
        </w:rPr>
      </w:pPr>
      <w:r>
        <w:rPr>
          <w:rFonts w:ascii="Times New Roman" w:cs="Times New Roman" w:eastAsia="Times New Roman" w:hAnsi="Times New Roman"/>
          <w:sz w:val="18"/>
          <w:szCs w:val="18"/>
          <w:color w:val="auto"/>
        </w:rPr>
        <w:t>While our business is influenced by general factors affecting our industry, our operating results are more directly affected by company specific factors, including the following major factors:</w:t>
      </w:r>
    </w:p>
    <w:p>
      <w:pPr>
        <w:spacing w:after="0" w:line="76" w:lineRule="exact"/>
        <w:rPr>
          <w:sz w:val="20"/>
          <w:szCs w:val="20"/>
          <w:color w:val="auto"/>
        </w:rPr>
      </w:pPr>
    </w:p>
    <w:p>
      <w:pPr>
        <w:ind w:left="1180" w:hanging="421"/>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customer purchases;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mix of product and service offerings;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increase and leverage our scale of business;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our fulfillment infrastructure and technology platform;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and manage strategic investments and acquisitions.</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320" w:top="476" w:right="5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Customer Purchases</w:t>
      </w:r>
    </w:p>
    <w:p>
      <w:pPr>
        <w:spacing w:after="0" w:line="114" w:lineRule="exact"/>
        <w:rPr>
          <w:sz w:val="20"/>
          <w:szCs w:val="20"/>
          <w:color w:val="auto"/>
        </w:rPr>
      </w:pPr>
    </w:p>
    <w:p>
      <w:pPr>
        <w:ind w:left="240" w:right="140" w:firstLine="971"/>
        <w:spacing w:after="0" w:line="258" w:lineRule="auto"/>
        <w:rPr>
          <w:sz w:val="20"/>
          <w:szCs w:val="20"/>
          <w:color w:val="auto"/>
        </w:rPr>
      </w:pPr>
      <w:r>
        <w:rPr>
          <w:rFonts w:ascii="Times New Roman" w:cs="Times New Roman" w:eastAsia="Times New Roman" w:hAnsi="Times New Roman"/>
          <w:sz w:val="18"/>
          <w:szCs w:val="18"/>
          <w:color w:val="auto"/>
        </w:rPr>
        <w:t>Growth in customer purchases is a key driver of our revenue growth. We have a growing and loyal active customer base. Over the years, our customers have shown loyalty to us through their increased activity levels. Customer purchases are mainly driven by our success in generating repeat purchases from existing customer accounts.</w:t>
      </w:r>
    </w:p>
    <w:p>
      <w:pPr>
        <w:spacing w:after="0" w:line="179" w:lineRule="exact"/>
        <w:rPr>
          <w:sz w:val="20"/>
          <w:szCs w:val="20"/>
          <w:color w:val="auto"/>
        </w:rPr>
      </w:pPr>
    </w:p>
    <w:p>
      <w:pPr>
        <w:ind w:left="240" w:right="120" w:firstLine="971"/>
        <w:spacing w:after="0" w:line="248" w:lineRule="auto"/>
        <w:rPr>
          <w:sz w:val="20"/>
          <w:szCs w:val="20"/>
          <w:color w:val="auto"/>
        </w:rPr>
      </w:pPr>
      <w:r>
        <w:rPr>
          <w:rFonts w:ascii="Times New Roman" w:cs="Times New Roman" w:eastAsia="Times New Roman" w:hAnsi="Times New Roman"/>
          <w:sz w:val="18"/>
          <w:szCs w:val="18"/>
          <w:color w:val="auto"/>
        </w:rPr>
        <w:t>Our ability to attract new customer accounts and retain existing customer accounts depends on our ability to provide superior customer experience. To this end, we offer a wide selection of authentic products at competitive prices on our mobile apps and websites and provide speedy and reliable delivery, convenient online and in-person payment options and comprehensive customer services. We continued to improve and iterate system that enables us to increase our operating efficiency through enhanced product merchandising and supply chain management capabilities, and to drive more targeted and relevant product promotions and recommendations to our customers. We have benefited from word-of-mouth viral marketing in winning new customers, and we also conduct online and offline marketing and brand promotion activities to attract new customers. In addition, we encourage existing customers to place more orders with us through a variety of means, including granting coupons and loyalty points and holding special promotions.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Manage Our Mix of Product and Service Offerings</w:t>
      </w:r>
    </w:p>
    <w:p>
      <w:pPr>
        <w:spacing w:after="0" w:line="114" w:lineRule="exact"/>
        <w:rPr>
          <w:sz w:val="20"/>
          <w:szCs w:val="20"/>
          <w:color w:val="auto"/>
        </w:rPr>
      </w:pPr>
    </w:p>
    <w:p>
      <w:pPr>
        <w:ind w:left="240" w:right="20" w:firstLine="971"/>
        <w:spacing w:after="0" w:line="266" w:lineRule="auto"/>
        <w:rPr>
          <w:sz w:val="20"/>
          <w:szCs w:val="20"/>
          <w:color w:val="auto"/>
        </w:rPr>
      </w:pPr>
      <w:r>
        <w:rPr>
          <w:rFonts w:ascii="Times New Roman" w:cs="Times New Roman" w:eastAsia="Times New Roman" w:hAnsi="Times New Roman"/>
          <w:sz w:val="17"/>
          <w:szCs w:val="17"/>
          <w:color w:val="auto"/>
        </w:rPr>
        <w:t>Our results of operations are also affected by the mix of products and services we offer. We acquire products from suppliers and sell them directly to customers in our online retail business, and we earn commissions and service fees from third-party merchants on our online marketplace. We also offer a wide range of products and services and aim to provide one-stop shopping solutions to maximize our wallet share. Our mix of products and services affects our gross margin. For example, the marketplace service revenues that we earn from third-party merchants and the other services that we offer generally have higher gross margins. The split between our online retail business and our online marketplace business thus has a major influence on our revenue growth and our gross margins. Our marketplace and marketing revenues, logistics and other service revenues increased from RMB213.4 billion in 2023 to RMB230.8 billion in 2024, and further to RMB285.3 billion (US$40.8 billion) in 2025.</w:t>
      </w:r>
    </w:p>
    <w:p>
      <w:pPr>
        <w:spacing w:after="0" w:line="175" w:lineRule="exact"/>
        <w:rPr>
          <w:sz w:val="20"/>
          <w:szCs w:val="20"/>
          <w:color w:val="auto"/>
        </w:rPr>
      </w:pPr>
    </w:p>
    <w:p>
      <w:pPr>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We intend to further (i) expand our selection of general merchandise products, such as supermarket, fashion, pharmaceutical and healthcare products, which are well received by customers and expected to have a potential for greater online penetration; (ii) attract more third-party merchants to our online marketplace; and (iii) provide more fulfillment and other value-added services to third-party merchants and others.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Further Increase and Leverage our Scale of Business</w:t>
      </w:r>
    </w:p>
    <w:p>
      <w:pPr>
        <w:spacing w:after="0" w:line="114" w:lineRule="exact"/>
        <w:rPr>
          <w:sz w:val="20"/>
          <w:szCs w:val="20"/>
          <w:color w:val="auto"/>
        </w:rPr>
      </w:pPr>
    </w:p>
    <w:p>
      <w:pPr>
        <w:ind w:left="240" w:right="160" w:firstLine="971"/>
        <w:spacing w:after="0" w:line="251" w:lineRule="auto"/>
        <w:rPr>
          <w:sz w:val="20"/>
          <w:szCs w:val="20"/>
          <w:color w:val="auto"/>
        </w:rPr>
      </w:pPr>
      <w:r>
        <w:rPr>
          <w:rFonts w:ascii="Times New Roman" w:cs="Times New Roman" w:eastAsia="Times New Roman" w:hAnsi="Times New Roman"/>
          <w:sz w:val="18"/>
          <w:szCs w:val="18"/>
          <w:color w:val="auto"/>
        </w:rPr>
        <w:t>Our results of operations are directly affected by our ability to further increase and leverage our scale of business. We expect to leverage our scale to obtain more favorable terms from suppliers, including pricing terms and volume-based rebates. In addition, we aim to create value for our suppliers by providing an effective channel for selling large volumes of their products online and by offering them comprehensive information on customer preferences and market demand and ensuring the high quality of fulfillment services. We believe this value proposition also helps us obtain favorable terms from suppliers.</w:t>
      </w:r>
    </w:p>
    <w:p>
      <w:pPr>
        <w:spacing w:after="0" w:line="187" w:lineRule="exact"/>
        <w:rPr>
          <w:sz w:val="20"/>
          <w:szCs w:val="20"/>
          <w:color w:val="auto"/>
        </w:rPr>
      </w:pPr>
    </w:p>
    <w:p>
      <w:pPr>
        <w:ind w:left="240" w:right="160" w:firstLine="971"/>
        <w:spacing w:after="0" w:line="266" w:lineRule="auto"/>
        <w:rPr>
          <w:sz w:val="20"/>
          <w:szCs w:val="20"/>
          <w:color w:val="auto"/>
        </w:rPr>
      </w:pPr>
      <w:r>
        <w:rPr>
          <w:rFonts w:ascii="Times New Roman" w:cs="Times New Roman" w:eastAsia="Times New Roman" w:hAnsi="Times New Roman"/>
          <w:sz w:val="17"/>
          <w:szCs w:val="17"/>
          <w:color w:val="auto"/>
        </w:rPr>
        <w:t>As of December 31, 2025, our nationwide fulfillment infrastructure employed a total of 642,940 warehouse and delivery employees that manages this fulfillment infrastructure and the large number of orders we receive, process and fulfill each year. Our fulfillment expenses in absolute amount increased over 2023, 2024 and 2025, while the fulfillment expenses as a percentage of our total net revenues increased from 6.0% in 2023 to</w:t>
      </w:r>
    </w:p>
    <w:p>
      <w:pPr>
        <w:spacing w:after="0" w:line="2" w:lineRule="exact"/>
        <w:rPr>
          <w:sz w:val="20"/>
          <w:szCs w:val="20"/>
          <w:color w:val="auto"/>
        </w:rPr>
      </w:pPr>
    </w:p>
    <w:p>
      <w:pPr>
        <w:ind w:left="240"/>
        <w:spacing w:after="0" w:line="246" w:lineRule="auto"/>
        <w:rPr>
          <w:sz w:val="20"/>
          <w:szCs w:val="20"/>
          <w:color w:val="auto"/>
        </w:rPr>
      </w:pPr>
      <w:r>
        <w:rPr>
          <w:rFonts w:ascii="Times New Roman" w:cs="Times New Roman" w:eastAsia="Times New Roman" w:hAnsi="Times New Roman"/>
          <w:sz w:val="18"/>
          <w:szCs w:val="18"/>
          <w:color w:val="auto"/>
        </w:rPr>
        <w:t>6.7% in 2025. Our research and development professionals design, develop and operate the technology platform, develop and post content, and improve our AI, big data and cloud technologies and services. Personnel costs are the largest component of our fulfillment costs and of our research and development costs and are likely to remain the largest component for the foreseeable future as we continue to expand our operations. Labor costs are rising in China and we strive to continue improving efficiency and utilization of our fulfillment and other personnel to mitigate this effect. Our fulfillment expenses and thus operational efficiency are also affected by the average size of orders placed by our customers.</w:t>
      </w:r>
    </w:p>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320" w:top="476" w:right="6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Invest in Our Fulfillment Infrastructure and Technology Platform</w:t>
      </w:r>
    </w:p>
    <w:p>
      <w:pPr>
        <w:spacing w:after="0" w:line="114" w:lineRule="exact"/>
        <w:rPr>
          <w:sz w:val="20"/>
          <w:szCs w:val="20"/>
          <w:color w:val="auto"/>
        </w:rPr>
      </w:pPr>
    </w:p>
    <w:p>
      <w:pPr>
        <w:ind w:left="240" w:right="40" w:firstLine="971"/>
        <w:spacing w:after="0" w:line="266" w:lineRule="auto"/>
        <w:rPr>
          <w:sz w:val="20"/>
          <w:szCs w:val="20"/>
          <w:color w:val="auto"/>
        </w:rPr>
      </w:pPr>
      <w:r>
        <w:rPr>
          <w:rFonts w:ascii="Times New Roman" w:cs="Times New Roman" w:eastAsia="Times New Roman" w:hAnsi="Times New Roman"/>
          <w:sz w:val="17"/>
          <w:szCs w:val="17"/>
          <w:color w:val="auto"/>
        </w:rPr>
        <w:t>Our results of operations depend in part on our ability to invest in our fulfillment infrastructure and technology platform to cost-effectively meet the demands of our business operations. Our nationwide fulfillment infrastructure covers almost all counties and districts across China, which, as of December 31, 2025, included a warehousing network of over 1,600 warehouses that are operated by us, and an aggregate gross floor area of over</w:t>
      </w:r>
    </w:p>
    <w:p>
      <w:pPr>
        <w:spacing w:after="0" w:line="2" w:lineRule="exact"/>
        <w:rPr>
          <w:sz w:val="20"/>
          <w:szCs w:val="20"/>
          <w:color w:val="auto"/>
        </w:rPr>
      </w:pPr>
    </w:p>
    <w:p>
      <w:pPr>
        <w:jc w:val="both"/>
        <w:ind w:left="240" w:right="260"/>
        <w:spacing w:after="0" w:line="247" w:lineRule="auto"/>
        <w:rPr>
          <w:sz w:val="20"/>
          <w:szCs w:val="20"/>
          <w:color w:val="auto"/>
        </w:rPr>
      </w:pPr>
      <w:r>
        <w:rPr>
          <w:rFonts w:ascii="Times New Roman" w:cs="Times New Roman" w:eastAsia="Times New Roman" w:hAnsi="Times New Roman"/>
          <w:sz w:val="18"/>
          <w:szCs w:val="18"/>
          <w:color w:val="auto"/>
        </w:rPr>
        <w:t>34 million square meters, including warehouse space managed under the JD Logistics Open Warehouse Platform. As of December 31, 2025, we have developed, owned or managed Modern Infrastructure Assets across 29 provincial-level administrative regions in China and 12 countries and regions overseas, with a total gross floor area of over 27 million square meters.</w:t>
      </w:r>
    </w:p>
    <w:p>
      <w:pPr>
        <w:spacing w:after="0" w:line="189"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We plan to continue to build large scale warehouse facilities with optimized configurations on these sites to improve our fulfillment efficiency, minimize order splitting, accommodate greater product selection and fulfill the anticipated sales of our own products as well as sales by third-party merchants using our fulfillment services. In selecting locations for our pickup and delivery stations, order density, a parameter we use to measure the frequency and number of orders generated from a geographical area, is an important criterion. To efficiently deploy our delivery network, we have established delivery stations and pickup stations in areas where we expect order density to increase to the extent where operating our own delivery network will be more cost efficient than using third-party couriers. We also paid significant amounts for upgrading our technology platform. To enhance our technology platform, we intend to further invest in AI, big data analytics and cloud computing. We expect these technology initiatives to provide innovative features, solutions and services to customers and suppliers, while increasing our operational efficiency.</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and Manage Strategic Investments and Acquisitions</w:t>
      </w:r>
    </w:p>
    <w:p>
      <w:pPr>
        <w:spacing w:after="0" w:line="114"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We have made, and may continue to make, strategic investments and acquisitions to add assets or businesses that are complementary to our existing business. Our financial results could be adversely affected by our investments or acquisitions. The investments and acquired assets or businesses may not generate the financial results we expect. They could result in occurrence of significant investments and goodwill impairment charges, and amortization expenses for other intangible assets. Moreover, we share the results of the investments which we account for as equity method investments. We may incur impairment charges in connection with our investments or acquisitions and pick up gains or losses of our equity method investments, which could have a material impact on our financial results.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Selected Statements of Operations Items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14" w:lineRule="exact"/>
        <w:rPr>
          <w:sz w:val="20"/>
          <w:szCs w:val="20"/>
          <w:color w:val="auto"/>
        </w:rPr>
      </w:pPr>
    </w:p>
    <w:p>
      <w:pPr>
        <w:ind w:left="240" w:right="20" w:firstLine="971"/>
        <w:spacing w:after="0" w:line="267" w:lineRule="auto"/>
        <w:rPr>
          <w:sz w:val="20"/>
          <w:szCs w:val="20"/>
          <w:color w:val="auto"/>
        </w:rPr>
      </w:pPr>
      <w:r>
        <w:rPr>
          <w:rFonts w:ascii="Times New Roman" w:cs="Times New Roman" w:eastAsia="Times New Roman" w:hAnsi="Times New Roman"/>
          <w:sz w:val="17"/>
          <w:szCs w:val="17"/>
          <w:color w:val="auto"/>
        </w:rPr>
        <w:t>Net revenues include net product revenues and net service revenues. Product sales is further divided into sales of electronics and home appliances products and sales of general merchandise products. Net revenues from electronics and home appliances products include revenues from sales of computer, communication and consumer electronics products as well as home appliances. Net revenues from general merchandise products mainly include revenues from sales of supermarket, fashion, pharmaceutical and healthcare products, furniture and household goods, industrial products, auto parts and books. Net service revenues are further divided into revenues from online marketplace and marketing and revenues from logistics and other services. The following table breaks down our total net revenues by these categories, by amounts and as percentages of total net revenues:</w:t>
      </w:r>
    </w:p>
    <w:p>
      <w:pPr>
        <w:spacing w:after="0" w:line="19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6"/>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3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6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3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gridSpan w:val="2"/>
          </w:tcPr>
          <w:p>
            <w:pPr>
              <w:ind w:left="20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right"/>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 except for percentages)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Electronics and home appliances revenues</w:t>
            </w:r>
          </w:p>
        </w:tc>
        <w:tc>
          <w:tcPr>
            <w:tcW w:w="2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538,799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564,982</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605,131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86,533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merchandise revenues</w:t>
            </w:r>
          </w:p>
        </w:tc>
        <w:tc>
          <w:tcPr>
            <w:tcW w:w="1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332,425</w:t>
            </w:r>
          </w:p>
        </w:tc>
        <w:tc>
          <w:tcPr>
            <w:tcW w:w="1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363,025</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418,671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59,869</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revenues</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871,224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928,007</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1,023,802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146,402</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Marketplace and marketing revenues</w:t>
            </w:r>
          </w:p>
        </w:tc>
        <w:tc>
          <w:tcPr>
            <w:tcW w:w="13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84,726</w:t>
            </w:r>
          </w:p>
        </w:tc>
        <w:tc>
          <w:tcPr>
            <w:tcW w:w="1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90,111</w:t>
            </w:r>
          </w:p>
        </w:tc>
        <w:tc>
          <w:tcPr>
            <w:tcW w:w="16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107,131</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6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 and other service revenues</w:t>
            </w:r>
          </w:p>
        </w:tc>
        <w:tc>
          <w:tcPr>
            <w:tcW w:w="2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128,712</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140,701</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178,152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25,475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213,438</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230,812</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285,283</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1,084,662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1,158,819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1,309,085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187,197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gridSpan w:val="2"/>
          </w:tcPr>
          <w:p>
            <w:pPr>
              <w:jc w:val="right"/>
              <w:ind w:right="657"/>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Net service revenues primarily consist of fees earned from providing marketing and logistics services to our business partners, and commissions earned from third-party merchants for sales made through our online marketplace. Currently, we recognize revenues from the third-party merchants on a net basis as we are not the primary obligor, we do not have control over goods sold by third-party merchants and we do not have latitude to establish prices for them.</w:t>
      </w:r>
    </w:p>
    <w:p>
      <w:pPr>
        <w:spacing w:after="0" w:line="18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record revenue net of discounts, return allowances and value-added taxes, or VAT.</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4" w:lineRule="exact"/>
        <w:rPr>
          <w:sz w:val="20"/>
          <w:szCs w:val="20"/>
          <w:color w:val="auto"/>
        </w:rPr>
      </w:pPr>
    </w:p>
    <w:p>
      <w:pPr>
        <w:ind w:left="240" w:right="160" w:firstLine="971"/>
        <w:spacing w:after="0" w:line="253" w:lineRule="auto"/>
        <w:rPr>
          <w:sz w:val="20"/>
          <w:szCs w:val="20"/>
          <w:color w:val="auto"/>
        </w:rPr>
      </w:pPr>
      <w:r>
        <w:rPr>
          <w:rFonts w:ascii="Times New Roman" w:cs="Times New Roman" w:eastAsia="Times New Roman" w:hAnsi="Times New Roman"/>
          <w:sz w:val="18"/>
          <w:szCs w:val="18"/>
          <w:color w:val="auto"/>
        </w:rPr>
        <w:t>Cost of revenues primarily consists of our cost for acquiring the products that we sell directly and the related inbound shipping charges, inventory write-downs, traffic acquisition costs related to online marketing services, and cost related to logistics services provided to third parties. The rebates we receive from suppliers are treated as a reduction in the purchase price and will be recorded as a reduction in cost of revenues when the product is sold.</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14" w:lineRule="exact"/>
        <w:rPr>
          <w:sz w:val="20"/>
          <w:szCs w:val="20"/>
          <w:color w:val="auto"/>
        </w:rPr>
      </w:pPr>
    </w:p>
    <w:p>
      <w:pPr>
        <w:ind w:left="240" w:right="60" w:firstLine="971"/>
        <w:spacing w:after="0" w:line="264" w:lineRule="auto"/>
        <w:rPr>
          <w:sz w:val="20"/>
          <w:szCs w:val="20"/>
          <w:color w:val="auto"/>
        </w:rPr>
      </w:pPr>
      <w:r>
        <w:rPr>
          <w:rFonts w:ascii="Times New Roman" w:cs="Times New Roman" w:eastAsia="Times New Roman" w:hAnsi="Times New Roman"/>
          <w:sz w:val="17"/>
          <w:szCs w:val="17"/>
          <w:color w:val="auto"/>
        </w:rPr>
        <w:t>Our fulfillment expenses consist primarily of (i) expenses incurred in operating our fulfillment centers, customer service centers and physical stores, including personnel cost and expenses attributable to buying, receiving, inspecting and warehousing inventories, picking, packaging, and preparing customer orders for shipment, processing payment and related transaction costs, (ii) expenses charged by third-party couriers for dispatching and delivering our products, (iii) lease expenses of warehouses, delivery and pickup stations, and physical stores, and (iv) depreciation and amortization of logistics and electronic equipment. The costs related to logistics services provided to third parties are classified in cost of revenues. We expect our fulfillment expenses to increase in absolute amount on an annual basis in the near run, as we invest in new businesses, build and lease new warehouses and establish more delivery stations to penetrate lower tier cities and to meet the demands of our business operations. We plan to increase operation efficiency by strengthening our logistics network, improving overall utilization through economies of scale, increasing the level of integration across our logistics networks, and improving efficiencies through more intelligent decision-making.</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p>
      <w:pPr>
        <w:spacing w:after="0" w:line="114" w:lineRule="exact"/>
        <w:rPr>
          <w:sz w:val="20"/>
          <w:szCs w:val="20"/>
          <w:color w:val="auto"/>
        </w:rPr>
      </w:pPr>
    </w:p>
    <w:p>
      <w:pPr>
        <w:ind w:left="240" w:right="380" w:firstLine="971"/>
        <w:spacing w:after="0" w:line="253" w:lineRule="auto"/>
        <w:rPr>
          <w:sz w:val="20"/>
          <w:szCs w:val="20"/>
          <w:color w:val="auto"/>
        </w:rPr>
      </w:pPr>
      <w:r>
        <w:rPr>
          <w:rFonts w:ascii="Times New Roman" w:cs="Times New Roman" w:eastAsia="Times New Roman" w:hAnsi="Times New Roman"/>
          <w:sz w:val="18"/>
          <w:szCs w:val="18"/>
          <w:color w:val="auto"/>
        </w:rPr>
        <w:t>Our marketing expenses consist primarily of advertising costs, public relations expenditures, and payroll and related expenses for employees involved in marketing and business development activities. We pay commissions to participants in the associates program when their customer referrals result in successful product sales. We plan to continue to conduct brand promotion and marketing activities to enhance our brand recognition and attract new purchases from new and existing customers.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4"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payroll and related expenses for research and development professionals involved in designing, developing and maintaining our technology platform, and application of our AI, big data and cloud technologies and services, and technology infrastructure costs. Technology infrastructure costs include servers and other equipment depreciation, bandwidth and data center costs, rent, utilities and other expenses necessary to support our internal and external business. We plan to continue to invest in technology and innovation to enhance customer experience and provide value-added services to suppliers and third-party merchants.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320" w:top="476" w:right="5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4"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employee related expenses for general corporate functions, including accounting, finance, tax, legal and human relations; costs associated with these functions include facilities and equipment depreciation expenses, rental and other general corporate related expenses. We plan to continue to hire additional qualified employees to support our business operations and high-quality growth.</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development properties</w:t>
      </w:r>
    </w:p>
    <w:p>
      <w:pPr>
        <w:spacing w:after="0" w:line="114" w:lineRule="exact"/>
        <w:rPr>
          <w:sz w:val="20"/>
          <w:szCs w:val="20"/>
          <w:color w:val="auto"/>
        </w:rPr>
      </w:pPr>
    </w:p>
    <w:p>
      <w:pPr>
        <w:ind w:left="240" w:right="120" w:firstLine="971"/>
        <w:spacing w:after="0" w:line="248" w:lineRule="auto"/>
        <w:rPr>
          <w:sz w:val="20"/>
          <w:szCs w:val="20"/>
          <w:color w:val="auto"/>
        </w:rPr>
      </w:pPr>
      <w:r>
        <w:rPr>
          <w:rFonts w:ascii="Times New Roman" w:cs="Times New Roman" w:eastAsia="Times New Roman" w:hAnsi="Times New Roman"/>
          <w:sz w:val="18"/>
          <w:szCs w:val="18"/>
          <w:color w:val="auto"/>
        </w:rPr>
        <w:t>The gain on sale of development properties is mainly derived from sale of development properties to real estate investment trust and core funds (collectively, the “Property Funds”). JD Property develops and manages our logistics facilities and other real estate properties, to support JD Logistics and other third parties. By leveraging its fund management platform, JD Property can realize development profits and recycle capital from development properties to fund new developments and scale the business. Since 2019, JD Property established several Property Funds together with third parties, including GIC Private Limited (“GIC”) and Mubadala Investment Company (“MIC”). JD Property served as general partner and committed less than 50% of the total capital of each property fund as a limited partner, and cannot control the investment committee. JD Property also entered into definitive agreements with the Property Funds, pursuant to which JD Property sold certain of our completed and uncompleted modern logistics facilities, and would concurrently lease back such facilities for operational purposes when completed. For the logistics facilities that met closing conditions, we recorded disposal gain of RMB2.3 billion, RMB1.5 billion and RMB0.4 billion (US$0.1 billion) in 2023, 2024 and 2025, respectively. We derecognized the logistics facilities upon satisfaction of the hand-over condition.</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investees</w:t>
      </w:r>
    </w:p>
    <w:p>
      <w:pPr>
        <w:spacing w:after="0" w:line="114" w:lineRule="exact"/>
        <w:rPr>
          <w:sz w:val="20"/>
          <w:szCs w:val="20"/>
          <w:color w:val="auto"/>
        </w:rPr>
      </w:pPr>
    </w:p>
    <w:p>
      <w:pPr>
        <w:ind w:left="240" w:right="720" w:firstLine="971"/>
        <w:spacing w:after="0" w:line="270" w:lineRule="auto"/>
        <w:rPr>
          <w:sz w:val="20"/>
          <w:szCs w:val="20"/>
          <w:color w:val="auto"/>
        </w:rPr>
      </w:pPr>
      <w:r>
        <w:rPr>
          <w:rFonts w:ascii="Times New Roman" w:cs="Times New Roman" w:eastAsia="Times New Roman" w:hAnsi="Times New Roman"/>
          <w:sz w:val="18"/>
          <w:szCs w:val="18"/>
          <w:color w:val="auto"/>
        </w:rPr>
        <w:t>Share of the post-acquisition profits or losses, impairment, and gains or losses from disposals and deemed disposals of the equity investments that are accounted for under the equity method are recorded in share of results of equity investees.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Others, net</w:t>
      </w:r>
    </w:p>
    <w:p>
      <w:pPr>
        <w:spacing w:after="0" w:line="114" w:lineRule="exact"/>
        <w:rPr>
          <w:sz w:val="20"/>
          <w:szCs w:val="20"/>
          <w:color w:val="auto"/>
        </w:rPr>
      </w:pPr>
    </w:p>
    <w:p>
      <w:pPr>
        <w:ind w:left="240" w:right="40" w:firstLine="971"/>
        <w:spacing w:after="0" w:line="258" w:lineRule="auto"/>
        <w:rPr>
          <w:sz w:val="20"/>
          <w:szCs w:val="20"/>
          <w:color w:val="auto"/>
        </w:rPr>
      </w:pPr>
      <w:r>
        <w:rPr>
          <w:rFonts w:ascii="Times New Roman" w:cs="Times New Roman" w:eastAsia="Times New Roman" w:hAnsi="Times New Roman"/>
          <w:sz w:val="18"/>
          <w:szCs w:val="18"/>
          <w:color w:val="auto"/>
        </w:rPr>
        <w:t>“Others, net” consists of interest income; gains/(losses) related to long-term investments without significant influence, including fair value changes, acquisitions or disposals gains/(losses), and impairments; government incentives; foreign exchange gains/(losses); and other non-operating income/(losses).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4" w:lineRule="exact"/>
        <w:rPr>
          <w:sz w:val="20"/>
          <w:szCs w:val="20"/>
          <w:color w:val="auto"/>
        </w:rPr>
      </w:pPr>
    </w:p>
    <w:p>
      <w:pPr>
        <w:ind w:left="240" w:right="20" w:firstLine="971"/>
        <w:spacing w:after="0" w:line="269"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Payments of dividends and capital in respect of shares are not subject to taxation in the Cayman Islands.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4"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Our subsidiaries incorporated in Hong Kong are eligible to elect a two-tiered income tax rate for taxable income generated from operations in Hong Kong, effective on April 1, 2018. If elected, the first HK$2 million of assessable profits by our subsidiaries in Hong Kong will be taxed at half the current tax rate (i.e., 8.25%) while the remaining assessable profits will continue to be taxed at the existing 16.5% tax rate. We analyze on the foreign-sourced income, mainly dividend and interest, accrued to its subsidiaries in Hong Kong, apply for Commissioner’s Opinion /Advance Ruling with the Inland Revenue Department of Hong Kong on fulfillment of exception requirements under Foreign-Sourced Income Exemption (“FSIE”) regime and pay tax for the income subject to Hong Kong Profits Tax, if any. In addition, payments of dividends from our subsidiaries in Hong Kong to us are not subject to any Hong Kong withholding tax.</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320" w:top="476" w:right="5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114"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Generally, our subsidiaries and the consolidated variable interest entities in the Chinese mainland are subject to enterprise income tax on their taxable income in the Chinese mainland at a rate of 25%, except that a few entities in our group benefit from a preferential tax rate of 15% as they conduct business in certain encouraged sectors or areas, and any entity that qualifies as a “software enterprise” is entitled to an exemption from income tax for the first two years and 50% reduction for the next three years from such entity’s first profitable year. Besides, from January 1, 2023 to December 31, 2027, subject to certain criteria, the portion of annual taxable income amount of a small profit enterprise shall be computed at a reduced rate of 25% as taxable income amount, and be subject to enterprise income tax at 20% tax rate. Furthermore, certain of our entities in the Chinese mainland engaging in research and development activities in the Chinese mainland were entitled to claim 175% of their research and development expenses from January 1, 2021 to September 30, 2022 according to the laws and regulations in the PRC. In September 2022, the PRC State Tax Administration further announced that for the enterprises entitled to the current pre-tax deduction ratio of 175% for research and development expenses, such ratio is raised to 200% during the period from October 1, 2022 to December 31, 2022. In March 2023, the State Tax Administration announced that 200% of the actual amount can be deducted before tax from January 1, 2023. The enterprise income tax is calculated based on the entity’s global income as determined under PRC tax laws and accounting standards.</w:t>
      </w:r>
    </w:p>
    <w:p>
      <w:pPr>
        <w:spacing w:after="0" w:line="193"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We are subject to VAT at a rate of 9% on sales of audio and video products, at a rate of 13% on sales of other products, at a rate of 6% on express delivery services, at a rate of 9% on transportation services and at a rate of 6% on advertising and other services, in each case less any deductible VAT we have already paid or borne. Since January 1, 2014, we have been exempted from VAT on sales of books. We are also subject to surcharges on VAT payments in accordance with PRC law.</w:t>
      </w:r>
    </w:p>
    <w:p>
      <w:pPr>
        <w:spacing w:after="0" w:line="185"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Dividends paid by our wholly foreign-owned subsidiaries in the Chinese mainland to our intermediate holding companies in Hong Kong should qualify for the preferential withholding tax rate of 5% under the Arrangement between the PRC and the Hong Kong Special Administrative Region on the Avoidance of Double Taxation and Prevention of Fiscal Evasion with respect to Taxes on Income and Capital, instead of the normal withholding tax rate of 10%. The Hong Kong entity is required to file an application package with the PRC tax authorities and settle the overdue taxes if the preferential 5% tax rate is denied based on the subsequent review of the application package by the tax authority. See “Item 3.D. Key Information— Risk Factors—Risks Related to Our Corporate Structure—We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93" w:lineRule="exact"/>
        <w:rPr>
          <w:sz w:val="20"/>
          <w:szCs w:val="20"/>
          <w:color w:val="auto"/>
        </w:rPr>
      </w:pPr>
    </w:p>
    <w:p>
      <w:pPr>
        <w:ind w:left="240" w:right="180" w:firstLine="971"/>
        <w:spacing w:after="0" w:line="273" w:lineRule="auto"/>
        <w:rPr>
          <w:sz w:val="20"/>
          <w:szCs w:val="20"/>
          <w:color w:val="auto"/>
        </w:rPr>
      </w:pPr>
      <w:r>
        <w:rPr>
          <w:rFonts w:ascii="Times New Roman" w:cs="Times New Roman" w:eastAsia="Times New Roman" w:hAnsi="Times New Roman"/>
          <w:sz w:val="17"/>
          <w:szCs w:val="17"/>
          <w:color w:val="auto"/>
        </w:rPr>
        <w:t>If our holding company in the Cayman Islands or any of our subsidiaries outside of the Chinese mainland were deemed to be a “resident enterprise” under the PRC Enterprise Income Tax Law, it would be subject to enterprise income tax on its worldwide income at a rate of 25%. See “Item 3.D. Key Information—Risk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2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2" w:lineRule="exact"/>
        <w:rPr>
          <w:sz w:val="20"/>
          <w:szCs w:val="20"/>
          <w:color w:val="auto"/>
        </w:rPr>
      </w:pPr>
    </w:p>
    <w:p>
      <w:pPr>
        <w:ind w:left="240" w:firstLine="971"/>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in absolute amount and as a percentage of our total net revenues for the periods indicated.</w:t>
      </w:r>
    </w:p>
    <w:p>
      <w:pPr>
        <w:spacing w:after="0" w:line="169" w:lineRule="exact"/>
        <w:rPr>
          <w:sz w:val="20"/>
          <w:szCs w:val="20"/>
          <w:color w:val="auto"/>
        </w:rPr>
      </w:pPr>
    </w:p>
    <w:p>
      <w:pPr>
        <w:jc w:val="center"/>
        <w:ind w:left="600" w:right="920"/>
        <w:spacing w:after="0" w:line="439" w:lineRule="auto"/>
        <w:rPr>
          <w:sz w:val="20"/>
          <w:szCs w:val="20"/>
          <w:color w:val="auto"/>
        </w:rPr>
      </w:pPr>
      <w:r>
        <w:rPr>
          <w:rFonts w:ascii="Times New Roman" w:cs="Times New Roman" w:eastAsia="Times New Roman" w:hAnsi="Times New Roman"/>
          <w:sz w:val="18"/>
          <w:szCs w:val="18"/>
          <w:color w:val="auto"/>
        </w:rPr>
        <w:t>Period-to-period comparisons of historical results of operations should not be relied upon as indicative of future performance. 139</w:t>
      </w:r>
    </w:p>
    <w:p>
      <w:pPr>
        <w:sectPr>
          <w:pgSz w:w="11900" w:h="16838" w:orient="portrait"/>
          <w:cols w:equalWidth="0" w:num="1">
            <w:col w:w="10980"/>
          </w:cols>
          <w:pgMar w:left="320" w:top="476" w:right="5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10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1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80" w:type="dxa"/>
            <w:vAlign w:val="bottom"/>
            <w:tcBorders>
              <w:bottom w:val="single" w:sz="8" w:color="auto"/>
            </w:tcBorders>
            <w:gridSpan w:val="2"/>
          </w:tcPr>
          <w:p>
            <w:pPr>
              <w:jc w:val="right"/>
              <w:ind w:right="5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bottom w:val="single" w:sz="8" w:color="auto"/>
            </w:tcBorders>
          </w:tcPr>
          <w:p>
            <w:pPr>
              <w:jc w:val="right"/>
              <w:ind w:right="5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5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5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1280" w:type="dxa"/>
            <w:vAlign w:val="bottom"/>
            <w:tcBorders>
              <w:bottom w:val="single" w:sz="8" w:color="auto"/>
            </w:tcBorders>
            <w:gridSpan w:val="2"/>
          </w:tcPr>
          <w:p>
            <w:pPr>
              <w:jc w:val="right"/>
              <w:ind w:right="620"/>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jc w:val="right"/>
              <w:ind w:right="73"/>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160" w:type="dxa"/>
            <w:vAlign w:val="bottom"/>
            <w:gridSpan w:val="10"/>
          </w:tcPr>
          <w:p>
            <w:pPr>
              <w:jc w:val="center"/>
              <w:ind w:right="82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 except for percentages, shares and per share data)</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product revenues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871,224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928,007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1,023,802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146,402</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service revenues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213,438</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230,812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285,283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40,795</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1,084,662</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1,158,819</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1,309,085</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187,197</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(924,958)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(974,951)</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(1,099,057)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(157,163)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(64,558)</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(70,426)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(88,176)</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(12,609)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(40,133)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(47,953)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(83,953)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(12,005)</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(16,393)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(17,031)</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(22,229)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(3,179)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(9,710)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(8,888)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(11,980)</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(1,562)</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2,283</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r>
              <w:rPr>
                <w:rFonts w:ascii="Times New Roman" w:cs="Times New Roman" w:eastAsia="Times New Roman" w:hAnsi="Times New Roman"/>
                <w:sz w:val="18"/>
                <w:szCs w:val="18"/>
                <w:color w:val="auto"/>
                <w:vertAlign w:val="superscript"/>
              </w:rPr>
              <w:t>(1)(2)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26,025</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38,736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2,774</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(2,881)</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7,496</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13,371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2,478</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(8,393)</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23,257</w:t>
            </w:r>
          </w:p>
        </w:tc>
        <w:tc>
          <w:tcPr>
            <w:tcW w:w="2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44,660</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23,142</w:t>
            </w: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income/(loss) attributable to non-controlling</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 shareholders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3,511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 income attributable to the Company’s</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24,167</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41,359</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19,631</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2,807</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7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r>
              <w:rPr>
                <w:rFonts w:ascii="Times New Roman" w:cs="Times New Roman" w:eastAsia="Times New Roman" w:hAnsi="Times New Roman"/>
                <w:sz w:val="18"/>
                <w:szCs w:val="18"/>
                <w:color w:val="auto"/>
                <w:vertAlign w:val="superscript"/>
              </w:rPr>
              <w:t>(3)</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12.90</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3,144,233,160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2,989,701,855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2,847,199,686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2,847,199,686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3,170,542,396</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3,076,061,616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2,978,037,127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2,978,037,127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92075</wp:posOffset>
            </wp:positionV>
            <wp:extent cx="7556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60" w:lineRule="exact"/>
        <w:rPr>
          <w:sz w:val="20"/>
          <w:szCs w:val="20"/>
          <w:color w:val="auto"/>
        </w:rPr>
      </w:pPr>
    </w:p>
    <w:p>
      <w:pPr>
        <w:ind w:left="660" w:hanging="430"/>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share-based compensation expenses as follows: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262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7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73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tcPr>
          <w:p>
            <w:pPr>
              <w:jc w:val="right"/>
              <w:ind w:right="18"/>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23"/>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39"/>
        </w:trPr>
        <w:tc>
          <w:tcPr>
            <w:tcW w:w="7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jc w:val="center"/>
              <w:ind w:right="243"/>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w:t>
            </w:r>
          </w:p>
        </w:tc>
        <w:tc>
          <w:tcPr>
            <w:tcW w:w="7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(87)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(697)</w:t>
            </w:r>
          </w:p>
        </w:tc>
        <w:tc>
          <w:tcPr>
            <w:tcW w:w="7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(424)</w:t>
            </w:r>
          </w:p>
        </w:tc>
        <w:tc>
          <w:tcPr>
            <w:tcW w:w="7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(473)</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w:t>
            </w:r>
          </w:p>
        </w:tc>
        <w:tc>
          <w:tcPr>
            <w:tcW w:w="7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(273)</w:t>
            </w:r>
          </w:p>
        </w:tc>
        <w:tc>
          <w:tcPr>
            <w:tcW w:w="7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(859)</w:t>
            </w:r>
          </w:p>
        </w:tc>
        <w:tc>
          <w:tcPr>
            <w:tcW w:w="7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(599)</w:t>
            </w:r>
          </w:p>
        </w:tc>
        <w:tc>
          <w:tcPr>
            <w:tcW w:w="7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(1,144)</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1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(2,689)</w:t>
            </w:r>
          </w:p>
        </w:tc>
        <w:tc>
          <w:tcPr>
            <w:tcW w:w="19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  (2,709)  (387)</w:t>
            </w:r>
          </w:p>
        </w:tc>
      </w:tr>
      <w:tr>
        <w:trPr>
          <w:trHeight w:val="218"/>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(676)</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100965</wp:posOffset>
            </wp:positionV>
            <wp:extent cx="7556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60" w:lineRule="exact"/>
        <w:rPr>
          <w:sz w:val="20"/>
          <w:szCs w:val="20"/>
          <w:color w:val="auto"/>
        </w:rPr>
      </w:pPr>
    </w:p>
    <w:p>
      <w:pPr>
        <w:ind w:left="660" w:hanging="430"/>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business cooperation arrangement and intangible assets resulting from assets and business acquisitions as follows:</w:t>
      </w:r>
    </w:p>
    <w:p>
      <w:pPr>
        <w:spacing w:after="0" w:line="149"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ectPr>
          <w:pgSz w:w="11900" w:h="16838" w:orient="portrait"/>
          <w:cols w:equalWidth="0" w:num="1">
            <w:col w:w="11020"/>
          </w:cols>
          <w:pgMar w:left="320" w:top="476" w:right="5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620" w:type="dxa"/>
            <w:vAlign w:val="bottom"/>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39"/>
        </w:trPr>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4"/>
          </w:tcPr>
          <w:p>
            <w:pPr>
              <w:jc w:val="right"/>
              <w:ind w:right="52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4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4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(886)</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12"/>
        </w:trPr>
        <w:tc>
          <w:tcPr>
            <w:tcW w:w="4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6"/>
        </w:trPr>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4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(1,727)</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5"/>
        </w:trPr>
        <w:tc>
          <w:tcPr>
            <w:tcW w:w="4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1" w:lineRule="exact"/>
        <w:rPr>
          <w:sz w:val="20"/>
          <w:szCs w:val="20"/>
          <w:color w:val="auto"/>
        </w:rPr>
      </w:pPr>
    </w:p>
    <w:p>
      <w:pPr>
        <w:ind w:left="660" w:hanging="430"/>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two Class A ordinary shares.</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4"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From the first quarter of 2024, we started to report three reportable segments, JD Retail, JD Logistics and New Businesses, to reflect changes made to the reporting structure whose financial information is reviewed by the chief operating decision maker of our company under the ongoing operating strategies. JD Retail, which includes JD Health and JD Industrials, mainly engages in online retail, online marketplace and marketing services in China. JD Logistics includes both internal and external logistics businesses. New Businesses mainly include JD Food Delivery, JD Property, Jingxi and overseas businesses.</w:t>
      </w:r>
    </w:p>
    <w:p>
      <w:pPr>
        <w:spacing w:after="0" w:line="187" w:lineRule="exact"/>
        <w:rPr>
          <w:sz w:val="20"/>
          <w:szCs w:val="20"/>
          <w:color w:val="auto"/>
        </w:rPr>
      </w:pPr>
    </w:p>
    <w:p>
      <w:pPr>
        <w:ind w:left="240" w:right="460" w:firstLine="971"/>
        <w:spacing w:after="0" w:line="270" w:lineRule="auto"/>
        <w:rPr>
          <w:sz w:val="20"/>
          <w:szCs w:val="20"/>
          <w:color w:val="auto"/>
        </w:rPr>
      </w:pPr>
      <w:r>
        <w:rPr>
          <w:rFonts w:ascii="Times New Roman" w:cs="Times New Roman" w:eastAsia="Times New Roman" w:hAnsi="Times New Roman"/>
          <w:sz w:val="18"/>
          <w:szCs w:val="18"/>
          <w:color w:val="auto"/>
        </w:rPr>
        <w:t>The tables below set out our net revenues and income/(loss) from operations by segment, with the segment information for the prior periods retrospectively recast to conform to the presentation for the current period:</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6280" w:type="dxa"/>
            <w:vAlign w:val="bottom"/>
          </w:tcPr>
          <w:p>
            <w:pPr>
              <w:spacing w:after="0"/>
              <w:rPr>
                <w:sz w:val="14"/>
                <w:szCs w:val="14"/>
                <w:color w:val="auto"/>
              </w:rPr>
            </w:pPr>
          </w:p>
        </w:tc>
        <w:tc>
          <w:tcPr>
            <w:tcW w:w="29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6280" w:type="dxa"/>
            <w:vAlign w:val="bottom"/>
          </w:tcPr>
          <w:p>
            <w:pPr>
              <w:spacing w:after="0"/>
              <w:rPr>
                <w:sz w:val="12"/>
                <w:szCs w:val="12"/>
                <w:color w:val="auto"/>
              </w:rPr>
            </w:pPr>
          </w:p>
        </w:tc>
        <w:tc>
          <w:tcPr>
            <w:tcW w:w="780" w:type="dxa"/>
            <w:vAlign w:val="bottom"/>
            <w:tcBorders>
              <w:bottom w:val="single" w:sz="8" w:color="auto"/>
            </w:tcBorders>
          </w:tcPr>
          <w:p>
            <w:pPr>
              <w:jc w:val="right"/>
              <w:ind w:right="15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ind w:right="15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6280" w:type="dxa"/>
            <w:vAlign w:val="bottom"/>
          </w:tcPr>
          <w:p>
            <w:pPr>
              <w:spacing w:after="0"/>
              <w:rPr>
                <w:sz w:val="12"/>
                <w:szCs w:val="12"/>
                <w:color w:val="auto"/>
              </w:rPr>
            </w:pPr>
          </w:p>
        </w:tc>
        <w:tc>
          <w:tcPr>
            <w:tcW w:w="780" w:type="dxa"/>
            <w:vAlign w:val="bottom"/>
            <w:tcBorders>
              <w:bottom w:val="single" w:sz="8" w:color="auto"/>
            </w:tcBorders>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3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39"/>
        </w:trPr>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right"/>
              <w:ind w:right="76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JD Retail</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945,343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1,015,948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1,126,399</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161,073</w:t>
            </w:r>
          </w:p>
        </w:tc>
      </w:tr>
      <w:tr>
        <w:trPr>
          <w:trHeight w:val="212"/>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JD Logistics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166,625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182,837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217,146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31,052</w:t>
            </w:r>
          </w:p>
        </w:tc>
      </w:tr>
      <w:tr>
        <w:trPr>
          <w:trHeight w:val="212"/>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Businesses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26,617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19,157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49,282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7,047</w:t>
            </w:r>
          </w:p>
        </w:tc>
      </w:tr>
      <w:tr>
        <w:trPr>
          <w:trHeight w:val="212"/>
        </w:trPr>
        <w:tc>
          <w:tcPr>
            <w:tcW w:w="6280" w:type="dxa"/>
            <w:vAlign w:val="bottom"/>
            <w:shd w:val="clear" w:color="auto" w:fill="CCEEFF"/>
          </w:tcPr>
          <w:p>
            <w:pPr>
              <w:ind w:left="360"/>
              <w:spacing w:after="0" w:line="211" w:lineRule="exact"/>
              <w:rPr>
                <w:sz w:val="20"/>
                <w:szCs w:val="20"/>
                <w:color w:val="auto"/>
              </w:rPr>
            </w:pPr>
            <w:r>
              <w:rPr>
                <w:rFonts w:ascii="Times New Roman" w:cs="Times New Roman" w:eastAsia="Times New Roman" w:hAnsi="Times New Roman"/>
                <w:sz w:val="16"/>
                <w:szCs w:val="16"/>
                <w:color w:val="auto"/>
              </w:rPr>
              <w:t>Inter-segment eliminations</w:t>
            </w:r>
            <w:r>
              <w:rPr>
                <w:rFonts w:ascii="Times New Roman" w:cs="Times New Roman" w:eastAsia="Times New Roman" w:hAnsi="Times New Roman"/>
                <w:sz w:val="24"/>
                <w:szCs w:val="24"/>
                <w:color w:val="auto"/>
                <w:vertAlign w:val="superscript"/>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(83,742)</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(11,975)</w:t>
            </w:r>
          </w:p>
        </w:tc>
      </w:tr>
      <w:tr>
        <w:trPr>
          <w:trHeight w:val="21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1,084,662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1,158,819</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1,309,085</w:t>
            </w:r>
          </w:p>
        </w:tc>
        <w:tc>
          <w:tcPr>
            <w:tcW w:w="2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100965</wp:posOffset>
            </wp:positionV>
            <wp:extent cx="7556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60" w:lineRule="exact"/>
        <w:rPr>
          <w:sz w:val="20"/>
          <w:szCs w:val="20"/>
          <w:color w:val="auto"/>
        </w:rPr>
      </w:pPr>
    </w:p>
    <w:p>
      <w:pPr>
        <w:ind w:left="660" w:right="400" w:hanging="430"/>
        <w:spacing w:after="0" w:line="27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inter-segment eliminations mainly consist of revenues from supply chain solutions and logistics services provided by JD Logistics to JD Retail and New Businesses, and property leasing services provided by JD Property to JD Logistics.</w:t>
      </w:r>
    </w:p>
    <w:p>
      <w:pPr>
        <w:spacing w:after="0" w:line="1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60"/>
          </w:cols>
          <w:pgMar w:left="320" w:top="476" w:right="6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6940" w:type="dxa"/>
            <w:vAlign w:val="bottom"/>
          </w:tcPr>
          <w:p>
            <w:pPr>
              <w:spacing w:after="0"/>
              <w:rPr>
                <w:sz w:val="14"/>
                <w:szCs w:val="14"/>
                <w:color w:val="auto"/>
              </w:rPr>
            </w:pPr>
          </w:p>
        </w:tc>
        <w:tc>
          <w:tcPr>
            <w:tcW w:w="2980" w:type="dxa"/>
            <w:vAlign w:val="bottom"/>
            <w:gridSpan w:val="8"/>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69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7"/>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6940" w:type="dxa"/>
            <w:vAlign w:val="bottom"/>
          </w:tcPr>
          <w:p>
            <w:pPr>
              <w:spacing w:after="0"/>
              <w:rPr>
                <w:sz w:val="12"/>
                <w:szCs w:val="12"/>
                <w:color w:val="auto"/>
              </w:rPr>
            </w:pPr>
          </w:p>
        </w:tc>
        <w:tc>
          <w:tcPr>
            <w:tcW w:w="620" w:type="dxa"/>
            <w:vAlign w:val="bottom"/>
            <w:tcBorders>
              <w:bottom w:val="single" w:sz="8" w:color="auto"/>
            </w:tcBorders>
          </w:tcPr>
          <w:p>
            <w:pPr>
              <w:jc w:val="right"/>
              <w:ind w:right="5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7"/>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4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Borders>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39"/>
        </w:trPr>
        <w:tc>
          <w:tcPr>
            <w:tcW w:w="6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right"/>
              <w:ind w:right="56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JD Retail</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35,925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41,077</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51,402</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7,350</w:t>
            </w:r>
          </w:p>
        </w:tc>
      </w:tr>
      <w:tr>
        <w:trPr>
          <w:trHeight w:val="212"/>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JD Logistics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5,269</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w:t>
            </w:r>
          </w:p>
        </w:tc>
      </w:tr>
      <w:tr>
        <w:trPr>
          <w:trHeight w:val="212"/>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Businesses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(46,641)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(6,670)</w:t>
            </w:r>
          </w:p>
        </w:tc>
      </w:tr>
      <w:tr>
        <w:trPr>
          <w:trHeight w:val="212"/>
        </w:trPr>
        <w:tc>
          <w:tcPr>
            <w:tcW w:w="6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i w:val="1"/>
                <w:iCs w:val="1"/>
                <w:color w:val="auto"/>
              </w:rPr>
              <w:t>Including: gain on sale of development properties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6940" w:type="dxa"/>
            <w:vAlign w:val="bottom"/>
          </w:tcPr>
          <w:p>
            <w:pPr>
              <w:ind w:left="10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(1,027)</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6"/>
        </w:trPr>
        <w:tc>
          <w:tcPr>
            <w:tcW w:w="6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income from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w:t>
            </w:r>
          </w:p>
        </w:tc>
      </w:tr>
      <w:tr>
        <w:trPr>
          <w:trHeight w:val="212"/>
        </w:trPr>
        <w:tc>
          <w:tcPr>
            <w:tcW w:w="694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Unallocated items</w:t>
            </w:r>
            <w:r>
              <w:rPr>
                <w:rFonts w:ascii="Times New Roman" w:cs="Times New Roman" w:eastAsia="Times New Roman" w:hAnsi="Times New Roman"/>
                <w:sz w:val="24"/>
                <w:szCs w:val="24"/>
                <w:color w:val="auto"/>
                <w:vertAlign w:val="superscript"/>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(5,793)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(7,256)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(1,037)</w:t>
            </w:r>
          </w:p>
        </w:tc>
      </w:tr>
      <w:tr>
        <w:trPr>
          <w:trHeight w:val="26"/>
        </w:trPr>
        <w:tc>
          <w:tcPr>
            <w:tcW w:w="69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income from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2,774</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0"/>
        </w:trPr>
        <w:tc>
          <w:tcPr>
            <w:tcW w:w="69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92075</wp:posOffset>
            </wp:positionV>
            <wp:extent cx="7556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60" w:lineRule="exact"/>
        <w:rPr>
          <w:sz w:val="20"/>
          <w:szCs w:val="20"/>
          <w:color w:val="auto"/>
        </w:rPr>
      </w:pPr>
    </w:p>
    <w:p>
      <w:pPr>
        <w:ind w:left="660" w:right="140" w:hanging="430"/>
        <w:spacing w:after="0" w:line="270"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items include share-based compensation, amortization of intangible assets resulting from assets and business acquisitions, effects of business cooperation arrangements, and impairment of goodwill and intangible assets.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2025 and 2024</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Our total net revenues increased by 13.0% from RMB1,158,819 million in 2024 to RMB1,309,085 million (US$187,197 million) in 2025.</w:t>
      </w:r>
    </w:p>
    <w:p>
      <w:pPr>
        <w:spacing w:after="0" w:line="228" w:lineRule="exact"/>
        <w:rPr>
          <w:sz w:val="20"/>
          <w:szCs w:val="20"/>
          <w:color w:val="auto"/>
        </w:rPr>
      </w:pPr>
    </w:p>
    <w:p>
      <w:pPr>
        <w:jc w:val="both"/>
        <w:ind w:left="240" w:firstLine="971"/>
        <w:spacing w:after="0" w:line="258" w:lineRule="auto"/>
        <w:rPr>
          <w:sz w:val="20"/>
          <w:szCs w:val="20"/>
          <w:color w:val="auto"/>
        </w:rPr>
      </w:pPr>
      <w:r>
        <w:rPr>
          <w:rFonts w:ascii="Times New Roman" w:cs="Times New Roman" w:eastAsia="Times New Roman" w:hAnsi="Times New Roman"/>
          <w:sz w:val="18"/>
          <w:szCs w:val="18"/>
          <w:color w:val="auto"/>
        </w:rPr>
        <w:t>Net revenues from JD Retail increased by 10.9% to RMB1,126,399 million (US$161,073 million) in 2025 from RMB1,015,948 million in 2024. The increase was primarily driven by the enhancement in our unique supply chain capabilities, investments in user experience and mindshare, and improved price competitiveness and platform ecosystem.</w:t>
      </w:r>
    </w:p>
    <w:p>
      <w:pPr>
        <w:spacing w:after="0" w:line="179" w:lineRule="exact"/>
        <w:rPr>
          <w:sz w:val="20"/>
          <w:szCs w:val="20"/>
          <w:color w:val="auto"/>
        </w:rPr>
      </w:pPr>
    </w:p>
    <w:p>
      <w:pPr>
        <w:ind w:left="240" w:right="140" w:firstLine="971"/>
        <w:spacing w:after="0" w:line="280" w:lineRule="auto"/>
        <w:rPr>
          <w:sz w:val="20"/>
          <w:szCs w:val="20"/>
          <w:color w:val="auto"/>
        </w:rPr>
      </w:pPr>
      <w:r>
        <w:rPr>
          <w:rFonts w:ascii="Times New Roman" w:cs="Times New Roman" w:eastAsia="Times New Roman" w:hAnsi="Times New Roman"/>
          <w:sz w:val="17"/>
          <w:szCs w:val="17"/>
          <w:color w:val="auto"/>
        </w:rPr>
        <w:t>Net revenues from JD Logistics increased by 18.8% to RMB217,146 million (US$31,052 million) in 2025 from RMB182,837 million in 2024. The increase was largely driven by the growth in logistics revenues from integrated supply chain customers, primarily fueled by the scaled-up delivery services to support JD Food Delivery under New Businesses through expanded rider capacity and the enhanced local delivery capabilities.</w:t>
      </w:r>
    </w:p>
    <w:p>
      <w:pPr>
        <w:spacing w:after="0" w:line="162" w:lineRule="exact"/>
        <w:rPr>
          <w:sz w:val="20"/>
          <w:szCs w:val="20"/>
          <w:color w:val="auto"/>
        </w:rPr>
      </w:pPr>
    </w:p>
    <w:p>
      <w:pPr>
        <w:ind w:left="240" w:right="60" w:firstLine="971"/>
        <w:spacing w:after="0" w:line="270" w:lineRule="auto"/>
        <w:rPr>
          <w:sz w:val="20"/>
          <w:szCs w:val="20"/>
          <w:color w:val="auto"/>
        </w:rPr>
      </w:pPr>
      <w:r>
        <w:rPr>
          <w:rFonts w:ascii="Times New Roman" w:cs="Times New Roman" w:eastAsia="Times New Roman" w:hAnsi="Times New Roman"/>
          <w:sz w:val="18"/>
          <w:szCs w:val="18"/>
          <w:color w:val="auto"/>
        </w:rPr>
        <w:t>Net revenues from New Businesses increased by 157.3% to RMB49,282 million (US$7,047 million) in 2025 from RMB19,157 million in 2024. The increase was largely due to the rapid scaling of JD Food Delivery and Jingxi.</w:t>
      </w:r>
    </w:p>
    <w:p>
      <w:pPr>
        <w:spacing w:after="0" w:line="1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80"/>
          </w:cols>
          <w:pgMar w:left="320" w:top="476" w:right="5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14"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Our cost of revenues increased by 12.7% from RMB974,951 million in 2024 to RMB1,099,057 million (US$157,163 million) in 2025. This increase was primarily due to the growth of our online retail business and an increase in costs related to the logistics services provided to merchants and other partners.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14" w:lineRule="exact"/>
        <w:rPr>
          <w:sz w:val="20"/>
          <w:szCs w:val="20"/>
          <w:color w:val="auto"/>
        </w:rPr>
      </w:pPr>
    </w:p>
    <w:p>
      <w:pPr>
        <w:ind w:left="240" w:right="40" w:firstLine="971"/>
        <w:spacing w:after="0" w:line="270" w:lineRule="auto"/>
        <w:rPr>
          <w:sz w:val="20"/>
          <w:szCs w:val="20"/>
          <w:color w:val="auto"/>
        </w:rPr>
      </w:pPr>
      <w:r>
        <w:rPr>
          <w:rFonts w:ascii="Times New Roman" w:cs="Times New Roman" w:eastAsia="Times New Roman" w:hAnsi="Times New Roman"/>
          <w:sz w:val="18"/>
          <w:szCs w:val="18"/>
          <w:color w:val="auto"/>
        </w:rPr>
        <w:t>Our fulfillment expenses increased by 25.2% from RMB70,426 million in 2024 to RMB88,176 million (US$12,609 million) in 2025. This increase was primarily due to continued upgrade in fulfillment capabilities and investment in human capital to enhance user experience.</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Marketing expenses</w:t>
      </w:r>
    </w:p>
    <w:p>
      <w:pPr>
        <w:spacing w:after="0" w:line="114"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8"/>
          <w:szCs w:val="18"/>
          <w:color w:val="auto"/>
        </w:rPr>
        <w:t>Our marketing expenses increased by 75.1% from RMB47,953 million in 2024 to RMB83,953 million (US$12,005 million) in 2025. This increase was primarily due to the increased spending in promotional efforts for new business initiatives.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4" w:lineRule="exact"/>
        <w:rPr>
          <w:sz w:val="20"/>
          <w:szCs w:val="20"/>
          <w:color w:val="auto"/>
        </w:rPr>
      </w:pPr>
    </w:p>
    <w:p>
      <w:pPr>
        <w:ind w:left="240" w:right="20" w:firstLine="971"/>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increased by 30.5% from RMB17,031 million in 2024 to RMB22,229 million (US$3,179 million) in 2025. Research and development expenses as a percentage of net revenues was 1.7% for the year of 2025, compared to 1.5% for the year of 2024 as we continue to invest in technology capabilities and talents.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4"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8"/>
          <w:szCs w:val="18"/>
          <w:color w:val="auto"/>
        </w:rPr>
        <w:t>Our general and administrative expenses increased by 34.8% from RMB8,888 million in 2024 to RMB11,980 million (US$1,713 million) in 2025. This increase was primarily due to the increase in share-based compensation expenses and increase in staff cost.</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14" w:lineRule="exact"/>
        <w:rPr>
          <w:sz w:val="20"/>
          <w:szCs w:val="20"/>
          <w:color w:val="auto"/>
        </w:rPr>
      </w:pPr>
    </w:p>
    <w:p>
      <w:pPr>
        <w:ind w:left="240" w:right="700" w:firstLine="971"/>
        <w:spacing w:after="0" w:line="270" w:lineRule="auto"/>
        <w:rPr>
          <w:sz w:val="20"/>
          <w:szCs w:val="20"/>
          <w:color w:val="auto"/>
        </w:rPr>
      </w:pPr>
      <w:r>
        <w:rPr>
          <w:rFonts w:ascii="Times New Roman" w:cs="Times New Roman" w:eastAsia="Times New Roman" w:hAnsi="Times New Roman"/>
          <w:sz w:val="18"/>
          <w:szCs w:val="18"/>
          <w:color w:val="auto"/>
        </w:rPr>
        <w:t>We performed quantitative impairment test on goodwill arising from acquisitions on a reporting unit basis and recorded non-cash impairment losses of RMB799 million and RMB1,303 million (US$186 million) in 2024 and 2025, respectively.</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development properties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gain on sale of development properties is mainly derived from sale of development properties to the Property Funds. See also</w:t>
      </w:r>
    </w:p>
    <w:p>
      <w:pPr>
        <w:spacing w:after="0" w:line="22"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8"/>
          <w:szCs w:val="18"/>
          <w:color w:val="auto"/>
        </w:rPr>
        <w:t>“Item 5.A. Operating and Financial Review and Prospects—Operating Results—Selected Statements of Operations Items—Gain on sale of development properties.” For the logistics facilities that met closing conditions, we recorded disposal gain of RMB1,527 million in 2024 and RMB387 million (US$55 million) in 2025.</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320" w:top="476" w:right="5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14" w:lineRule="exact"/>
        <w:rPr>
          <w:sz w:val="20"/>
          <w:szCs w:val="20"/>
          <w:color w:val="auto"/>
        </w:rPr>
      </w:pPr>
    </w:p>
    <w:p>
      <w:pPr>
        <w:ind w:left="240" w:right="140" w:firstLine="971"/>
        <w:spacing w:after="0" w:line="270" w:lineRule="auto"/>
        <w:rPr>
          <w:sz w:val="20"/>
          <w:szCs w:val="20"/>
          <w:color w:val="auto"/>
        </w:rPr>
      </w:pPr>
      <w:r>
        <w:rPr>
          <w:rFonts w:ascii="Times New Roman" w:cs="Times New Roman" w:eastAsia="Times New Roman" w:hAnsi="Times New Roman"/>
          <w:sz w:val="18"/>
          <w:szCs w:val="18"/>
          <w:color w:val="auto"/>
        </w:rPr>
        <w:t>Income from operations was RMB38,736 million in 2024 and RMB2,774 million (US$397 million) in 2025. The declines were primarily attributable to increased strategic investment in new business initiatives.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of results of equity investees</w:t>
      </w:r>
    </w:p>
    <w:p>
      <w:pPr>
        <w:spacing w:after="0" w:line="114" w:lineRule="exact"/>
        <w:rPr>
          <w:sz w:val="20"/>
          <w:szCs w:val="20"/>
          <w:color w:val="auto"/>
        </w:rPr>
      </w:pPr>
    </w:p>
    <w:p>
      <w:pPr>
        <w:ind w:left="240" w:right="400" w:firstLine="971"/>
        <w:spacing w:after="0" w:line="270" w:lineRule="auto"/>
        <w:rPr>
          <w:sz w:val="20"/>
          <w:szCs w:val="20"/>
          <w:color w:val="auto"/>
        </w:rPr>
      </w:pPr>
      <w:r>
        <w:rPr>
          <w:rFonts w:ascii="Times New Roman" w:cs="Times New Roman" w:eastAsia="Times New Roman" w:hAnsi="Times New Roman"/>
          <w:sz w:val="18"/>
          <w:szCs w:val="18"/>
          <w:color w:val="auto"/>
        </w:rPr>
        <w:t>Our share of results of equity investees was a gain of RMB2,327 million in 2024 and RMB8,025 million (US$1,147 million) in 2025, respectively. The increase of net gain was primarily due to higher profits from our equity investees.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Others, Net</w:t>
      </w:r>
    </w:p>
    <w:p>
      <w:pPr>
        <w:spacing w:after="0" w:line="114" w:lineRule="exact"/>
        <w:rPr>
          <w:sz w:val="20"/>
          <w:szCs w:val="20"/>
          <w:color w:val="auto"/>
        </w:rPr>
      </w:pPr>
    </w:p>
    <w:p>
      <w:pPr>
        <w:ind w:left="240" w:right="40" w:firstLine="971"/>
        <w:spacing w:after="0" w:line="270" w:lineRule="auto"/>
        <w:rPr>
          <w:sz w:val="20"/>
          <w:szCs w:val="20"/>
          <w:color w:val="auto"/>
        </w:rPr>
      </w:pPr>
      <w:r>
        <w:rPr>
          <w:rFonts w:ascii="Times New Roman" w:cs="Times New Roman" w:eastAsia="Times New Roman" w:hAnsi="Times New Roman"/>
          <w:sz w:val="18"/>
          <w:szCs w:val="18"/>
          <w:color w:val="auto"/>
        </w:rPr>
        <w:t>“Others, net” recorded a gain of RMB13,371 million in 2024 and a gain of RMB17,327 million (US$2,478 million) in 2025, primarily due to decreased impairment losses related to equity investments.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14" w:lineRule="exact"/>
        <w:rPr>
          <w:sz w:val="20"/>
          <w:szCs w:val="20"/>
          <w:color w:val="auto"/>
        </w:rPr>
      </w:pPr>
    </w:p>
    <w:p>
      <w:pPr>
        <w:ind w:left="240" w:right="400" w:firstLine="971"/>
        <w:spacing w:after="0" w:line="270" w:lineRule="auto"/>
        <w:rPr>
          <w:sz w:val="20"/>
          <w:szCs w:val="20"/>
          <w:color w:val="auto"/>
        </w:rPr>
      </w:pPr>
      <w:r>
        <w:rPr>
          <w:rFonts w:ascii="Times New Roman" w:cs="Times New Roman" w:eastAsia="Times New Roman" w:hAnsi="Times New Roman"/>
          <w:sz w:val="18"/>
          <w:szCs w:val="18"/>
          <w:color w:val="auto"/>
        </w:rPr>
        <w:t>As a result of the foregoing, we had a net income of RMB23,142 million (US$3,309 million) in 2025, as compared to a net income of RMB44,660 million in 2024.</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2024 and 2023</w:t>
      </w:r>
    </w:p>
    <w:p>
      <w:pPr>
        <w:spacing w:after="0" w:line="114" w:lineRule="exact"/>
        <w:rPr>
          <w:sz w:val="20"/>
          <w:szCs w:val="20"/>
          <w:color w:val="auto"/>
        </w:rPr>
      </w:pPr>
    </w:p>
    <w:p>
      <w:pPr>
        <w:ind w:left="240" w:right="460" w:firstLine="971"/>
        <w:spacing w:after="0" w:line="258" w:lineRule="auto"/>
        <w:rPr>
          <w:sz w:val="20"/>
          <w:szCs w:val="20"/>
          <w:color w:val="auto"/>
        </w:rPr>
      </w:pPr>
      <w:r>
        <w:rPr>
          <w:rFonts w:ascii="Times New Roman" w:cs="Times New Roman" w:eastAsia="Times New Roman" w:hAnsi="Times New Roman"/>
          <w:sz w:val="18"/>
          <w:szCs w:val="18"/>
          <w:color w:val="auto"/>
        </w:rPr>
        <w:t>For a detailed description of the comparison of our operating results for the years ended December 31, 2024 and 2023, see “Item 5. Operating and Financial Review and Prospects—A. Operating Results—Results of Operations—Year Ended December 31, 2024 and 2023” of our annual report on Form 20-F filed with the Securities and Exchange Commission on April 17, 2025.</w:t>
      </w:r>
    </w:p>
    <w:p>
      <w:pPr>
        <w:spacing w:after="0" w:line="322" w:lineRule="exact"/>
        <w:rPr>
          <w:sz w:val="20"/>
          <w:szCs w:val="20"/>
          <w:color w:val="auto"/>
        </w:rPr>
      </w:pPr>
    </w:p>
    <w:p>
      <w:pPr>
        <w:ind w:left="660" w:hanging="430"/>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12" w:lineRule="exact"/>
        <w:rPr>
          <w:sz w:val="20"/>
          <w:szCs w:val="20"/>
          <w:color w:val="auto"/>
        </w:rPr>
      </w:pPr>
    </w:p>
    <w:p>
      <w:pPr>
        <w:ind w:left="240" w:right="300" w:firstLine="971"/>
        <w:spacing w:after="0" w:line="270" w:lineRule="auto"/>
        <w:rPr>
          <w:sz w:val="20"/>
          <w:szCs w:val="20"/>
          <w:color w:val="auto"/>
        </w:rPr>
      </w:pPr>
      <w:r>
        <w:rPr>
          <w:rFonts w:ascii="Times New Roman" w:cs="Times New Roman" w:eastAsia="Times New Roman" w:hAnsi="Times New Roman"/>
          <w:sz w:val="18"/>
          <w:szCs w:val="18"/>
          <w:color w:val="auto"/>
        </w:rPr>
        <w:t>Our primary sources of liquidity have been proceeds from operating activities, equity and debt financing, and certain business or assets reorganizations.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major financings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 forth below are our major financings in recent years:</w:t>
      </w:r>
    </w:p>
    <w:p>
      <w:pPr>
        <w:spacing w:after="0" w:line="124" w:lineRule="exact"/>
        <w:rPr>
          <w:sz w:val="20"/>
          <w:szCs w:val="20"/>
          <w:color w:val="auto"/>
        </w:rPr>
      </w:pPr>
    </w:p>
    <w:p>
      <w:pPr>
        <w:ind w:left="1180" w:right="20" w:hanging="421"/>
        <w:spacing w:after="0" w:line="248"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2016, we issued an aggregate of US$0.5 billion unsecured senior notes due 2021, with stated annual interest rate of 3.125%, and an aggregate of US$0.5 billion unsecured senior notes due 2026, with stated annual interest rate of 3.875%. The net proceeds from the sale of these notes were used for general corporate purposes. As of December 31, 2025, the notes due 2021 were paid off, and the carrying value and estimated fair value of the notes due 2026 were US$499.6 million and US$499.4 million, respectively. The estimated fair values were based on quoted prices for our publicly traded debt securities as of December 31, 2025. The unsecured senior notes contain covenants including, among others, limitation on liens, and restriction on consolidation, merger and sale of all or substantially all of our assets. We are in compliance with all the covenants. During 2025, we paid an aggregate of US$19.4 million in interest payments related to these notes.</w:t>
      </w:r>
    </w:p>
    <w:p>
      <w:pPr>
        <w:spacing w:after="0" w:line="99" w:lineRule="exact"/>
        <w:rPr>
          <w:rFonts w:ascii="Times New Roman" w:cs="Times New Roman" w:eastAsia="Times New Roman" w:hAnsi="Times New Roman"/>
          <w:sz w:val="18"/>
          <w:szCs w:val="18"/>
          <w:color w:val="auto"/>
        </w:rPr>
      </w:pPr>
    </w:p>
    <w:p>
      <w:pPr>
        <w:ind w:left="1180" w:hanging="421"/>
        <w:spacing w:after="0" w:line="248" w:lineRule="auto"/>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we issued an aggregate of US$0.7 billion unsecured senior notes due 2030, with stated annual interest rate of 3.375%, and an aggregate of US$0.3 billion unsecured senior notes due 2050, with stated annual interest rate of 4.125%. The net proceeds from the sale of these notes are used for general corporate purposes and refinancing. As of December 31, 2025, the total carrying value and estimated fair value were US$692.6 million and US$676.4 million, respectively, with respect to the notes due 2030, and US$281.7 million and US$236.0 million, respectively, with respect to the notes due 2050. The estimated fair values were based on quoted prices for our publicly traded debt securities as of December 31, 2025. The unsecured senior notes contain covenants including, among others, limitation on liens, and restriction on consolidation, merger and sale of all or substantially all of our assets. We are in compliance with all the covenants. During 2025, we paid an aggregate of US$36.0 million in interest payments related to these notes.</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320" w:top="476" w:right="5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right="80" w:hanging="421"/>
        <w:spacing w:after="0" w:line="258"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our Class A ordinary shares commenced trading on the Main Board of the Hong Kong Stock Exchange under the stock code “9618.” We raised from our global offering in connection with the listing in Hong Kong approximately RMB31.3 billion in net proceeds after deducting underwriting commissions, share issuance costs and the offering expenses.</w:t>
      </w:r>
    </w:p>
    <w:p>
      <w:pPr>
        <w:spacing w:after="0" w:line="85" w:lineRule="exact"/>
        <w:rPr>
          <w:rFonts w:ascii="Times New Roman" w:cs="Times New Roman" w:eastAsia="Times New Roman" w:hAnsi="Times New Roman"/>
          <w:sz w:val="18"/>
          <w:szCs w:val="18"/>
          <w:color w:val="auto"/>
        </w:rPr>
      </w:pPr>
    </w:p>
    <w:p>
      <w:pPr>
        <w:ind w:left="1180" w:hanging="421"/>
        <w:spacing w:after="0" w:line="250"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entered into a five-year US$2.0 billion unsecured term and revolving loan facility with five lead arrangers. This loan facility is our first green loan facility. The term and revolving loans under this facility are priced at 85 basis points over LIBOR, which was amended to the Secured Overnight Financing Rate in September 2022. In the second quarter of 2022, we drew down US$1.0 billion under the facility commitment, which will be due in 2027 and was further extended to 2030 in January 2025. We used the proceeds from this loan facility to (i) finance or refinance in whole or in part, one or more of its new or existing eligible green projects and/or (ii) general corporate purposes. In March 2026, all outstanding balance of the borrowings was early repaid in full.</w:t>
      </w:r>
    </w:p>
    <w:p>
      <w:pPr>
        <w:spacing w:after="0" w:line="94" w:lineRule="exact"/>
        <w:rPr>
          <w:rFonts w:ascii="Times New Roman" w:cs="Times New Roman" w:eastAsia="Times New Roman" w:hAnsi="Times New Roman"/>
          <w:sz w:val="18"/>
          <w:szCs w:val="18"/>
          <w:color w:val="auto"/>
        </w:rPr>
      </w:pPr>
    </w:p>
    <w:p>
      <w:pPr>
        <w:ind w:left="1180" w:right="60" w:hanging="421"/>
        <w:spacing w:after="0" w:line="262" w:lineRule="auto"/>
        <w:tabs>
          <w:tab w:leader="none" w:pos="11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2024, we issued convertible senior notes in an aggregate principal amount of US$2.0 billion due 2029, or the 2029 Notes. The 2029 Notes bear interest at a rate of 0.25% per year, payable semiannually in arrears on June 1 and December 1 of each year, beginning on December 1, 2024. The 2029 Notes will mature on June 1, 2029, unless earlier redeemed, repurchased or converted in accordance with their terms prior to such date. The initial conversion rate of the 2029 Notes is 21.8830 ADSs per US$1,000 principal amount of Notes, which is equivalent to an initial conversion price of approximately US$45.70 per ADS. As of December 31, 2025, an aggregate principal amount of US$2.0 billion of the 2029 Notes remained outstanding. We used and will use the net proceeds from the issuance (i) for repurchase of our ADSs, concurrently with the pricing of the 2029 Notes, from certain purchasers of the 2029 Notes in off-market privately negotiated transactions effected through one of the initial purchasers or its affiliates, as our agent, and repurchases on the open market, after the pricing of the 2029 Notes and from time to time, additional Class A ordinary shares and/or ADSs of ours pursuant to our share repurchase program(s), (ii) to expand our overseas business, (iii) to further improve our supply chain network, and (iv) for working capital needs. Holders of the Notes may require us to repurchase for cash all or part of their Notes for cash on June 1, 2027 or in the event of certain fundamental changes, at a repurchase price equal to 100% of the principal amount of the Notes to be repurchased, plus accrued and unpaid interest, if any, to, but excluding, the relevant repurchase date. In addition, on or after June 8, 2027, we may redeem all or part of the Notes for cash subject to certain conditions, at a redemption price equal to 100% of the principal amount of the Notes to be redeemed, plus accrued and unpaid interest, if any, to, but excluding, the relevant optional redemption date. Furthermore, we may redeem all but not part of the Notes in the event of certain changes in the tax laws or if less than 10% of the aggregate principal amount of the Notes originally issued remains outstanding at such time, at a redemption price equal to 100% of the principal amount of the Notes to be redeemed, plus accrued and unpaid interest, if any, to, but excluding, the related redemption date.</w:t>
      </w:r>
    </w:p>
    <w:p>
      <w:pPr>
        <w:spacing w:after="0" w:line="84" w:lineRule="exact"/>
        <w:rPr>
          <w:rFonts w:ascii="Times New Roman" w:cs="Times New Roman" w:eastAsia="Times New Roman" w:hAnsi="Times New Roman"/>
          <w:sz w:val="17"/>
          <w:szCs w:val="17"/>
          <w:color w:val="auto"/>
        </w:rPr>
      </w:pPr>
    </w:p>
    <w:p>
      <w:pPr>
        <w:ind w:left="1180" w:right="40" w:hanging="421"/>
        <w:spacing w:after="0" w:line="253"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were granted with approval by China Securities Regulatory Commission of issuing public offering corporate bonds to professional investors with an aggregate registered principal amount of up to RMB10.0 billion. During the year ended December 31, 2025, RMB6.0 billion was issued in three tranches under the program, with coupon rates ranging from 1.55% to 1.87% per annum and tenors ranging from 1 to 5 years.</w:t>
      </w:r>
    </w:p>
    <w:p>
      <w:pPr>
        <w:spacing w:after="0" w:line="92" w:lineRule="exact"/>
        <w:rPr>
          <w:rFonts w:ascii="Times New Roman" w:cs="Times New Roman" w:eastAsia="Times New Roman" w:hAnsi="Times New Roman"/>
          <w:sz w:val="18"/>
          <w:szCs w:val="18"/>
          <w:color w:val="auto"/>
        </w:rPr>
      </w:pPr>
    </w:p>
    <w:p>
      <w:pPr>
        <w:ind w:left="1180" w:right="120" w:hanging="421"/>
        <w:spacing w:after="0" w:line="258" w:lineRule="auto"/>
        <w:tabs>
          <w:tab w:leader="none" w:pos="11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we completed the offering of RMB7.5 billion 2.05% notes due 2031 and RMB2.5 billion 2.75% notes due 2036 in reliance on Regulation S under the United States Securities Act of 1933, as amended. The proceeds have been received in full and was partially used to repay certain existing borrowings and related interest.</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320" w:top="476" w:right="5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Major financings of our subsidiaries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Set forth below are the major financings of our subsidiaries in the past three years:</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Property</w:t>
      </w:r>
    </w:p>
    <w:p>
      <w:pPr>
        <w:spacing w:after="0" w:line="126" w:lineRule="exact"/>
        <w:rPr>
          <w:sz w:val="20"/>
          <w:szCs w:val="20"/>
          <w:color w:val="auto"/>
        </w:rPr>
      </w:pPr>
    </w:p>
    <w:p>
      <w:pPr>
        <w:ind w:left="1180" w:right="80" w:hanging="421"/>
        <w:spacing w:after="0" w:line="258" w:lineRule="auto"/>
        <w:tabs>
          <w:tab w:leader="none" w:pos="1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JD Property entered into a RMB8,500 million term loan agreement with interest rate at 65 basis points below the Loan Prime Rate to refinance the loan and drew down RMB8,286 million, which was expected to be repaid through December 2028 in installments. The net proceeds from this loan facility are used for refinancing.</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JD Industrials</w:t>
      </w:r>
    </w:p>
    <w:p>
      <w:pPr>
        <w:spacing w:after="0" w:line="126" w:lineRule="exact"/>
        <w:rPr>
          <w:sz w:val="20"/>
          <w:szCs w:val="20"/>
          <w:color w:val="auto"/>
        </w:rPr>
      </w:pPr>
    </w:p>
    <w:p>
      <w:pPr>
        <w:ind w:left="1180" w:right="40" w:hanging="421"/>
        <w:spacing w:after="0" w:line="270"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March 2023, JD Industrials had raised an aggregate of approximately US$545 million through non-redeemable series A, series A-1 and series B preference share financing with a group of third-party investors.</w:t>
      </w:r>
    </w:p>
    <w:p>
      <w:pPr>
        <w:spacing w:after="0" w:line="76" w:lineRule="exact"/>
        <w:rPr>
          <w:rFonts w:ascii="Times New Roman" w:cs="Times New Roman" w:eastAsia="Times New Roman" w:hAnsi="Times New Roman"/>
          <w:sz w:val="18"/>
          <w:szCs w:val="18"/>
          <w:color w:val="auto"/>
        </w:rPr>
      </w:pPr>
    </w:p>
    <w:p>
      <w:pPr>
        <w:ind w:left="1180" w:right="20" w:hanging="421"/>
        <w:spacing w:after="0" w:line="258" w:lineRule="auto"/>
        <w:tabs>
          <w:tab w:leader="none" w:pos="1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shares of JD Industrials commenced trading on the Main Board of the Hong Kong Stock Exchange under the stock code “7618.” JD Industrials raised from the global offering in connection with the listing in Hong Kong approximately RMB2.6 billion in net proceeds after deducting underwriting commissions, share issuance costs and the offering expenses.</w:t>
      </w:r>
    </w:p>
    <w:p>
      <w:pPr>
        <w:spacing w:after="0" w:line="179" w:lineRule="exact"/>
        <w:rPr>
          <w:sz w:val="20"/>
          <w:szCs w:val="20"/>
          <w:color w:val="auto"/>
        </w:rPr>
      </w:pPr>
    </w:p>
    <w:p>
      <w:pPr>
        <w:ind w:left="240" w:right="180" w:firstLine="971"/>
        <w:spacing w:after="0" w:line="270" w:lineRule="auto"/>
        <w:rPr>
          <w:sz w:val="20"/>
          <w:szCs w:val="20"/>
          <w:color w:val="auto"/>
        </w:rPr>
      </w:pPr>
      <w:r>
        <w:rPr>
          <w:rFonts w:ascii="Times New Roman" w:cs="Times New Roman" w:eastAsia="Times New Roman" w:hAnsi="Times New Roman"/>
          <w:sz w:val="18"/>
          <w:szCs w:val="18"/>
          <w:color w:val="auto"/>
        </w:rPr>
        <w:t>As of December 31, 2025, we had revolving lines of credit for an aggregate amount of RMB304.0 billion (US$43.5 billion) from several commercial banks, and RMB243.1 billion (US$34.8 billion) of which was unused.</w:t>
      </w:r>
    </w:p>
    <w:p>
      <w:pPr>
        <w:spacing w:after="0" w:line="169"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Taking into account cash and cash equivalents on hand, our operating cash flows, and the available bank facilities, we believe that we have sufficient working capital for our present requirements and for at least the next 12 months from the date of this annual report.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If we determine that our cash requirements exceed the amount of cash and cash equivalents we have on hand, we may seek to issue debt or equity securities or obtain additional credit facilities.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20"/>
          </w:cols>
          <w:pgMar w:left="320" w:top="476" w:right="5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Our net inventories amounted to RMB68.1 billion, RMB89.3 billion and RMB95.4 billion (US$13.6 billion) as of December 31, 2023, 2024 and 2025, respectively. Our annual inventory turnover days were 30.3 days in 2023, 31.5 days in 2024 and 37.8 days in 2025. Annual inventory turnover days are the quotient of average inventory over the immediately preceding five quarters, up to and including the last quarter of the annual period, to cost of revenues of retail business for that annual period, and then multiplied by 360 days. Our inventory balances will fluctuate over time due to a number of factors, including expansion in our product selection and changes in our product mix. Our inventory balances typically increase when we prepare for special promotion events, such as the anniversary of the founding of our company on June 18 and China’s online shopping festival on November 11.</w:t>
      </w:r>
    </w:p>
    <w:p>
      <w:pPr>
        <w:spacing w:after="0" w:line="189"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Our accounts payable primarily include accounts payable to suppliers associated with our retail business. As of December 31, 2023, 2024 and 2025, our accounts payable amounted to RMB166.2 billion, RMB192.9 billion and RMB188.4 billion (US$26.9 billion), respectively. Our annual accounts payable turnover days for retail business were 53.2 days in 2023, 58.6 days in 2024 and 60.0 days in 2025. Annual accounts payable turnover days are the quotient of average accounts payable for retail business over the immediately preceding five quarters, up to and including the last quarter of the annual period to cost of revenues of retail business for that annual period, and then multiplied by 360 days.</w:t>
      </w:r>
    </w:p>
    <w:p>
      <w:pPr>
        <w:spacing w:after="0" w:line="187" w:lineRule="exact"/>
        <w:rPr>
          <w:sz w:val="20"/>
          <w:szCs w:val="20"/>
          <w:color w:val="auto"/>
        </w:rPr>
      </w:pPr>
    </w:p>
    <w:p>
      <w:pPr>
        <w:ind w:left="240" w:firstLine="971"/>
        <w:spacing w:after="0" w:line="266" w:lineRule="auto"/>
        <w:rPr>
          <w:sz w:val="20"/>
          <w:szCs w:val="20"/>
          <w:color w:val="auto"/>
        </w:rPr>
      </w:pPr>
      <w:r>
        <w:rPr>
          <w:rFonts w:ascii="Times New Roman" w:cs="Times New Roman" w:eastAsia="Times New Roman" w:hAnsi="Times New Roman"/>
          <w:sz w:val="17"/>
          <w:szCs w:val="17"/>
          <w:color w:val="auto"/>
        </w:rPr>
        <w:t>Our accounts receivable primarily include amounts due from customers and online payment channels. As of December 31, 2023, 2024 and 2025, our accounts receivable amounted to RMB20.3 billion, RMB25.6 billion and RMB27.3 billion (US$3.9 billion), respectively. JD Technology provides consumer financing to our customers. As of December 31, 2023, 2024 and 2025, the balances of current portion of financing provided to our customers that were included in accounts receivable balances amounted to RMB2.3 billion, RMB2.0 billion and RMB1.7 billion (US$0.2 billion), respectively. Our accounts receivable turnover days excluding the impact from consumer financing were 5.6 days in 2023, 5.9 days in 2024 and 8.7 days in 2025. Annual accounts receivable turnover days are the quotient of average accounts receivable over the immediately preceding five quarters, up to and including the last quarter of the annual period, to total net revenues for that annual period and then multiplied by 360 days.</w:t>
      </w:r>
    </w:p>
    <w:p>
      <w:pPr>
        <w:spacing w:after="0" w:line="175" w:lineRule="exact"/>
        <w:rPr>
          <w:sz w:val="20"/>
          <w:szCs w:val="20"/>
          <w:color w:val="auto"/>
        </w:rPr>
      </w:pPr>
    </w:p>
    <w:p>
      <w:pPr>
        <w:ind w:left="240" w:right="160" w:firstLine="971"/>
        <w:spacing w:after="0" w:line="253" w:lineRule="auto"/>
        <w:rPr>
          <w:sz w:val="20"/>
          <w:szCs w:val="20"/>
          <w:color w:val="auto"/>
        </w:rPr>
      </w:pPr>
      <w:r>
        <w:rPr>
          <w:rFonts w:ascii="Times New Roman" w:cs="Times New Roman" w:eastAsia="Times New Roman" w:hAnsi="Times New Roman"/>
          <w:sz w:val="18"/>
          <w:szCs w:val="18"/>
          <w:color w:val="auto"/>
        </w:rPr>
        <w:t>Although we consolidate the results of the consolidated variable interest entities, we only have access to cash balances or future earnings of the consolidated variable interest entities through our contractual arrangements with them. See “Item 4.C. Information on the Company— Organizational Structure.” For restrictions and limitations on liquidity and capital resources as a result of our corporate structure, see “Item 5.B. Operating and Financial Review and Prospects—Liquidity and Capital Resources—Holding Company Structure.”</w:t>
      </w:r>
    </w:p>
    <w:p>
      <w:pPr>
        <w:spacing w:after="0" w:line="185"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wholly foreign-owned subsidiaries in the Chinese mainland only through loans or capital contributions, subject to the approval of government authorities and limits on the amount of capital contributions and loans. In addition, our wholly foreign-owned subsidiaries in the Chinese mainland may provide RMB funding to their respective subsidiaries only through capital contributions and entrusted loans, and to the consolidated variable interest entities only through entrusted loans. See “Introduction—Summary of Risk Factors—Risks Related to Our Corporate Structure,” “Item 5.B. Operating and Financial Review and Prospects—Liquidity and Capital Resources” and “Item 3.D. Key Information—Risk Factors—Risks Related to Our Corporate Structure—PRC regulation of loans to and direct investment in PRC entities by offshore holding companies and governmental control of currency conversion may delay or prevent us from making loans to our PRC subsidiaries and the consolidated variable interest entities or making additional capital contributions to our wholly foreign-owned subsidiaries in the Chinese mainland, which could materially and adversely affect our liquidity and our ability to fund and expand our business.”</w:t>
      </w:r>
    </w:p>
    <w:p>
      <w:pPr>
        <w:spacing w:after="0" w:line="188" w:lineRule="exact"/>
        <w:rPr>
          <w:sz w:val="20"/>
          <w:szCs w:val="20"/>
          <w:color w:val="auto"/>
        </w:rPr>
      </w:pPr>
    </w:p>
    <w:p>
      <w:pPr>
        <w:jc w:val="both"/>
        <w:ind w:left="240" w:right="40" w:firstLine="971"/>
        <w:spacing w:after="0" w:line="258" w:lineRule="auto"/>
        <w:rPr>
          <w:sz w:val="20"/>
          <w:szCs w:val="20"/>
          <w:color w:val="auto"/>
        </w:rPr>
      </w:pPr>
      <w:r>
        <w:rPr>
          <w:rFonts w:ascii="Times New Roman" w:cs="Times New Roman" w:eastAsia="Times New Roman" w:hAnsi="Times New Roman"/>
          <w:sz w:val="18"/>
          <w:szCs w:val="18"/>
          <w:color w:val="auto"/>
        </w:rPr>
        <w:t>RMB may be converted into foreign exchange for current account items, including interest and trade- and service-related transactions. As a result, our PRC subsidiaries and the consolidated variable interest entities in China may purchase foreign exchange for the payment of license, content or other royalty fees and expenses to offshore licensors and content partners, for example.</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320" w:top="476" w:right="5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Our wholly foreign-owned subsidiaries may convert RMB amounts that they generate in their own business activities, including technical consulting and related service fees pursuant to their contracts with the consolidated variable interest entities, as well as dividends they receive from their own subsidiaries, into foreign exchange and pay them to their non-PRC parent companies in the form of dividends. However, current PRC regulations permit our wholly foreign-owned subsidiaries to pay dividends to us only out of their accumulated profits, if any, determined in accordance with Chinese accounting standards and regulations. Each of our wholly foreign-owned subsidiaries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w:t>
      </w:r>
    </w:p>
    <w:p>
      <w:pPr>
        <w:spacing w:after="0" w:line="1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9"/>
        </w:trPr>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0" w:type="dxa"/>
            <w:vAlign w:val="bottom"/>
          </w:tcPr>
          <w:p>
            <w:pPr>
              <w:jc w:val="right"/>
              <w:ind w:right="7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80" w:type="dxa"/>
            <w:vAlign w:val="bottom"/>
            <w:gridSpan w:val="2"/>
          </w:tcPr>
          <w:p>
            <w:pPr>
              <w:jc w:val="right"/>
              <w:ind w:right="9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960" w:type="dxa"/>
            <w:vAlign w:val="bottom"/>
            <w:gridSpan w:val="2"/>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9"/>
        </w:trPr>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3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480"/>
              <w:spacing w:after="0" w:line="139"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Borders>
              <w:top w:val="single" w:sz="8" w:color="auto"/>
              <w:bottom w:val="single" w:sz="8" w:color="auto"/>
            </w:tcBorders>
          </w:tcPr>
          <w:p>
            <w:pPr>
              <w:jc w:val="right"/>
              <w:ind w:right="53"/>
              <w:spacing w:after="0" w:line="139"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r>
      <w:tr>
        <w:trPr>
          <w:trHeight w:val="139"/>
        </w:trPr>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4"/>
          </w:tcPr>
          <w:p>
            <w:pPr>
              <w:jc w:val="right"/>
              <w:ind w:right="780"/>
              <w:spacing w:after="0" w:line="13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Cash Flows Data:</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59,521</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58,095</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18,991</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2,716</w:t>
            </w: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(59,543)</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41,832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5,982</w:t>
            </w: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(5,808)</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(21,004)</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(26,728)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(3,822)</w:t>
            </w: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18"/>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cash equivalents and restricted cash</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36,318</w:t>
            </w:r>
          </w:p>
        </w:tc>
        <w:tc>
          <w:tcPr>
            <w:tcW w:w="3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32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40" w:type="dxa"/>
            <w:vAlign w:val="bottom"/>
          </w:tcPr>
          <w:p>
            <w:pPr>
              <w:spacing w:after="0"/>
              <w:rPr>
                <w:sz w:val="18"/>
                <w:szCs w:val="18"/>
                <w:color w:val="auto"/>
              </w:rPr>
            </w:pPr>
          </w:p>
        </w:tc>
      </w:tr>
      <w:tr>
        <w:trPr>
          <w:trHeight w:val="193"/>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year, including cash and</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 classified within assets held for sale</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85,156</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79,451</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115,716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16,547</w:t>
            </w:r>
          </w:p>
        </w:tc>
      </w:tr>
      <w:tr>
        <w:trPr>
          <w:trHeight w:val="193"/>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Less: cash, cash equivalents, and restricted cash classified within assets held for sale at</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9"/>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2"/>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85,115</w:t>
            </w:r>
          </w:p>
        </w:tc>
        <w:tc>
          <w:tcPr>
            <w:tcW w:w="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79,398</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115,716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16,547</w:t>
            </w:r>
          </w:p>
        </w:tc>
      </w:tr>
      <w:tr>
        <w:trPr>
          <w:trHeight w:val="200"/>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2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Cash, cash equivalents and restricted cash at end of year, including cash and cash</w:t>
            </w: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 classified within assets held for sale</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79,451</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115,716</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149,625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21,396</w:t>
            </w:r>
          </w:p>
        </w:tc>
      </w:tr>
      <w:tr>
        <w:trPr>
          <w:trHeight w:val="194"/>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Less: cash, cash equivalents and restricted cash classified within assets held for sale at</w:t>
            </w: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115,716</w:t>
            </w:r>
          </w:p>
        </w:tc>
        <w:tc>
          <w:tcPr>
            <w:tcW w:w="3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149,625</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140" w:type="dxa"/>
            <w:vAlign w:val="bottom"/>
          </w:tcPr>
          <w:p>
            <w:pPr>
              <w:spacing w:after="0"/>
              <w:rPr>
                <w:sz w:val="18"/>
                <w:szCs w:val="18"/>
                <w:color w:val="auto"/>
              </w:rPr>
            </w:pPr>
          </w:p>
        </w:tc>
      </w:tr>
      <w:tr>
        <w:trPr>
          <w:trHeight w:val="455"/>
        </w:trPr>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Absolute value is less than RMB1 million or US$1 million.</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4"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in 2025 was RMB18,991 million (US$2,716 million). In 2025, the principal items accounting for the difference between our net cash provided by operating activities and our net income were certain non-cash expenses, principally depreciation and amortization of RMB9,747 million (US$1,394 million), impairment of goodwill, long-lived assets and equity investments totaled RMB2,130 million (US$304 million), share-based compensation of RMB4,726 million (US$676 million), and changes in certain working capital accounts, principally an increase in inventories of RMB5,780 million (US$827 million), and a decrease in accounts payable of RMB4,909 million (US$702 million). The increase in inventories was mainly due to the growth of our business and preparation for the Chinese New Year Shopping Festival. The decrease in our accounts payable was due to a high base effect of 2024.</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80"/>
          </w:cols>
          <w:pgMar w:left="320" w:top="476" w:right="5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 2024 was RMB58,095 million. In 2024, the principal items accounting for the difference between our net cash provided by operating activities and our net income were certain non-cash expenses, principally depreciation and amortization of RMB8,904 million, impairment of goodwill, long-lived assets and equity investments totaled RMB5,660 million, share-based compensation of RMB2,999 million, and changes in certain working capital accounts, principally an increase in inventories of RMB20,154 million, and an increase in accounts payable of RMB27,844 million. The increase in inventories was mainly due to preparation for the Chinese New Year Shopping Festival and the trade-in program. The increase in our accounts payable was due to the growth of our business.</w:t>
      </w:r>
    </w:p>
    <w:p>
      <w:pPr>
        <w:spacing w:after="0" w:line="187" w:lineRule="exact"/>
        <w:rPr>
          <w:sz w:val="20"/>
          <w:szCs w:val="20"/>
          <w:color w:val="auto"/>
        </w:rPr>
      </w:pPr>
    </w:p>
    <w:p>
      <w:pPr>
        <w:ind w:left="240" w:right="160" w:firstLine="971"/>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in 2023 was RMB59,521 million. In 2023, the principal items accounting for the difference between our net cash provided by operating activities and our net income were certain non-cash expenses, principally depreciation and amortization of RMB8,292 million, impairment of goodwill, long-lived assets and equity investments totaled RMB8,211 million, share-based compensation of RMB4,804 million, and changes in certain working capital accounts, principally an decrease in inventories of RMB9,891 million, and an increase in accounts payable of RMB4,614 million. The decrease in inventories was mainly due to seasonality, as inventories were pre-stocked at the end of 2022 for the 2023 Chinese New Year which was in January 2023, while the 2024 Chinese New Year was in February 2024 and thus fewer inventories was pre-stocked at the end of 2023. The increase in our accounts payable was due to the growth of our business.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4"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Net cash provided by investing activities in 2025 was RMB41,832 million (US$5,982 million), consisting primarily of the maturity of time deposits and wealth management products, cash received from sale of development properties and disposal of investment securities and equity investments, partially offset by the purchase of time deposits and wealth management products, purchase of property, equipment and software and intangible assets, cash paid for construction in progress and land use rights and cash paid for asset acquisitions and business combinations.</w:t>
      </w:r>
    </w:p>
    <w:p>
      <w:pPr>
        <w:spacing w:after="0" w:line="185" w:lineRule="exact"/>
        <w:rPr>
          <w:sz w:val="20"/>
          <w:szCs w:val="20"/>
          <w:color w:val="auto"/>
        </w:rPr>
      </w:pPr>
    </w:p>
    <w:p>
      <w:pPr>
        <w:ind w:left="240" w:right="200" w:firstLine="971"/>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in 2024 was RMB871 million, consisting primarily of the purchase of time deposits and wealth management products, cash paid for construction in progress and land use rights, purchases of property, equipment and software and intangible assets, cash paid for asset acquisitions and business combinations, partially offset by the maturity of time deposits and wealth management products, cash received from disposal of equity investments and investment securities and cash received from sale of development properties.</w:t>
      </w:r>
    </w:p>
    <w:p>
      <w:pPr>
        <w:spacing w:after="0" w:line="185" w:lineRule="exact"/>
        <w:rPr>
          <w:sz w:val="20"/>
          <w:szCs w:val="20"/>
          <w:color w:val="auto"/>
        </w:rPr>
      </w:pPr>
    </w:p>
    <w:p>
      <w:pPr>
        <w:ind w:left="240" w:right="140" w:firstLine="971"/>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in 2023 was RMB59,543 million, consisting primarily of the purchase of short-term investments and long-term time deposits and wealth management products, cash paid for construction in progress and land use rights, purchases of property, equipment and software and asset acquisitions, partially offset by the maturity of short-term investments, cash received from disposal of equity investments and investment securities and cash received from sale of development properties.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4"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2025 was RMB26,728 million (US$3,822 million), consisting primarily of cash paid for dividends, cash paid for repurchase of ordinary shares and ADSs of our company and acquisition of additional equity interests in non-wholly owned subsidiaries, partially offset by net proceeds from debts.</w:t>
      </w:r>
    </w:p>
    <w:p>
      <w:pPr>
        <w:spacing w:after="0" w:line="179" w:lineRule="exact"/>
        <w:rPr>
          <w:sz w:val="20"/>
          <w:szCs w:val="20"/>
          <w:color w:val="auto"/>
        </w:rPr>
      </w:pPr>
    </w:p>
    <w:p>
      <w:pPr>
        <w:ind w:left="240" w:right="140" w:firstLine="971"/>
        <w:spacing w:after="0" w:line="270" w:lineRule="auto"/>
        <w:rPr>
          <w:sz w:val="20"/>
          <w:szCs w:val="20"/>
          <w:color w:val="auto"/>
        </w:rPr>
      </w:pPr>
      <w:r>
        <w:rPr>
          <w:rFonts w:ascii="Times New Roman" w:cs="Times New Roman" w:eastAsia="Times New Roman" w:hAnsi="Times New Roman"/>
          <w:sz w:val="18"/>
          <w:szCs w:val="18"/>
          <w:color w:val="auto"/>
        </w:rPr>
        <w:t>Net cash used in financing activities in 2024 was RMB21,004 million, consisting primarily of cash paid for repurchase of ordinary shares and ADSs of our company and cash paid for dividends, partially offset by net proceeds from unsecured senior notes.</w:t>
      </w:r>
    </w:p>
    <w:p>
      <w:pPr>
        <w:spacing w:after="0" w:line="169" w:lineRule="exact"/>
        <w:rPr>
          <w:sz w:val="20"/>
          <w:szCs w:val="20"/>
          <w:color w:val="auto"/>
        </w:rPr>
      </w:pPr>
    </w:p>
    <w:p>
      <w:pPr>
        <w:ind w:left="240" w:right="220" w:firstLine="971"/>
        <w:spacing w:after="0" w:line="270" w:lineRule="auto"/>
        <w:rPr>
          <w:sz w:val="20"/>
          <w:szCs w:val="20"/>
          <w:color w:val="auto"/>
        </w:rPr>
      </w:pPr>
      <w:r>
        <w:rPr>
          <w:rFonts w:ascii="Times New Roman" w:cs="Times New Roman" w:eastAsia="Times New Roman" w:hAnsi="Times New Roman"/>
          <w:sz w:val="18"/>
          <w:szCs w:val="18"/>
          <w:color w:val="auto"/>
        </w:rPr>
        <w:t>Net cash used in financing activities in 2023 was RMB5,808 million, consisting primarily of cash paid for repurchase of ordinary shares and ADSs of our company and cash paid for dividends, partially offset by net proceeds from bank borrowings.</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320" w:top="476" w:right="5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12" w:lineRule="exact"/>
        <w:rPr>
          <w:sz w:val="20"/>
          <w:szCs w:val="20"/>
          <w:color w:val="auto"/>
        </w:rPr>
      </w:pPr>
    </w:p>
    <w:p>
      <w:pPr>
        <w:ind w:left="240" w:right="20" w:firstLine="971"/>
        <w:spacing w:after="0" w:line="270"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capital expenditures and contractual obligations.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14" w:lineRule="exact"/>
        <w:rPr>
          <w:sz w:val="20"/>
          <w:szCs w:val="20"/>
          <w:color w:val="auto"/>
        </w:rPr>
      </w:pPr>
    </w:p>
    <w:p>
      <w:pPr>
        <w:ind w:left="240" w:right="160" w:firstLine="971"/>
        <w:spacing w:after="0" w:line="249" w:lineRule="auto"/>
        <w:rPr>
          <w:sz w:val="20"/>
          <w:szCs w:val="20"/>
          <w:color w:val="auto"/>
        </w:rPr>
      </w:pPr>
      <w:r>
        <w:rPr>
          <w:rFonts w:ascii="Times New Roman" w:cs="Times New Roman" w:eastAsia="Times New Roman" w:hAnsi="Times New Roman"/>
          <w:sz w:val="18"/>
          <w:szCs w:val="18"/>
          <w:color w:val="auto"/>
        </w:rPr>
        <w:t>We made capital expenditures of RMB25.4 billion, RMB18.0 billion and RMB17.6 billion (US$2.5 billion) in 2023, 2024 and 2025, respectively. Our capital expenditures for 2023, 2024 and 2025 consisted primarily of expenditures related to the expansion of our fulfillment infrastructure, technology platform, logistics equipment as well as our office buildings. Our capital expenditures will continue to be significant in the foreseeable future as we expand and improve our fulfillment infrastructure and technology platform to meet the needs of our business operations. JD Property seeks to realize development profits and recycle capital from mature properties to fund new developments and scale the business. We sold certain of our development properties and received proceeds of RMB7.0 billion in 2023, RMB3.8 billion in 2024 and RMB4.9 billion (US$0.7 billion) in 2025.</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5940" w:type="dxa"/>
            <w:vAlign w:val="bottom"/>
          </w:tcPr>
          <w:p>
            <w:pPr>
              <w:spacing w:after="0"/>
              <w:rPr>
                <w:sz w:val="9"/>
                <w:szCs w:val="9"/>
                <w:color w:val="auto"/>
              </w:rPr>
            </w:pPr>
          </w:p>
        </w:tc>
        <w:tc>
          <w:tcPr>
            <w:tcW w:w="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4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1-3 years</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64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7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6"/>
          </w:tcPr>
          <w:p>
            <w:pPr>
              <w:jc w:val="center"/>
              <w:ind w:right="12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 for offices and fulfillment infrastructures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38,177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9,616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6,138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20" w:type="dxa"/>
            <w:vAlign w:val="bottom"/>
            <w:gridSpan w:val="2"/>
          </w:tcPr>
          <w:p>
            <w:pPr>
              <w:spacing w:after="0" w:line="211" w:lineRule="exact"/>
              <w:rPr>
                <w:sz w:val="20"/>
                <w:szCs w:val="20"/>
                <w:color w:val="auto"/>
              </w:rPr>
            </w:pPr>
            <w:r>
              <w:rPr>
                <w:rFonts w:ascii="Times New Roman" w:cs="Times New Roman" w:eastAsia="Times New Roman" w:hAnsi="Times New Roman"/>
                <w:sz w:val="16"/>
                <w:szCs w:val="16"/>
                <w:color w:val="auto"/>
              </w:rPr>
              <w:t>Capital commitments</w:t>
            </w:r>
            <w:r>
              <w:rPr>
                <w:rFonts w:ascii="Times New Roman" w:cs="Times New Roman" w:eastAsia="Times New Roman" w:hAnsi="Times New Roman"/>
                <w:sz w:val="24"/>
                <w:szCs w:val="24"/>
                <w:color w:val="auto"/>
                <w:vertAlign w:val="superscript"/>
              </w:rPr>
              <w:t>(1)</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2,682</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Long-term debt obligations and interest payments</w:t>
            </w:r>
            <w:r>
              <w:rPr>
                <w:rFonts w:ascii="Times New Roman" w:cs="Times New Roman" w:eastAsia="Times New Roman" w:hAnsi="Times New Roman"/>
                <w:sz w:val="24"/>
                <w:szCs w:val="24"/>
                <w:color w:val="auto"/>
                <w:vertAlign w:val="superscript"/>
              </w:rPr>
              <w:t>(2)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78,515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8,278</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17,166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32,657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20,414</w:t>
            </w:r>
          </w:p>
        </w:tc>
        <w:tc>
          <w:tcPr>
            <w:tcW w:w="0" w:type="dxa"/>
            <w:vAlign w:val="bottom"/>
          </w:tcPr>
          <w:p>
            <w:pPr>
              <w:spacing w:after="0"/>
              <w:rPr>
                <w:sz w:val="1"/>
                <w:szCs w:val="1"/>
                <w:color w:val="auto"/>
              </w:rPr>
            </w:pPr>
          </w:p>
        </w:tc>
      </w:tr>
      <w:tr>
        <w:trPr>
          <w:trHeight w:val="218"/>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119,374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38,795</w:t>
            </w:r>
          </w:p>
        </w:tc>
        <w:tc>
          <w:tcPr>
            <w:tcW w:w="16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tcBorders>
              <w:bottom w:val="single" w:sz="8" w:color="auto"/>
            </w:tcBorders>
          </w:tcPr>
          <w:p>
            <w:pPr>
              <w:spacing w:after="0"/>
              <w:rPr>
                <w:sz w:val="10"/>
                <w:szCs w:val="10"/>
                <w:color w:val="auto"/>
              </w:rPr>
            </w:pPr>
          </w:p>
        </w:tc>
        <w:tc>
          <w:tcPr>
            <w:tcW w:w="5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60" w:right="200" w:hanging="430"/>
        <w:spacing w:after="0" w:line="255"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commitments primarily relate to commitments on construction and purchase of office buildings and warehouses, and are expected to be paid in the following years according to the construction progress.</w:t>
      </w:r>
    </w:p>
    <w:p>
      <w:pPr>
        <w:ind w:left="660" w:hanging="430"/>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debt obligations are mainly unsecured senior notes and long-term debts, including the portion due within one year.</w:t>
      </w:r>
    </w:p>
    <w:p>
      <w:pPr>
        <w:spacing w:after="0" w:line="199" w:lineRule="exact"/>
        <w:rPr>
          <w:sz w:val="20"/>
          <w:szCs w:val="20"/>
          <w:color w:val="auto"/>
        </w:rPr>
      </w:pPr>
    </w:p>
    <w:p>
      <w:pPr>
        <w:ind w:left="240" w:right="720" w:firstLine="971"/>
        <w:spacing w:after="0" w:line="270" w:lineRule="auto"/>
        <w:rPr>
          <w:sz w:val="20"/>
          <w:szCs w:val="20"/>
          <w:color w:val="auto"/>
        </w:rPr>
      </w:pPr>
      <w:r>
        <w:rPr>
          <w:rFonts w:ascii="Times New Roman" w:cs="Times New Roman" w:eastAsia="Times New Roman" w:hAnsi="Times New Roman"/>
          <w:sz w:val="18"/>
          <w:szCs w:val="18"/>
          <w:color w:val="auto"/>
        </w:rPr>
        <w:t>Our investment commitments contracted but without fixed payment schedule amounted to RMB1.5 billion (US$0.2 billion) as of December 31, 2025, which primarily related to capital contribution obligation for certain fund investments.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14"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20"/>
          </w:cols>
          <w:pgMar w:left="320" w:top="476" w:right="5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1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JD.com, Inc. is a holding company with no material operations of its own. We conduct our operations primarily through our subsidiaries and the consolidated variable interest entities in China. As a result, JD.com, Inc.’s ability to pay dividends depends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consolidated variable interest entities in China is required to set aside at least 10% of its after-tax profits each year, if any, to fund certain statutory reserve funds until such reserve funds reach 50% of its registered capital. Each of our PRC subsidiaries and the consolidated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As of December 31, 2025, the amount restricted, including paid-in capital and statutory reserve funds, as determined in accordance with PRC accounting standards and regulations, was approximately RMB78.2 billion (US$11.2 billion).</w:t>
      </w:r>
    </w:p>
    <w:p>
      <w:pPr>
        <w:spacing w:after="0" w:line="337" w:lineRule="exact"/>
        <w:rPr>
          <w:sz w:val="20"/>
          <w:szCs w:val="20"/>
          <w:color w:val="auto"/>
        </w:rPr>
      </w:pPr>
    </w:p>
    <w:p>
      <w:pPr>
        <w:ind w:left="660" w:hanging="430"/>
        <w:spacing w:after="0"/>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112" w:lineRule="exact"/>
        <w:rPr>
          <w:sz w:val="20"/>
          <w:szCs w:val="20"/>
          <w:color w:val="auto"/>
        </w:rPr>
      </w:pPr>
    </w:p>
    <w:p>
      <w:pPr>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We have built our technology platform relying primarily on software and systems that we have developed in-house and to a lesser extent on third-party software that we have modified and incorporated. Our research and development professionals design, develop and operate our technology platform and to improve our AI, big data and cloud technologies and services.</w:t>
      </w:r>
    </w:p>
    <w:p>
      <w:pPr>
        <w:spacing w:after="0" w:line="179" w:lineRule="exact"/>
        <w:rPr>
          <w:sz w:val="20"/>
          <w:szCs w:val="20"/>
          <w:color w:val="auto"/>
        </w:rPr>
      </w:pPr>
    </w:p>
    <w:p>
      <w:pPr>
        <w:ind w:left="240" w:right="20" w:firstLine="971"/>
        <w:spacing w:after="0" w:line="266" w:lineRule="auto"/>
        <w:rPr>
          <w:sz w:val="20"/>
          <w:szCs w:val="20"/>
          <w:color w:val="auto"/>
        </w:rPr>
      </w:pPr>
      <w:r>
        <w:rPr>
          <w:rFonts w:ascii="Times New Roman" w:cs="Times New Roman" w:eastAsia="Times New Roman" w:hAnsi="Times New Roman"/>
          <w:sz w:val="17"/>
          <w:szCs w:val="17"/>
          <w:color w:val="auto"/>
        </w:rPr>
        <w:t>In 2023, 2024 and 2025, our research and development expenses, including share-based compensation expenses for research and development staff, were RMB16,393 million, RMB17,031 million and RMB22,229 million (US$3,179 million), respectively. Our research and development expenses consist primarily of payroll and related expenses for research and development professionals involved in designing, developing and operating our technology platform, and improving our AI, big data and cloud technologies and services, and technology infrastructure costs. Technology infrastructure costs include servers and other equipment depreciation, bandwidth and data center costs, rent, utilities and other expenses necessary to support our internal and external business. We expect spending in research and development continue to be significant over time as we plan to continue to invest in our technology and innovation to enhance customer experience and provide value-added services to our business partners.</w:t>
      </w:r>
    </w:p>
    <w:p>
      <w:pPr>
        <w:spacing w:after="0" w:line="319" w:lineRule="exact"/>
        <w:rPr>
          <w:sz w:val="20"/>
          <w:szCs w:val="20"/>
          <w:color w:val="auto"/>
        </w:rPr>
      </w:pPr>
    </w:p>
    <w:p>
      <w:pPr>
        <w:ind w:left="660" w:hanging="430"/>
        <w:spacing w:after="0"/>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12"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2026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328" w:lineRule="exact"/>
        <w:rPr>
          <w:sz w:val="20"/>
          <w:szCs w:val="20"/>
          <w:color w:val="auto"/>
        </w:rPr>
      </w:pPr>
    </w:p>
    <w:p>
      <w:pPr>
        <w:ind w:left="660" w:hanging="430"/>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112" w:lineRule="exact"/>
        <w:rPr>
          <w:sz w:val="20"/>
          <w:szCs w:val="20"/>
          <w:color w:val="auto"/>
        </w:rPr>
      </w:pPr>
    </w:p>
    <w:p>
      <w:pPr>
        <w:ind w:left="240" w:right="140" w:firstLine="971"/>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it requires to be made based on assumptions about matters that are highly uncertain at the time such estimate is made, and if different accounting estimates that reasonably could have been used, or changes in the accounting estimate that are reasonably likely to occur periodically, could materially impact the consolidated financial statements.</w:t>
      </w:r>
    </w:p>
    <w:p>
      <w:pPr>
        <w:spacing w:after="0" w:line="179" w:lineRule="exact"/>
        <w:rPr>
          <w:sz w:val="20"/>
          <w:szCs w:val="20"/>
          <w:color w:val="auto"/>
        </w:rPr>
      </w:pPr>
    </w:p>
    <w:p>
      <w:pPr>
        <w:ind w:left="240" w:right="160" w:firstLine="971"/>
        <w:spacing w:after="0" w:line="251"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GAAP, which requires us to make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187" w:lineRule="exact"/>
        <w:rPr>
          <w:sz w:val="20"/>
          <w:szCs w:val="20"/>
          <w:color w:val="auto"/>
        </w:rPr>
      </w:pPr>
    </w:p>
    <w:p>
      <w:pPr>
        <w:ind w:left="240" w:right="220" w:firstLine="971"/>
        <w:spacing w:after="0" w:line="300" w:lineRule="auto"/>
        <w:rPr>
          <w:sz w:val="20"/>
          <w:szCs w:val="20"/>
          <w:color w:val="auto"/>
        </w:rPr>
      </w:pPr>
      <w:r>
        <w:rPr>
          <w:rFonts w:ascii="Times New Roman" w:cs="Times New Roman" w:eastAsia="Times New Roman" w:hAnsi="Times New Roman"/>
          <w:sz w:val="17"/>
          <w:szCs w:val="17"/>
          <w:color w:val="auto"/>
        </w:rPr>
        <w:t>The following descriptions of critical accounting estimates should be read in conjunction with our consolidated financial statements and other disclosures included in this annual report. For further information, see Note 2 to our consolidated financial statements in this annual report.</w:t>
      </w:r>
    </w:p>
    <w:p>
      <w:pPr>
        <w:spacing w:after="0" w:line="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320" w:top="476" w:right="5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4"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We account for business acquisitions under the acquisition method of accounting. 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We primarily establish fair value using the income approach based upon a discounted cash flow model. The income approach requires management to make significant estimates and assumptions. Significant estimates in valuing certain intangible assets include, but are not limited to, future expected cash flows and discount rates.</w:t>
      </w:r>
    </w:p>
    <w:p>
      <w:pPr>
        <w:spacing w:after="0" w:line="187" w:lineRule="exact"/>
        <w:rPr>
          <w:sz w:val="20"/>
          <w:szCs w:val="20"/>
          <w:color w:val="auto"/>
        </w:rPr>
      </w:pPr>
    </w:p>
    <w:p>
      <w:pPr>
        <w:ind w:left="240" w:right="140" w:firstLine="971"/>
        <w:spacing w:after="0" w:line="258" w:lineRule="auto"/>
        <w:rPr>
          <w:sz w:val="20"/>
          <w:szCs w:val="20"/>
          <w:color w:val="auto"/>
        </w:rPr>
      </w:pPr>
      <w:r>
        <w:rPr>
          <w:rFonts w:ascii="Times New Roman" w:cs="Times New Roman" w:eastAsia="Times New Roman" w:hAnsi="Times New Roman"/>
          <w:sz w:val="18"/>
          <w:szCs w:val="18"/>
          <w:color w:val="auto"/>
        </w:rPr>
        <w:t>Our management’s estimates of fair value are based on available information as of the acquisition date and upon assumptions believed to be reasonable, but which are inherently uncertain and unpredictable and, as a result, the actual results may differ from estimates. Changes in these estimates and assumptions could materially affect the determination of the fair value.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4" w:lineRule="exact"/>
        <w:rPr>
          <w:sz w:val="20"/>
          <w:szCs w:val="20"/>
          <w:color w:val="auto"/>
        </w:rPr>
      </w:pPr>
    </w:p>
    <w:p>
      <w:pPr>
        <w:ind w:left="240" w:right="20" w:firstLine="971"/>
        <w:spacing w:after="0" w:line="253" w:lineRule="auto"/>
        <w:rPr>
          <w:sz w:val="20"/>
          <w:szCs w:val="20"/>
          <w:color w:val="auto"/>
        </w:rPr>
      </w:pPr>
      <w:r>
        <w:rPr>
          <w:rFonts w:ascii="Times New Roman" w:cs="Times New Roman" w:eastAsia="Times New Roman" w:hAnsi="Times New Roman"/>
          <w:sz w:val="18"/>
          <w:szCs w:val="18"/>
          <w:color w:val="auto"/>
        </w:rPr>
        <w:t>We recognize revenues net of discounts and return allowances when the products are delivered and title is passed to customers. Significant judgment is required to estimate return allowances. For online retail business with return conditions, we reasonably estimate the possibility of return based on the historical experience, changes in judgments on these assumptions and estimates could materially impact the amount of net revenues recognized.</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4"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Inventories, consisting of products available for sale, are stated at the lower of cost and net realizable value. Cost of inventories is mainly determined using the weighted average cost method. Adjustments are recorded to write down the cost of inventories to the estimated net realizable value due to slow-moving merchandise and damaged goods, which is dependent upon factors such as inventory aging, historical and forecasted consumer demand, and market conditions that impact pricing. We take ownership, risks and rewards of the products purchased, but have arrangements to return unsold goods with certain vendors. Write-downs are recorded in cost of revenues in our consolidated statements of operations and comprehensive income/(loss). As a measure of sensitivity, for every 1% of additional inventory valuation allowance as of December 31, 2025, we would have recorded an additional cost of sales of approximately RMB1,002 million (US$143 million).</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320" w:top="476" w:right="5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identifiable assets and liabilities acquired in a business</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combination.</w:t>
      </w:r>
    </w:p>
    <w:p>
      <w:pPr>
        <w:spacing w:after="0" w:line="199"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 xml:space="preserve">Goodwill is not depreciated or amortized but is tested for impairment on an annual basis as of December 31, and in between annual tests when an event occurs or circumstances change that could indicate that the asset might be impaired. In accordance with ASU 2017-04, </w:t>
      </w:r>
      <w:r>
        <w:rPr>
          <w:rFonts w:ascii="Times New Roman" w:cs="Times New Roman" w:eastAsia="Times New Roman" w:hAnsi="Times New Roman"/>
          <w:sz w:val="18"/>
          <w:szCs w:val="18"/>
          <w:i w:val="1"/>
          <w:iCs w:val="1"/>
          <w:color w:val="auto"/>
        </w:rPr>
        <w:t xml:space="preserve">Intangibles-Goodwill and Other (Topic 350): Simplifying the Test for Goodwill Impairment </w:t>
      </w:r>
      <w:r>
        <w:rPr>
          <w:rFonts w:ascii="Times New Roman" w:cs="Times New Roman" w:eastAsia="Times New Roman" w:hAnsi="Times New Roman"/>
          <w:sz w:val="18"/>
          <w:szCs w:val="18"/>
          <w:color w:val="auto"/>
        </w:rPr>
        <w:t>issued by the Financial Accounting Standards Board (“FASB”)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testing of goodwill for impairment, we first assess qualitative factors to determine whether it is more likely than not that the fair value of a reporting unit is less than its carrying amount. If as a result of the qualitative assessment, it is more likely than not that the fair value of the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between the fair value of the reporting unit and its carrying amount will be recorded.</w:t>
      </w:r>
    </w:p>
    <w:p>
      <w:pPr>
        <w:spacing w:after="0" w:line="190" w:lineRule="exact"/>
        <w:rPr>
          <w:sz w:val="20"/>
          <w:szCs w:val="20"/>
          <w:color w:val="auto"/>
        </w:rPr>
      </w:pPr>
    </w:p>
    <w:p>
      <w:pPr>
        <w:ind w:left="240" w:right="140" w:firstLine="971"/>
        <w:spacing w:after="0" w:line="253" w:lineRule="auto"/>
        <w:rPr>
          <w:sz w:val="20"/>
          <w:szCs w:val="20"/>
          <w:color w:val="auto"/>
        </w:rPr>
      </w:pPr>
      <w:r>
        <w:rPr>
          <w:rFonts w:ascii="Times New Roman" w:cs="Times New Roman" w:eastAsia="Times New Roman" w:hAnsi="Times New Roman"/>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85"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During the years ended December 31, 2023, 2024 and 2025, management monitored the actual performance of the business and conducted goodwill impairment test. For the year ended December 31, 2023, considered the duration and severity of the decline of Dada’s stock price, we assessed that it is more likely than not that the fair value of Dada reporting unit is less than its carrying amount and performed a quantitative impairment test on the Dada reporting unit and recognized an impairment loss of RMB3,143 million. For the year ended December 31, 2024, we concluded the carrying amounts of certain reporting units exceeded their respective fair values and recorded impairment losses of RMB799 million. For the year ended December 31, 2025, we concluded the carrying amounts of certain reporting units exceeded their respective fair values and recorded impairment losses of RMB1,303 million. The fair value of reporting units was determined based on the discounted cash flow analysis using the assumptions including internal cash flows forecasts, long-term future growth rates and discount rates, among others.</w:t>
      </w:r>
    </w:p>
    <w:p>
      <w:pPr>
        <w:spacing w:after="0" w:line="1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320" w:top="476" w:right="5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We are mainly subject to income tax in the Chinese mainland, but are also subject to taxation on profit arising in or derived from the tax jurisdiction where our subsidiaries are domiciled and operate in countries or regions other than the Chinese mainland. Current income taxes are provided on the basis of net income for financial reporting purposes, adjusted for income and expense items which are not assessable or deductible for income tax purposes, in accordance with the regulations of the tax jurisdictions. We follow the liability method of accounting for income taxes. Under this method, deferred tax assets and liabilities are determined based on the temporary differences between the financial statements carrying amounts and tax bases of existing assets and liabilities by applying enacted statutory tax rates that will be in effect in the period in which the temporary differences are expected to reverse. We record a valuation allowance to reduce the amount of deferred tax assets if based on the weight of available evidence, it is more likely than not that some portion, or all, of the deferred tax assets will not be realized.</w:t>
      </w:r>
    </w:p>
    <w:p>
      <w:pPr>
        <w:spacing w:after="0" w:line="193" w:lineRule="exact"/>
        <w:rPr>
          <w:sz w:val="20"/>
          <w:szCs w:val="20"/>
          <w:color w:val="auto"/>
        </w:rPr>
      </w:pPr>
    </w:p>
    <w:p>
      <w:pPr>
        <w:ind w:left="240" w:right="40" w:firstLine="971"/>
        <w:spacing w:after="0" w:line="264" w:lineRule="auto"/>
        <w:rPr>
          <w:sz w:val="20"/>
          <w:szCs w:val="20"/>
          <w:color w:val="auto"/>
        </w:rPr>
      </w:pPr>
      <w:r>
        <w:rPr>
          <w:rFonts w:ascii="Times New Roman" w:cs="Times New Roman" w:eastAsia="Times New Roman" w:hAnsi="Times New Roman"/>
          <w:sz w:val="17"/>
          <w:szCs w:val="17"/>
          <w:color w:val="auto"/>
        </w:rPr>
        <w:t>We considered all the available positive and negative evidence at each legal entity level to determine whether a valuation allowance for deferred tax assets is needed. The valuation allowance of RMB13 billion and RMB15 billion as of December 31, 2024 and 2025, respectively, is based on management’s estimates of future taxable income and application of relevant tax income laws. Our valuation allowance mainly arises from loss-making entities under the logistics business and certain new businesses that have suffered cumulative losses in recent years. We released approximately RMB8 billion of our valuation allowances in 2025 as certain entities turned profitable. For the remaining entities under the logistics business and certain new businesses, we continue to project losses in future periods due to the expected future earning volatility. Based on that, management believes that it is not more likely than not that the related deferred tax assets for those entities will be released as the related net operating loss carry forwards will not be utilized to offset taxable income in the foreseeable future. We will continue to monitor the need for a valuation allowance against our deferred tax assets in the future. The effect on deferred taxes of a change in tax rate is recognized in our consolidated statements of operations and comprehensive income/(loss) in the period of change. Deferred tax assets and liabilities are classified as non-current in the consolidated balance sheets.</w:t>
      </w:r>
    </w:p>
    <w:p>
      <w:pPr>
        <w:spacing w:after="0" w:line="176" w:lineRule="exact"/>
        <w:rPr>
          <w:sz w:val="20"/>
          <w:szCs w:val="20"/>
          <w:color w:val="auto"/>
        </w:rPr>
      </w:pPr>
    </w:p>
    <w:p>
      <w:pPr>
        <w:ind w:left="240" w:right="40" w:firstLine="971"/>
        <w:spacing w:after="0" w:line="264" w:lineRule="auto"/>
        <w:rPr>
          <w:sz w:val="20"/>
          <w:szCs w:val="20"/>
          <w:color w:val="auto"/>
        </w:rPr>
      </w:pPr>
      <w:r>
        <w:rPr>
          <w:rFonts w:ascii="Times New Roman" w:cs="Times New Roman" w:eastAsia="Times New Roman" w:hAnsi="Times New Roman"/>
          <w:sz w:val="17"/>
          <w:szCs w:val="17"/>
          <w:color w:val="auto"/>
        </w:rPr>
        <w:t>We recognize in our consolidated financial statements the benefit of a tax position if the tax position is more-likely-than-not to prevail based on the facts and technical merits of the position. Tax positions that meet the more-likely-than-not recognition threshold are measured at the largest amount of tax benefit that has a greater than fifty percent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our estimates. As each audit is concluded, adjustments, if any, are recorded in our consolidated financial statements in the period in which the audit is concluded.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 As of December 31, 2024 and 2025, we did not have any significant unrecognized uncertain tax positions.</w:t>
      </w:r>
    </w:p>
    <w:p>
      <w:pPr>
        <w:spacing w:after="0" w:line="320"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Directors, Senior Management and Employees</w:t>
      </w:r>
    </w:p>
    <w:p>
      <w:pPr>
        <w:spacing w:after="0" w:line="124" w:lineRule="exact"/>
        <w:rPr>
          <w:sz w:val="20"/>
          <w:szCs w:val="20"/>
          <w:color w:val="auto"/>
        </w:rPr>
      </w:pPr>
    </w:p>
    <w:p>
      <w:pPr>
        <w:ind w:left="660" w:hanging="430"/>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as of the date of this annual report.</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Directors and Executive Officers</w:t>
            </w:r>
          </w:p>
        </w:tc>
        <w:tc>
          <w:tcPr>
            <w:tcW w:w="1700" w:type="dxa"/>
            <w:vAlign w:val="bottom"/>
          </w:tcPr>
          <w:p>
            <w:pPr>
              <w:spacing w:after="0"/>
              <w:rPr>
                <w:sz w:val="16"/>
                <w:szCs w:val="16"/>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3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0"/>
        </w:trPr>
        <w:tc>
          <w:tcPr>
            <w:tcW w:w="196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Richard Qiangdong Liu</w:t>
            </w:r>
          </w:p>
        </w:tc>
        <w:tc>
          <w:tcPr>
            <w:tcW w:w="1700" w:type="dxa"/>
            <w:vAlign w:val="bottom"/>
          </w:tcPr>
          <w:p>
            <w:pPr>
              <w:spacing w:after="0"/>
              <w:rPr>
                <w:sz w:val="15"/>
                <w:szCs w:val="15"/>
                <w:color w:val="auto"/>
              </w:rPr>
            </w:pPr>
          </w:p>
        </w:tc>
        <w:tc>
          <w:tcPr>
            <w:tcW w:w="4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5"/>
                <w:szCs w:val="15"/>
                <w:color w:val="auto"/>
              </w:rPr>
            </w:pPr>
          </w:p>
        </w:tc>
        <w:tc>
          <w:tcPr>
            <w:tcW w:w="63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Sandy Ran Xu</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Executive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Ming Huang</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62</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Louis T. Hsieh</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Dingbo Xu</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Caroline Scheufele</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64</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Carol Yun Yau Li</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Grace Kun Ding</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2"/>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Jennifer Ngar-Wing Yu</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9"/>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Ian Su Shan</w:t>
            </w:r>
          </w:p>
        </w:tc>
        <w:tc>
          <w:tcPr>
            <w:tcW w:w="24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2"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Richard Qiangdong Liu </w:t>
      </w:r>
      <w:r>
        <w:rPr>
          <w:rFonts w:ascii="Times New Roman" w:cs="Times New Roman" w:eastAsia="Times New Roman" w:hAnsi="Times New Roman"/>
          <w:sz w:val="18"/>
          <w:szCs w:val="18"/>
          <w:color w:val="auto"/>
        </w:rPr>
        <w:t>has been the chairman of our company since inception and served as our chief executive officer until April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founded JD.com in 2004 and has guided its development and growth since then. Mr. Liu received the prestigious award “Person of the Year of Chinese Economy 2011” from CCTV, China’s national television network. He was among “World’s 50 Greatest Leaders” named by Fortune Magazine in 2015. Mr. Liu currently serves as chairman of the board and non-executive director of JD Logistics, Inc. (HKEX: 2618), JD Health International Inc. (HKEX: 6618), and JINGDONG Industrials, Inc. (HKEX: 7618), respectively. He also serves as chairman of the board and director of Jingdong Technology Holding Co., Ltd. Mr. Liu received his bachelor’s degree in sociology from Renmin University of China in 1996 and an EMBA from China Europe International Business School in 2011.</w:t>
      </w:r>
    </w:p>
    <w:p>
      <w:pPr>
        <w:spacing w:after="0" w:line="1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20"/>
          </w:cols>
          <w:pgMar w:left="320" w:top="476" w:right="5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Sandy Ran Xu </w:t>
      </w:r>
      <w:r>
        <w:rPr>
          <w:rFonts w:ascii="Times New Roman" w:cs="Times New Roman" w:eastAsia="Times New Roman" w:hAnsi="Times New Roman"/>
          <w:sz w:val="18"/>
          <w:szCs w:val="18"/>
          <w:color w:val="auto"/>
        </w:rPr>
        <w:t>has served as our chief executive officer and executive director since May 2023. Prior to her current role, Ms. Xu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financial officer of our company from June 2020 to May 2023. Prior to joining JD.com in 2018, Ms. Xu was an audit partner and spent nearly 20 years with PricewaterhouseCoopers Zhong Tian LLP, Beijing office and PricewaterhouseCoopers, San Jose office. Ms. Xu currently also serves as an independent director of Baidu, Inc. Ms. Xu was a Certified Public Accountant in both China and the United States. Ms. Xu received her bachelor’s degree with a double major in information science and economics from Peking University.</w:t>
      </w:r>
    </w:p>
    <w:p>
      <w:pPr>
        <w:spacing w:after="0" w:line="182"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Ming Huang </w:t>
      </w:r>
      <w:r>
        <w:rPr>
          <w:rFonts w:ascii="Times New Roman" w:cs="Times New Roman" w:eastAsia="Times New Roman" w:hAnsi="Times New Roman"/>
          <w:sz w:val="18"/>
          <w:szCs w:val="18"/>
          <w:color w:val="auto"/>
        </w:rPr>
        <w:t>has served as our independent director since March 2014. Mr. Huang has been Professor of Finance at the Johnson Graduate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of Management at Cornell University since July 2005. From July 2010 to June 2019, Mr. Huang was also Professor of Finance at China Europe International Business School. Mr. Huang also served as Professor of Finance at Cheung Kong Graduate School of Business in China from July 2008 to June 2010 and Dean of the School of Finance at Shanghai University of Finance and Economics from April 2006 to March 2009. Prior to 2005, he was Associate Professor of Finance at the Graduate School of Business at Stanford University from September 2002 to June 2005 and Associate Dean and Visiting Professor of Finance at Cheung Kong Graduate School of Business from July 2004 to June 2005. Professor Huang’s academic research primarily focuses on behavioral finance, credit risk and derivatives. In recent years, his research has focused on Chinese capital market and public companies. Mr. Huang is also an independent non-executive director of WH Group Limited, a company listed on the Hong Kong Stock Exchange. Professor Huang received his bachelor’s degree in physics from Peking University, a Ph.D. in theoretical physics from Cornell University and a Ph.D. in finance from Stanford University.</w:t>
      </w:r>
    </w:p>
    <w:p>
      <w:pPr>
        <w:spacing w:after="0" w:line="188"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Louis T. Hsieh </w:t>
      </w:r>
      <w:r>
        <w:rPr>
          <w:rFonts w:ascii="Times New Roman" w:cs="Times New Roman" w:eastAsia="Times New Roman" w:hAnsi="Times New Roman"/>
          <w:sz w:val="18"/>
          <w:szCs w:val="18"/>
          <w:color w:val="auto"/>
        </w:rPr>
        <w:t>has served as our independent director since May 2014. From 2021 to 2024, Mr. Hsieh served as the global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board director of Hesai Technology (NASDAQ: HSAI), a global leader in 3-D Lidar solutions. From 2017 to 2019, Mr. Hsieh served as the global chief financial officer of Nio Inc. (NYSE: NIO), a leading electric car original equipment manufacturer. Mr. Hsieh has served as a board director of New Oriental Education &amp; Technology Group Inc. (NYSE: EDU), the largest provider of private educational services in China, since March 2007, and served as its chief financial officer from 2005 to 2015 and as its president from 2009 to 2016. Mr. Hsieh also served as an independent director from 2016 to 2023, and chairman of the audit committee from 2016 to 2019, of YUM China Holdings, Inc. (NYSE: YUMC, HKEX: 9987), a leading operator of restaurant chains in China including KFC and Pizza Hut. From 2000 to 2002, Mr. Hsieh was the managing director and the Asia-Pacific tech/media/telecoms head of UBS Capital Asia Pacific, the private equity division of UBS AG. From 1997 to 2000, Mr. Hsieh was a technology investment banker at JP Morgan in San Francisco, California, where he was a vice president, and Credit Suisse in Palo Alto, California, where he was an associate. From 1990 to 1995, Mr. Hsieh was a corporate and securities attorney at White &amp; Case LLP in Los Angeles. Mr. Hsieh holds a bachelor’s degree in engineering from Stanford University, an MBA degree from the Harvard Business School, and a J.D. degree from the University of California at Berkeley.</w:t>
      </w:r>
    </w:p>
    <w:p>
      <w:pPr>
        <w:spacing w:after="0" w:line="193" w:lineRule="exact"/>
        <w:rPr>
          <w:sz w:val="20"/>
          <w:szCs w:val="20"/>
          <w:color w:val="auto"/>
        </w:rPr>
      </w:pPr>
    </w:p>
    <w:p>
      <w:pPr>
        <w:ind w:left="240" w:right="20" w:firstLine="97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Dingbo Xu </w:t>
      </w:r>
      <w:r>
        <w:rPr>
          <w:rFonts w:ascii="Times New Roman" w:cs="Times New Roman" w:eastAsia="Times New Roman" w:hAnsi="Times New Roman"/>
          <w:sz w:val="18"/>
          <w:szCs w:val="18"/>
          <w:color w:val="auto"/>
        </w:rPr>
        <w:t>has served as our independent director since May 2018. Professor Xu has served as a faculty member and professor in highly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respected universities for three decades. He is currently Essilor Chair Professor in Accounting and an Associate Dean at China Europe International Business School (CEIBS). Before joining CEIBS in 2004, he was an assistant professor of accounting at the Hong Kong University of Science and Technology from 1996 to 2003. In addition to his academic positions, Professor Xu is the vice-president of China Association of Chief Financial Officers, the executive director of the editorial board of </w:t>
      </w:r>
      <w:r>
        <w:rPr>
          <w:rFonts w:ascii="Times New Roman" w:cs="Times New Roman" w:eastAsia="Times New Roman" w:hAnsi="Times New Roman"/>
          <w:sz w:val="18"/>
          <w:szCs w:val="18"/>
          <w:i w:val="1"/>
          <w:iCs w:val="1"/>
          <w:color w:val="auto"/>
        </w:rPr>
        <w:t>China Management Accounting Review</w:t>
      </w:r>
      <w:r>
        <w:rPr>
          <w:rFonts w:ascii="Times New Roman" w:cs="Times New Roman" w:eastAsia="Times New Roman" w:hAnsi="Times New Roman"/>
          <w:sz w:val="18"/>
          <w:szCs w:val="18"/>
          <w:color w:val="auto"/>
        </w:rPr>
        <w:t xml:space="preserve"> and the founding chairman of Charted Global Management Accountant (CGMA) 100 North Asia Leaders Think Tank. Professor Xu has also contributed his knowledge and expertise to the board of directors of several public companies. Apart from JD.com, Professor Xu currently serves on the board of directors of Midea Group Co., Ltd., China Life Insurance (Group) Company and China Trust Protection Fund Co., Ltd. From September 2009 to April 2018, Professor Xu was a board member as an independent director of The People’s Insurance Company (Group) of China Limited (PICC), a company listed on the Hong Kong Stock Exchange; from December 2012 to February 2019, he was an independent director of Shanghai Shyndec Pharmaceutical Co., Ltd., a company listed on the Shanghai Stock Exchange; from January 2013 to August 2019, he was an independent director of SANY Heavy Industry, a company listed on the Shanghai Stock Exchange; from June 2013 to September 2019, he was an independent director of China Cinda Asset Management Co. Ltd., a company listed on the Hong Kong Stock Exchange; from September 2016 to September 2022, he was an independent director of Kweichow Moutai Company Limited, a company listed on the Shanghai Stock Exchange, and from December 2015 to March 2023, he was an independent director of Societe Generale (China) Ltd. Professor Xu received his Ph.D. in accounting from the University of Minnesota, as well as a master’s degree in management and a bachelor’s degree in mathematics, both from Wuhan University.</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320" w:top="476" w:right="5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60" w:firstLine="971"/>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Caroline Scheufele </w:t>
      </w:r>
      <w:r>
        <w:rPr>
          <w:rFonts w:ascii="Times New Roman" w:cs="Times New Roman" w:eastAsia="Times New Roman" w:hAnsi="Times New Roman"/>
          <w:sz w:val="17"/>
          <w:szCs w:val="17"/>
          <w:color w:val="auto"/>
        </w:rPr>
        <w:t>has served as our independent director since June 2021. Ms. Scheufele has over 35 years of experience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watchmaking and jewelry industry and currently serves as the co-president and artistic director of Chopard, one of the last family-run Swiss watch makers and jewelers. Since 1985, Ms. Scheufele has held various leadership positions at Chopard, including leading Chopard’s ladies’ collections and developing the jewelry section and later the high-end jewelry department at Chopard. Ms. Scheufele designed Chopard’s first jewelry collection, Happy Diamonds, the Happy Sports watches featuring a world-first combination of steel and diamonds, and the Haute Joaillerie Red Carpet and Animal World collections. Ms. Scheufele has also contributed to Chopard’s international exposure by connecting its image with the world of cinema and iconic events, such as the Cannes Film Festival. In 1998, she redesigned the Palme d’Or, the award piece for the Cannes Film Festival, and made Chopard the official event partner onwards. Ms. Scheufele is a dedicated philanthropist in support of charitable causes, such as the American Foundation for AIDS Research (amFAR) and the José Carreras Leukemia Foundation. She has promoted corporate social responsibility including Chopard’s membership in the Responsible Jewelry Council since 2010. Under the leadership of Ms. Scheufele, Chopard has become one of the first brands to use raw materials that meet the highest possible social and environmental standards and has supported Fairmined certified responsible gold. Ms. Scheufele was honoured with both the annual Fashion 4 Development (F4D) Award and the BRAVO Business Award for “Environmentalist of the Year” in 2014 and received the Designer of the Year Award at the second Sustainable Style Gala in 2019. Ms. Scheufele holds a diploma from Geneva’s International School and decided to join the family business where she took intensive classes in design and gemmology afterwards.</w:t>
      </w:r>
    </w:p>
    <w:p>
      <w:pPr>
        <w:spacing w:after="0" w:line="174"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Carol Yun Yau Li </w:t>
      </w:r>
      <w:r>
        <w:rPr>
          <w:rFonts w:ascii="Times New Roman" w:cs="Times New Roman" w:eastAsia="Times New Roman" w:hAnsi="Times New Roman"/>
          <w:sz w:val="18"/>
          <w:szCs w:val="18"/>
          <w:color w:val="auto"/>
        </w:rPr>
        <w:t>has served as our independent director since September 2022. Ms. Li currently serves as Assistant Dean of the Yale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School of Management and Managing Director of Yale Center Beijing, Yale University’s first university-wide center outside of the United States. Ms. Li also served as an independent non-executive director of the board of JD Logistics, Inc. (HKEX: 2618), a consolidated subsidiary of JD.com, from May 2021 to September 2022. From April 2008 to May 2012, Ms. Li was a Senior Vice President at China Investment Corporation, China’s sovereign wealth fund, where she focused on private equity investments. She started her career in investment banking at Credit Suisse First Boston in New York and worked as an attorney at Sullivan &amp; Cromwell LLP and WilmerHale LLP, specializing in corporate, financial, and transactional matters. Ms. Li holds a Bachelor of Arts Degree in Economics and International Studies from Yale University received in May 2000 and a Doctor of Jurisprudence degree from Stanford University received in June 2006. She is admitted to practice law in the State of New York and in the District of Columbia in the United States. Ms. Li was named a World Economic Forum Young Global Leader in 2016. She is also a member of the Hong Kong X-Tech Startup Platform Advisory Committee.</w:t>
      </w:r>
    </w:p>
    <w:p>
      <w:pPr>
        <w:spacing w:after="0" w:line="188"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Grace Kun Ding </w:t>
      </w:r>
      <w:r>
        <w:rPr>
          <w:rFonts w:ascii="Times New Roman" w:cs="Times New Roman" w:eastAsia="Times New Roman" w:hAnsi="Times New Roman"/>
          <w:sz w:val="18"/>
          <w:szCs w:val="18"/>
          <w:color w:val="auto"/>
        </w:rPr>
        <w:t>has served as our independent director since August 2024. Ms. Ding has more than 15 years of experience in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and branding consultancy. Since 2010, she has focused on retail chain branding and strategic investments in Europe and the Middle East. She is currently a strategic consulting service provider for cooperative retail suppliers on the British Land platform and an independent investor. Ms. Ding served as a strategic officer of Admire Elite. Ltd from March 2018 to March 2022 and has served as its Company Director since June 2022. Ms. Ding is well recognized in the fields of business and art. She studied at Central St. Martin’s College of Art in London and the University of London, majored in Philosophy and Art History. She subsequently obtained an EMBA degree from the London Business School. Over the years, Ms. Ding has been providing consulting services, particularly in branding strategics to international clients. She has also provided consulting services to a number of private art galleries.</w:t>
      </w:r>
    </w:p>
    <w:p>
      <w:pPr>
        <w:spacing w:after="0" w:line="186" w:lineRule="exact"/>
        <w:rPr>
          <w:sz w:val="20"/>
          <w:szCs w:val="20"/>
          <w:color w:val="auto"/>
        </w:rPr>
      </w:pPr>
    </w:p>
    <w:p>
      <w:pPr>
        <w:ind w:left="240" w:right="40" w:firstLine="97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Jennifer Ngar-Wing Yu </w:t>
      </w:r>
      <w:r>
        <w:rPr>
          <w:rFonts w:ascii="Times New Roman" w:cs="Times New Roman" w:eastAsia="Times New Roman" w:hAnsi="Times New Roman"/>
          <w:sz w:val="18"/>
          <w:szCs w:val="18"/>
          <w:color w:val="auto"/>
        </w:rPr>
        <w:t>has served as our independent director since August 2024. Ms. Yu served as an independent non-executive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member of the Audit Committee and a member of the Nomination Committee of JD Logistics, Inc. from September 2022 to August 2024. Ms. Yu served as Deputy Vice Chairwoman of CTF Education Group (“CTFEG”) from May 2019 to July 2025 and the Group President of CTFEG from February 2021 to July 2025. She has served as Board Member of CTFEG since April 2025. Prior to her career in education, Ms. Yu worked in investment banking specializing in alternative investments structuring, origination and distribution to Asian institutional investors, corporates, private equity and fund managers. From 2005 to 2009, Ms. Yu worked at Goldman Sachs Asia LLC (“Goldman Sachs”) and served as the Executive Director before co-founding ARCH Education Group in 2009. Prior to joining Goldman Sachs, Ms. Yu worked at J.P. Morgan Securities (Asia Pacific) Limited from 2003 to 2005. Ms. Yu has been committed to promoting educational development for more than a decade. She currently serves in the Dean’s Advisory Group at Harvard Graduate School of Education, and on the Board of Visitors of the Fu Foundation School of Engineering and Applied Science of Columbia University. She is also a member of the Council of The Hong Kong University of Science and Technology (HKUST), a member of the Courts of The University of Hong Kong, and a member of the Courts of Lingnan University. Ms. Yu received her Master of Education from Harvard University in May 2022 and graduated magna cum laude from Columbia University with a Bachelor of Science in Operations Research and a minor in Economics in May 2003.</w:t>
      </w:r>
    </w:p>
    <w:p>
      <w:pPr>
        <w:spacing w:after="0" w:line="1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20"/>
          </w:cols>
          <w:pgMar w:left="320" w:top="476" w:right="5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Ian Su Shan </w:t>
      </w:r>
      <w:r>
        <w:rPr>
          <w:rFonts w:ascii="Times New Roman" w:cs="Times New Roman" w:eastAsia="Times New Roman" w:hAnsi="Times New Roman"/>
          <w:sz w:val="18"/>
          <w:szCs w:val="18"/>
          <w:color w:val="auto"/>
        </w:rPr>
        <w:t>has served as our chief financial officer since May 2023. Prior to his current role, he served as chief financial officer of JD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Inc. (HKEX: 2618). Mr. Shan joined JD.com in December 2021. Prior to that, Mr. Shan worked at Lavender Hill Capital Partners from October 2019 to November 2021 and served as a Managing Director from January 2021 to November 2021. He also worked in the TMT Group of the Investment Banking Division at Goldman Sachs (Asia) L.L.C. from 2015 to 2019 and served as an Executive Director from January 2017 to September 2019. Mr. Shan received his bachelor’s degree in laws from China University of Political Science and Law, and his master’s degree in laws from University of Warwick. Mr. Shan is a CFA charterholder.</w:t>
      </w:r>
    </w:p>
    <w:p>
      <w:pPr>
        <w:spacing w:after="0" w:line="332" w:lineRule="exact"/>
        <w:rPr>
          <w:sz w:val="20"/>
          <w:szCs w:val="20"/>
          <w:color w:val="auto"/>
        </w:rPr>
      </w:pPr>
    </w:p>
    <w:p>
      <w:pPr>
        <w:ind w:left="660" w:hanging="430"/>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12" w:lineRule="exact"/>
        <w:rPr>
          <w:sz w:val="20"/>
          <w:szCs w:val="20"/>
          <w:color w:val="auto"/>
        </w:rPr>
      </w:pPr>
    </w:p>
    <w:p>
      <w:pPr>
        <w:ind w:left="240" w:right="80" w:firstLine="971"/>
        <w:spacing w:after="0" w:line="251" w:lineRule="auto"/>
        <w:rPr>
          <w:sz w:val="20"/>
          <w:szCs w:val="20"/>
          <w:color w:val="auto"/>
        </w:rPr>
      </w:pPr>
      <w:r>
        <w:rPr>
          <w:rFonts w:ascii="Times New Roman" w:cs="Times New Roman" w:eastAsia="Times New Roman" w:hAnsi="Times New Roman"/>
          <w:sz w:val="18"/>
          <w:szCs w:val="18"/>
          <w:color w:val="auto"/>
        </w:rPr>
        <w:t>In 2025, we paid or accrued an aggregate of approximately RMB247 million (US$35 million) in cash to our directors and executive officers as a group. We have not set aside or accrued any amount to provide pension, retirement or other similar benefits to our executive officers and directors. Our PRC subsidiaries and the consolidated variable interest entities are required by law to make contributions equal to certain percentages of each employee’s salary for his or her pension insurance, medical insurance, unemployment insurance and other statutory benefits and a housing provident fund.</w:t>
      </w:r>
    </w:p>
    <w:p>
      <w:pPr>
        <w:spacing w:after="0" w:line="187"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We have put in place a comprehensive retirement plan for the eligible retiring salaried senior management of our company based on years of employment and contributions to our company. This plan is designed to strengthen the ability of our company to attract and retain persons of outstanding competence upon which, in large measure, our continued growth and profitability depend. Eligible management employees of our company will be entitled to certain benefits, including cash payments, incentive share award and incentive share option, additional insurance programs and pension plans. In addition, we intend to hire certain eligible retiring management employees of our company as consultants for a period of time following retirement to avail our company of the consultant’s knowledge, expertise and experience.</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2" w:lineRule="exact"/>
        <w:rPr>
          <w:sz w:val="20"/>
          <w:szCs w:val="20"/>
          <w:color w:val="auto"/>
        </w:rPr>
      </w:pPr>
    </w:p>
    <w:p>
      <w:pPr>
        <w:ind w:left="240" w:right="20" w:firstLine="971"/>
        <w:spacing w:after="0" w:line="249"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Without the foregoing causes, we may also terminate an executive officer’s employment in accordance with the applicable law of the jurisdiction where the executive officer is based, and in such case of termination by us, we will provide severance payments to the executive officer as expressly required by such applicable law. The executive officer may resign at any time with a 30-day advance written notice.</w:t>
      </w:r>
    </w:p>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40"/>
          </w:cols>
          <w:pgMar w:left="320" w:top="476" w:right="6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89" w:lineRule="exact"/>
        <w:rPr>
          <w:sz w:val="20"/>
          <w:szCs w:val="20"/>
          <w:color w:val="auto"/>
        </w:rPr>
      </w:pPr>
    </w:p>
    <w:p>
      <w:pPr>
        <w:jc w:val="both"/>
        <w:ind w:left="240" w:right="400" w:firstLine="971"/>
        <w:spacing w:after="0" w:line="258" w:lineRule="auto"/>
        <w:rPr>
          <w:sz w:val="20"/>
          <w:szCs w:val="20"/>
          <w:color w:val="auto"/>
        </w:rPr>
      </w:pPr>
      <w:r>
        <w:rPr>
          <w:rFonts w:ascii="Times New Roman" w:cs="Times New Roman" w:eastAsia="Times New Roman" w:hAnsi="Times New Roman"/>
          <w:sz w:val="18"/>
          <w:szCs w:val="18"/>
          <w:color w:val="auto"/>
        </w:rPr>
        <w:t>We have also entered into indemnification agreements with some of our directors and executive officers, agreeing to indemnify them against certain liabilities and expenses incurred by such persons in connection with claims made by reason of their being a director or officer of our company.</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Share Incentive Plans</w:t>
      </w:r>
    </w:p>
    <w:p>
      <w:pPr>
        <w:spacing w:after="0" w:line="114" w:lineRule="exact"/>
        <w:rPr>
          <w:sz w:val="20"/>
          <w:szCs w:val="20"/>
          <w:color w:val="auto"/>
        </w:rPr>
      </w:pPr>
    </w:p>
    <w:p>
      <w:pPr>
        <w:jc w:val="both"/>
        <w:ind w:left="240" w:right="400" w:firstLine="971"/>
        <w:spacing w:after="0" w:line="270" w:lineRule="auto"/>
        <w:rPr>
          <w:sz w:val="20"/>
          <w:szCs w:val="20"/>
          <w:color w:val="auto"/>
        </w:rPr>
      </w:pPr>
      <w:r>
        <w:rPr>
          <w:rFonts w:ascii="Times New Roman" w:cs="Times New Roman" w:eastAsia="Times New Roman" w:hAnsi="Times New Roman"/>
          <w:sz w:val="18"/>
          <w:szCs w:val="18"/>
          <w:color w:val="auto"/>
        </w:rPr>
        <w:t>Our current share incentive plan, as amended from time to time, became effective on December 21, 2023. We refer to this as the 2023 Plan. Our previous plan was adopted in November 2014 and expired on December 20, 2023. We refer to that plan as the 2014 Plan.</w:t>
      </w:r>
    </w:p>
    <w:p>
      <w:pPr>
        <w:spacing w:after="0" w:line="169" w:lineRule="exact"/>
        <w:rPr>
          <w:sz w:val="20"/>
          <w:szCs w:val="20"/>
          <w:color w:val="auto"/>
        </w:rPr>
      </w:pPr>
    </w:p>
    <w:p>
      <w:pPr>
        <w:ind w:left="240" w:right="80" w:firstLine="971"/>
        <w:spacing w:after="0" w:line="251" w:lineRule="auto"/>
        <w:rPr>
          <w:sz w:val="20"/>
          <w:szCs w:val="20"/>
          <w:color w:val="auto"/>
        </w:rPr>
      </w:pPr>
      <w:r>
        <w:rPr>
          <w:rFonts w:ascii="Times New Roman" w:cs="Times New Roman" w:eastAsia="Times New Roman" w:hAnsi="Times New Roman"/>
          <w:sz w:val="18"/>
          <w:szCs w:val="18"/>
          <w:color w:val="auto"/>
        </w:rPr>
        <w:t>The awards that were outstanding on the expiration date of the 2014 Plan remained in force according to the terms of the 2014 Plan and the applicable award agreement. As of December 31, 2025, the awards that had been granted under the 2014 Plan to our directors, officers, employees and consultants and remained outstanding included (i) restricted share units to receive an aggregate of 13,881,368 ordinary shares, excluding restricted share units that were forfeited, cancelled, or vested after the relevant grant date, and (ii) options to purchase an aggregate of 17,293,654 ordinary shares, excluding options that were forfeited, cancelled, or exercised after the relevant grant date.</w:t>
      </w:r>
    </w:p>
    <w:p>
      <w:pPr>
        <w:spacing w:after="0" w:line="187" w:lineRule="exact"/>
        <w:rPr>
          <w:sz w:val="20"/>
          <w:szCs w:val="20"/>
          <w:color w:val="auto"/>
        </w:rPr>
      </w:pPr>
    </w:p>
    <w:p>
      <w:pPr>
        <w:ind w:left="240" w:right="280" w:firstLine="971"/>
        <w:spacing w:after="0" w:line="251" w:lineRule="auto"/>
        <w:rPr>
          <w:sz w:val="20"/>
          <w:szCs w:val="20"/>
          <w:color w:val="auto"/>
        </w:rPr>
      </w:pPr>
      <w:r>
        <w:rPr>
          <w:rFonts w:ascii="Times New Roman" w:cs="Times New Roman" w:eastAsia="Times New Roman" w:hAnsi="Times New Roman"/>
          <w:sz w:val="18"/>
          <w:szCs w:val="18"/>
          <w:color w:val="auto"/>
        </w:rPr>
        <w:t>The maximum aggregate number of our shares which may be issued pursuant to all awards under the 2023 Plan was 223,666,717 at the time of its adoption, which was equal to the unused balance under the 2014 Plan. On the first day of each new fiscal year during the term of the 2023 Plan, the number of shares reserved for future issuances under our 2023 Plan increases by a number equal to 1% of the total number of outstanding shares as of the last day of the immediately preceding fiscal year. The maximum aggregate number of our shares which may be issued pursuant to all awards under our 2023 Plan is 311,689,671 shares as of the date of this annual report.</w:t>
      </w:r>
    </w:p>
    <w:p>
      <w:pPr>
        <w:spacing w:after="0" w:line="187" w:lineRule="exact"/>
        <w:rPr>
          <w:sz w:val="20"/>
          <w:szCs w:val="20"/>
          <w:color w:val="auto"/>
        </w:rPr>
      </w:pPr>
    </w:p>
    <w:p>
      <w:pPr>
        <w:jc w:val="both"/>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As of December 31, 2025, the awards that had been granted under the 2023 Plan to our directors, officers, employees and consultants and remained outstanding included (i) restricted share units to receive an aggregate of 57,981,698 ordinary shares, excluding restricted share units that were forfeited, cancelled, or vested after the relevant grant date, and (ii) options to purchase an aggregate of 5,272,500 ordinary shares, excluding options that were forfeited, cancelled, or exercised after the relevant grant date.</w:t>
      </w:r>
    </w:p>
    <w:p>
      <w:pPr>
        <w:spacing w:after="0" w:line="185" w:lineRule="exact"/>
        <w:rPr>
          <w:sz w:val="20"/>
          <w:szCs w:val="20"/>
          <w:color w:val="auto"/>
        </w:rPr>
      </w:pPr>
    </w:p>
    <w:p>
      <w:pPr>
        <w:ind w:left="240" w:right="60" w:firstLine="971"/>
        <w:spacing w:after="0" w:line="248" w:lineRule="auto"/>
        <w:rPr>
          <w:sz w:val="20"/>
          <w:szCs w:val="20"/>
          <w:color w:val="auto"/>
        </w:rPr>
      </w:pPr>
      <w:r>
        <w:rPr>
          <w:rFonts w:ascii="Times New Roman" w:cs="Times New Roman" w:eastAsia="Times New Roman" w:hAnsi="Times New Roman"/>
          <w:sz w:val="18"/>
          <w:szCs w:val="18"/>
          <w:color w:val="auto"/>
        </w:rPr>
        <w:t>In May 2015, with the approval of the board of directors, our chairman, Mr. Richard Qiangdong Liu, was granted an option to acquire a total of 26,000,000 Class A ordinary shares of our company, at an exercise price of US$16.70 per share or US$33.40 per ADS, subject to a 10-year vesting schedule with 10% of the award vested on each anniversary of the grant date. In May 2025, with approval of our board of directors, Mr. Liu was granted an option to acquire a total of 5,000,000 Class A ordinary shares of our company at an exercise price of US$17.175 per share or US$34.35 per ADS, and 10,000,000 restricted share units, both subject to a 5-year vesting schedule. The awards to our other directors and executive officers have two-year, three-year, four-year or six-year vesting schedules, mostly with an equal installment vesting at the end of each calendar year following the grant or on the anniversary of the grant date. Starting from 2016, certain awards had multiple tranches with tiered vesting commencement dates from 2016 to 2020, and each of the tranches was subject to a six-year vesting schedule.</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0"/>
          </w:cols>
          <w:pgMar w:left="320" w:top="476" w:right="5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80" w:firstLine="971"/>
        <w:spacing w:after="0" w:line="270" w:lineRule="auto"/>
        <w:rPr>
          <w:sz w:val="20"/>
          <w:szCs w:val="20"/>
          <w:color w:val="auto"/>
        </w:rPr>
      </w:pPr>
      <w:r>
        <w:rPr>
          <w:rFonts w:ascii="Times New Roman" w:cs="Times New Roman" w:eastAsia="Times New Roman" w:hAnsi="Times New Roman"/>
          <w:sz w:val="18"/>
          <w:szCs w:val="18"/>
          <w:color w:val="auto"/>
        </w:rPr>
        <w:t>The following table summarizes, as of March 18, 2026, the number of ordinary shares under outstanding options or restricted share units that we granted to our directors and executive officers.</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86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5"/>
        </w:trPr>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options or</w:t>
            </w:r>
          </w:p>
        </w:tc>
        <w:tc>
          <w:tcPr>
            <w:tcW w:w="1320" w:type="dxa"/>
            <w:vAlign w:val="bottom"/>
            <w:gridSpan w:val="2"/>
            <w:vMerge w:val="continue"/>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center"/>
              <w:ind w:right="640"/>
              <w:spacing w:after="0" w:line="14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32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1860" w:type="dxa"/>
            <w:vAlign w:val="bottom"/>
            <w:gridSpan w:val="2"/>
          </w:tcPr>
          <w:p>
            <w:pPr>
              <w:jc w:val="center"/>
              <w:ind w:right="540"/>
              <w:spacing w:after="0" w:line="145" w:lineRule="exact"/>
              <w:rPr>
                <w:sz w:val="20"/>
                <w:szCs w:val="20"/>
                <w:color w:val="auto"/>
              </w:rPr>
            </w:pPr>
            <w:r>
              <w:rPr>
                <w:rFonts w:ascii="Times New Roman" w:cs="Times New Roman" w:eastAsia="Times New Roman" w:hAnsi="Times New Roman"/>
                <w:sz w:val="14"/>
                <w:szCs w:val="14"/>
                <w:b w:val="1"/>
                <w:bCs w:val="1"/>
                <w:color w:val="auto"/>
              </w:rPr>
              <w:t>of</w:t>
            </w: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0" w:type="dxa"/>
            <w:vAlign w:val="bottom"/>
          </w:tcPr>
          <w:p>
            <w:pPr>
              <w:spacing w:after="0"/>
              <w:rPr>
                <w:sz w:val="1"/>
                <w:szCs w:val="1"/>
                <w:color w:val="auto"/>
              </w:rPr>
            </w:pPr>
          </w:p>
        </w:tc>
      </w:tr>
      <w:tr>
        <w:trPr>
          <w:trHeight w:val="157"/>
        </w:trPr>
        <w:tc>
          <w:tcPr>
            <w:tcW w:w="46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640"/>
              <w:spacing w:after="0" w:line="157" w:lineRule="exact"/>
              <w:rPr>
                <w:sz w:val="20"/>
                <w:szCs w:val="20"/>
                <w:color w:val="auto"/>
              </w:rPr>
            </w:pPr>
            <w:r>
              <w:rPr>
                <w:rFonts w:ascii="Times New Roman" w:cs="Times New Roman" w:eastAsia="Times New Roman" w:hAnsi="Times New Roman"/>
                <w:sz w:val="14"/>
                <w:szCs w:val="14"/>
                <w:b w:val="1"/>
                <w:bCs w:val="1"/>
                <w:color w:val="auto"/>
              </w:rPr>
              <w:t>share units</w:t>
            </w:r>
          </w:p>
        </w:tc>
        <w:tc>
          <w:tcPr>
            <w:tcW w:w="1320" w:type="dxa"/>
            <w:vAlign w:val="bottom"/>
            <w:gridSpan w:val="2"/>
          </w:tcPr>
          <w:p>
            <w:pPr>
              <w:jc w:val="center"/>
              <w:ind w:right="580"/>
              <w:spacing w:after="0" w:line="157" w:lineRule="exact"/>
              <w:rPr>
                <w:sz w:val="20"/>
                <w:szCs w:val="20"/>
                <w:color w:val="auto"/>
              </w:rPr>
            </w:pPr>
            <w:r>
              <w:rPr>
                <w:rFonts w:ascii="Times New Roman" w:cs="Times New Roman" w:eastAsia="Times New Roman" w:hAnsi="Times New Roman"/>
                <w:sz w:val="14"/>
                <w:szCs w:val="14"/>
                <w:b w:val="1"/>
                <w:bCs w:val="1"/>
                <w:u w:val="single" w:color="auto"/>
                <w:color w:val="auto"/>
                <w:w w:val="98"/>
              </w:rPr>
              <w:t>(US$</w:t>
            </w:r>
            <w:r>
              <w:rPr>
                <w:rFonts w:ascii="Times New Roman" w:cs="Times New Roman" w:eastAsia="Times New Roman" w:hAnsi="Times New Roman"/>
                <w:sz w:val="14"/>
                <w:szCs w:val="14"/>
                <w:b w:val="1"/>
                <w:bCs w:val="1"/>
                <w:color w:val="auto"/>
                <w:w w:val="98"/>
              </w:rPr>
              <w:t>/share)</w:t>
            </w:r>
          </w:p>
        </w:tc>
        <w:tc>
          <w:tcPr>
            <w:tcW w:w="1860" w:type="dxa"/>
            <w:vAlign w:val="bottom"/>
            <w:gridSpan w:val="2"/>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grant</w:t>
            </w: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6"/>
        </w:trPr>
        <w:tc>
          <w:tcPr>
            <w:tcW w:w="340" w:type="dxa"/>
            <w:vAlign w:val="bottom"/>
            <w:shd w:val="clear" w:color="auto" w:fill="000000"/>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5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vMerge w:val="restart"/>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20" w:type="dxa"/>
            <w:vAlign w:val="bottom"/>
            <w:vMerge w:val="restart"/>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Qiangdong Liu</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17,000,000</w:t>
            </w:r>
          </w:p>
        </w:tc>
        <w:tc>
          <w:tcPr>
            <w:tcW w:w="5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58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2015</w:t>
            </w:r>
          </w:p>
        </w:tc>
        <w:tc>
          <w:tcPr>
            <w:tcW w:w="52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2035</w:t>
            </w:r>
          </w:p>
        </w:tc>
        <w:tc>
          <w:tcPr>
            <w:tcW w:w="0" w:type="dxa"/>
            <w:vAlign w:val="bottom"/>
          </w:tcPr>
          <w:p>
            <w:pPr>
              <w:spacing w:after="0"/>
              <w:rPr>
                <w:sz w:val="1"/>
                <w:szCs w:val="1"/>
                <w:color w:val="auto"/>
              </w:rPr>
            </w:pPr>
          </w:p>
        </w:tc>
      </w:tr>
      <w:tr>
        <w:trPr>
          <w:trHeight w:val="212"/>
        </w:trPr>
        <w:tc>
          <w:tcPr>
            <w:tcW w:w="462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5,000,000</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17.175</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May 15, 2025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May 14, 2035</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10,000,000</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May 15, 2025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93"/>
        </w:trPr>
        <w:tc>
          <w:tcPr>
            <w:tcW w:w="3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tcPr>
          <w:p>
            <w:pPr>
              <w:jc w:val="right"/>
              <w:ind w:right="580"/>
              <w:spacing w:after="0" w:line="193" w:lineRule="exact"/>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ind w:left="440"/>
              <w:spacing w:after="0" w:line="193" w:lineRule="exact"/>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line="193" w:lineRule="exact"/>
              <w:rPr>
                <w:sz w:val="20"/>
                <w:szCs w:val="20"/>
                <w:color w:val="auto"/>
              </w:rPr>
            </w:pPr>
            <w:r>
              <w:rPr>
                <w:rFonts w:ascii="Times New Roman" w:cs="Times New Roman" w:eastAsia="Times New Roman" w:hAnsi="Times New Roman"/>
                <w:sz w:val="18"/>
                <w:szCs w:val="18"/>
                <w:color w:val="auto"/>
                <w:w w:val="97"/>
              </w:rPr>
              <w:t>July 1, 2022</w:t>
            </w:r>
          </w:p>
        </w:tc>
        <w:tc>
          <w:tcPr>
            <w:tcW w:w="102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10,000</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July 1,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Sandy Ran Xu</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200,000</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14,742</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July 1,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T. Hsieh</w:t>
            </w:r>
          </w:p>
        </w:tc>
        <w:tc>
          <w:tcPr>
            <w:tcW w:w="19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14,934</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May 22, 2024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Dingbo Xu</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14,934</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May 22,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Caroline Scheufele</w:t>
            </w:r>
          </w:p>
        </w:tc>
        <w:tc>
          <w:tcPr>
            <w:tcW w:w="19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30,526</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8"/>
              </w:rPr>
              <w:t>December 3, 2025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Yun Yau Li</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18,658</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Grace Kun Ding</w:t>
            </w:r>
          </w:p>
        </w:tc>
        <w:tc>
          <w:tcPr>
            <w:tcW w:w="19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13,900</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w w:val="97"/>
              </w:rPr>
              <w:t>January 1, 2025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Ngar-Wing Yu</w:t>
            </w:r>
          </w:p>
        </w:tc>
        <w:tc>
          <w:tcPr>
            <w:tcW w:w="196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13,900</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January 1,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2"/>
        </w:trPr>
        <w:tc>
          <w:tcPr>
            <w:tcW w:w="4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Su Shan</w:t>
            </w: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5,000</w:t>
            </w: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July 1, 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05"/>
        </w:trPr>
        <w:tc>
          <w:tcPr>
            <w:tcW w:w="4620" w:type="dxa"/>
            <w:vAlign w:val="bottom"/>
            <w:gridSpan w:val="2"/>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80" w:type="dxa"/>
            <w:vAlign w:val="bottom"/>
            <w:shd w:val="clear" w:color="auto" w:fill="CCEEFF"/>
          </w:tcPr>
          <w:p>
            <w:pPr>
              <w:spacing w:after="0"/>
              <w:rPr>
                <w:sz w:val="9"/>
                <w:szCs w:val="9"/>
                <w:color w:val="auto"/>
              </w:rPr>
            </w:pPr>
          </w:p>
        </w:tc>
        <w:tc>
          <w:tcPr>
            <w:tcW w:w="13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vMerge w:val="restart"/>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2024</w:t>
            </w: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07"/>
        </w:trPr>
        <w:tc>
          <w:tcPr>
            <w:tcW w:w="340" w:type="dxa"/>
            <w:vAlign w:val="bottom"/>
            <w:shd w:val="clear" w:color="auto" w:fill="CCEEFF"/>
          </w:tcPr>
          <w:p>
            <w:pPr>
              <w:spacing w:after="0"/>
              <w:rPr>
                <w:sz w:val="9"/>
                <w:szCs w:val="9"/>
                <w:color w:val="auto"/>
              </w:rPr>
            </w:pPr>
          </w:p>
        </w:tc>
        <w:tc>
          <w:tcPr>
            <w:tcW w:w="42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320" w:type="dxa"/>
            <w:vAlign w:val="bottom"/>
            <w:gridSpan w:val="2"/>
            <w:vMerge w:val="continue"/>
            <w:shd w:val="clear" w:color="auto" w:fill="CCEEFF"/>
          </w:tcPr>
          <w:p>
            <w:pPr>
              <w:spacing w:after="0"/>
              <w:rPr>
                <w:sz w:val="9"/>
                <w:szCs w:val="9"/>
                <w:color w:val="auto"/>
              </w:rPr>
            </w:pPr>
          </w:p>
        </w:tc>
        <w:tc>
          <w:tcPr>
            <w:tcW w:w="1860" w:type="dxa"/>
            <w:vAlign w:val="bottom"/>
            <w:gridSpan w:val="2"/>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7"/>
              </w:rPr>
              <w:t>April 1, 2025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2023 Plan.</w:t>
      </w:r>
    </w:p>
    <w:p>
      <w:pPr>
        <w:spacing w:after="0" w:line="214" w:lineRule="exact"/>
        <w:rPr>
          <w:sz w:val="20"/>
          <w:szCs w:val="20"/>
          <w:color w:val="auto"/>
        </w:rPr>
      </w:pPr>
    </w:p>
    <w:p>
      <w:pPr>
        <w:ind w:left="240" w:right="12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2023 Plan permits the awards of options, restricted shares, restricted share units or any other type of awards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the board decides.</w:t>
      </w:r>
    </w:p>
    <w:p>
      <w:pPr>
        <w:spacing w:after="0" w:line="164" w:lineRule="exact"/>
        <w:rPr>
          <w:sz w:val="20"/>
          <w:szCs w:val="20"/>
          <w:color w:val="auto"/>
        </w:rPr>
      </w:pPr>
    </w:p>
    <w:p>
      <w:pPr>
        <w:jc w:val="both"/>
        <w:ind w:left="240" w:right="8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our compensation committee or a sub-committee designated by our board will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Plan. The committee or the full board of directors, as applicable, will determine the participants to receive awards, the type and number of awards to be granted to each participant, and the terms and conditions of each award grant.</w:t>
      </w:r>
    </w:p>
    <w:p>
      <w:pPr>
        <w:spacing w:after="0" w:line="176" w:lineRule="exact"/>
        <w:rPr>
          <w:sz w:val="20"/>
          <w:szCs w:val="20"/>
          <w:color w:val="auto"/>
        </w:rPr>
      </w:pPr>
    </w:p>
    <w:p>
      <w:pPr>
        <w:ind w:left="240" w:right="46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2023 Plan are evidenced by an award agreement that sets forth terms, conditions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limitations 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76" w:lineRule="exact"/>
        <w:rPr>
          <w:sz w:val="20"/>
          <w:szCs w:val="20"/>
          <w:color w:val="auto"/>
        </w:rPr>
      </w:pPr>
    </w:p>
    <w:p>
      <w:pPr>
        <w:ind w:left="240" w:right="12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directors and consultants. However, we may grant options that are intended to qualify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incentive share options only to our employees.</w:t>
      </w:r>
    </w:p>
    <w:p>
      <w:pPr>
        <w:spacing w:after="0" w:line="164"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i w:val="1"/>
          <w:iCs w:val="1"/>
          <w:color w:val="auto"/>
        </w:rPr>
        <w:t>Acceleration of Awards upon Change in Control</w:t>
      </w:r>
      <w:r>
        <w:rPr>
          <w:rFonts w:ascii="Times New Roman" w:cs="Times New Roman" w:eastAsia="Times New Roman" w:hAnsi="Times New Roman"/>
          <w:sz w:val="18"/>
          <w:szCs w:val="18"/>
          <w:color w:val="auto"/>
        </w:rPr>
        <w:t>. If a change in control of our company occurs, the plan administrator may,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provide for (i) all awards outstanding to terminate at a specific time in the future and give each participant the right to exercise the vested portion of such awards during a specific period of time, or (ii) the purchase of any award for an amount of cash equal to the amount that could have been attained upon the exercise of such award, or (iii) the replacement of such award with other rights or property selected by the plan administrator in its sole discretion, or (iv) payment of award in cash based on the value of ordinary shares on the date of the change-in-control transaction plus reasonable interest.</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16" w:lineRule="exact"/>
        <w:rPr>
          <w:sz w:val="20"/>
          <w:szCs w:val="20"/>
          <w:color w:val="auto"/>
        </w:rPr>
      </w:pPr>
    </w:p>
    <w:p>
      <w:pPr>
        <w:ind w:left="240" w:right="36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portion of option will expire if not exercised prior to the time as the plan administrator determines at the time of its grant.</w:t>
      </w:r>
    </w:p>
    <w:p>
      <w:pPr>
        <w:spacing w:after="0" w:line="1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20"/>
          </w:cols>
          <w:pgMar w:left="320" w:top="476" w:right="5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72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recipient other than by will or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except as otherwise provided by the plan administrator.</w:t>
      </w:r>
    </w:p>
    <w:p>
      <w:pPr>
        <w:spacing w:after="0" w:line="164" w:lineRule="exact"/>
        <w:rPr>
          <w:sz w:val="20"/>
          <w:szCs w:val="20"/>
          <w:color w:val="auto"/>
        </w:rPr>
      </w:pPr>
    </w:p>
    <w:p>
      <w:pPr>
        <w:ind w:left="240" w:right="80" w:firstLine="971"/>
        <w:spacing w:after="0" w:line="281" w:lineRule="auto"/>
        <w:rPr>
          <w:sz w:val="20"/>
          <w:szCs w:val="20"/>
          <w:color w:val="auto"/>
        </w:rPr>
      </w:pPr>
      <w:r>
        <w:rPr>
          <w:rFonts w:ascii="Times New Roman" w:cs="Times New Roman" w:eastAsia="Times New Roman" w:hAnsi="Times New Roman"/>
          <w:sz w:val="17"/>
          <w:szCs w:val="17"/>
          <w:i w:val="1"/>
          <w:iCs w:val="1"/>
          <w:color w:val="auto"/>
        </w:rPr>
        <w:t>Termination of the 2023 Plan</w:t>
      </w:r>
      <w:r>
        <w:rPr>
          <w:rFonts w:ascii="Times New Roman" w:cs="Times New Roman" w:eastAsia="Times New Roman" w:hAnsi="Times New Roman"/>
          <w:sz w:val="17"/>
          <w:szCs w:val="17"/>
          <w:color w:val="auto"/>
        </w:rPr>
        <w:t>. Unless terminated earlier, the 2023 Plan will terminate automatically on December 20, 2033. Our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has the authority to amend or terminate the plan subject to shareholder approval to the extent necessary and desirable to comply with applicable law. Shareholder approval is required for any amendment to the 2023 Plan that increases the number of shares available under the 2023 Plan.</w:t>
      </w:r>
    </w:p>
    <w:p>
      <w:pPr>
        <w:spacing w:after="0" w:line="2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 of our Consolidated Subsidiaries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In addition, certain of our consolidated subsidiaries approved and adopted their own share incentive plans.</w:t>
      </w:r>
    </w:p>
    <w:p>
      <w:pPr>
        <w:spacing w:after="0" w:line="216" w:lineRule="exact"/>
        <w:rPr>
          <w:sz w:val="20"/>
          <w:szCs w:val="20"/>
          <w:color w:val="auto"/>
        </w:rPr>
      </w:pPr>
    </w:p>
    <w:p>
      <w:pPr>
        <w:ind w:left="240" w:right="60" w:firstLine="971"/>
        <w:spacing w:after="0" w:line="249" w:lineRule="auto"/>
        <w:rPr>
          <w:sz w:val="20"/>
          <w:szCs w:val="20"/>
          <w:color w:val="auto"/>
        </w:rPr>
      </w:pPr>
      <w:r>
        <w:rPr>
          <w:rFonts w:ascii="Times New Roman" w:cs="Times New Roman" w:eastAsia="Times New Roman" w:hAnsi="Times New Roman"/>
          <w:sz w:val="18"/>
          <w:szCs w:val="18"/>
          <w:color w:val="auto"/>
        </w:rPr>
        <w:t>JD Logistics adopted its own share incentive plans in 2018 and 2021, which permit the granting of stock options, restricted share units and other types of awards of JD Logistics to eligible participants. JD Logistics granted 224,511,105 and 30,030,446 share options for the years ended December 31, 2020 and 2021, respectively, including the share options granted to Mr. Liu. No share option was granted in 2023, 2024 and 2025. JD Logistics also granted restricted share units to eligible participants 55,937,435, 59,551,652, and 48,581,929 restricted share units in 2023, 2024 and 2025, respectively. In October 2020, options to acquire 99,186,705 ordinary shares of JD Logistics with an exercise price of US$0.01 per share were granted to Mr. Liu according to the JD Logistics’s share incentive plan. The grant is subject to a 6-year vesting schedule with 1/6 of the awards vesting on each anniversary of the grant date.</w:t>
      </w:r>
    </w:p>
    <w:p>
      <w:pPr>
        <w:spacing w:after="0" w:line="189"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JD Health adopted its own share incentive plans in 2020, which permits the granting of stock options, restricted share units and other types of awards of JD Health to eligible participants. JD Health granted 94,770,812 share options in 2020, including the share options granted to Mr. Liu. No share option was granted in 2023, 2024 or 2025. JD Health also granted restricted share units to eligible participants 6,051,558, 8,706,890 and 5,240,780 restricted share units in 2023, 2024 and 2025, respectively. In October 2020, options to acquire 53,042,516 ordinary shares of JD Health with an exercise price of US$0.0000005 per share were granted to Mr. Liu according to the JD Health’s share incentive plan. The grant is subject to a 6-year vesting schedule with 1/6 of the awards vesting on each anniversary of the grant date.</w:t>
      </w:r>
    </w:p>
    <w:p>
      <w:pPr>
        <w:spacing w:after="0" w:line="187" w:lineRule="exact"/>
        <w:rPr>
          <w:sz w:val="20"/>
          <w:szCs w:val="20"/>
          <w:color w:val="auto"/>
        </w:rPr>
      </w:pPr>
    </w:p>
    <w:p>
      <w:pPr>
        <w:ind w:left="240" w:right="80" w:firstLine="971"/>
        <w:spacing w:after="0" w:line="253" w:lineRule="auto"/>
        <w:rPr>
          <w:sz w:val="20"/>
          <w:szCs w:val="20"/>
          <w:color w:val="auto"/>
        </w:rPr>
      </w:pPr>
      <w:r>
        <w:rPr>
          <w:rFonts w:ascii="Times New Roman" w:cs="Times New Roman" w:eastAsia="Times New Roman" w:hAnsi="Times New Roman"/>
          <w:sz w:val="18"/>
          <w:szCs w:val="18"/>
          <w:color w:val="auto"/>
        </w:rPr>
        <w:t>JD Industrials adopted its own share incentive plans in 2021 and 2025, which permits the granting of stock options, restricted share units and other types of awards of JD Industrials to eligible participants. JD Industrials granted 90,629,636 restricted share units to Mr. Liu for the year ended December 31, 2021. The restricted share units granted to Mr. Liu were fully vested on December 30, 2021. JD Industrials granted 47,915,455, 20,209,266 and 14,201,056 share options to eligible participants for the years ended December 31, 2023, 2024 and 2025, respectively.</w:t>
      </w:r>
    </w:p>
    <w:p>
      <w:pPr>
        <w:spacing w:after="0" w:line="185" w:lineRule="exact"/>
        <w:rPr>
          <w:sz w:val="20"/>
          <w:szCs w:val="20"/>
          <w:color w:val="auto"/>
        </w:rPr>
      </w:pPr>
    </w:p>
    <w:p>
      <w:pPr>
        <w:ind w:left="240" w:right="140" w:firstLine="971"/>
        <w:spacing w:after="0" w:line="250" w:lineRule="auto"/>
        <w:rPr>
          <w:sz w:val="20"/>
          <w:szCs w:val="20"/>
          <w:color w:val="auto"/>
        </w:rPr>
      </w:pPr>
      <w:r>
        <w:rPr>
          <w:rFonts w:ascii="Times New Roman" w:cs="Times New Roman" w:eastAsia="Times New Roman" w:hAnsi="Times New Roman"/>
          <w:sz w:val="18"/>
          <w:szCs w:val="18"/>
          <w:color w:val="auto"/>
        </w:rPr>
        <w:t>JD Property adopted its own share incentive plan in 2021, which permits the granting of stock options, restricted share units and other types of awards of JD Property to eligible participants. JD Property granted 193,059,698 restricted share units to Mr. Liu for the year ended December 31, 2021. The restricted share units granted to Mr. Liu were fully vested on November 25, 2021. JD Property granted 11,348,777, 8,414,710 and 7,078,410 share options to eligible participants for the years ended December 31, 2023, 2024 and 2025, respectively. In October 2022, options to acquire 81,446,610 ordinary shares of JD Property with an exercise price of US$0.0000005 per share were granted to Mr. Liu according to the JD Property’s share incentive plan, and the share options were fully vested on October 1, 2022.</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20"/>
          </w:cols>
          <w:pgMar w:left="320" w:top="476" w:right="5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9160" w:hanging="10"/>
        <w:spacing w:after="0" w:line="390" w:lineRule="auto"/>
        <w:tabs>
          <w:tab w:leader="none" w:pos="663"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Board Practices Board of Directors</w:t>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board of directors consists of nine directors. A director is not required to hold any shares in our company by way of qualification.</w:t>
      </w:r>
    </w:p>
    <w:p>
      <w:pPr>
        <w:spacing w:after="0" w:line="22" w:lineRule="exact"/>
        <w:rPr>
          <w:sz w:val="20"/>
          <w:szCs w:val="20"/>
          <w:color w:val="auto"/>
        </w:rPr>
      </w:pPr>
    </w:p>
    <w:p>
      <w:pPr>
        <w:ind w:left="240"/>
        <w:spacing w:after="0" w:line="245"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our company must declare the nature of his or her interest at a meeting of the directors. Subject to the Nasdaq Rules and disqualification by the chairman of the relevant board meeting, a director may vote in respect of any contract or transaction or proposed contract or transaction notwithstanding that he or she may be interested therein, and if he or she does so his or her vote will be counted and he or she may be counted in the quorum at the relevant board meeting at which such contract or transaction or proposed contract or transaction is considered. The directors may exercise all the powers of the company to borrow money and to mortgage or charge its undertaking, property and uncalled capital, and to issue debentures or other securities whenever money is borrowed or as security for any debt, liability or obligation of the company or of any third party. None of our non-executive directors has a service contract with us that provides for benefits upon termination of service.</w:t>
      </w:r>
    </w:p>
    <w:p>
      <w:pPr>
        <w:spacing w:after="0" w:line="2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2" w:lineRule="exact"/>
        <w:rPr>
          <w:sz w:val="20"/>
          <w:szCs w:val="20"/>
          <w:color w:val="auto"/>
        </w:rPr>
      </w:pPr>
    </w:p>
    <w:p>
      <w:pPr>
        <w:ind w:left="240" w:right="760" w:firstLine="971"/>
        <w:spacing w:after="0" w:line="300" w:lineRule="auto"/>
        <w:rPr>
          <w:sz w:val="20"/>
          <w:szCs w:val="20"/>
          <w:color w:val="auto"/>
        </w:rPr>
      </w:pPr>
      <w:r>
        <w:rPr>
          <w:rFonts w:ascii="Times New Roman" w:cs="Times New Roman" w:eastAsia="Times New Roman" w:hAnsi="Times New Roman"/>
          <w:sz w:val="17"/>
          <w:szCs w:val="17"/>
          <w:color w:val="auto"/>
        </w:rPr>
        <w:t>We have established four committees under the board of directors: an audit committee, a compensation committee, a nomination committee, and an environmental, social and governance (ESG) committee. We have adopted a charter for each of the four committees.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4" w:lineRule="exact"/>
        <w:rPr>
          <w:sz w:val="20"/>
          <w:szCs w:val="20"/>
          <w:color w:val="auto"/>
        </w:rPr>
      </w:pPr>
    </w:p>
    <w:p>
      <w:pPr>
        <w:ind w:left="240" w:right="160" w:firstLine="971"/>
        <w:spacing w:after="0" w:line="253" w:lineRule="auto"/>
        <w:rPr>
          <w:sz w:val="20"/>
          <w:szCs w:val="20"/>
          <w:color w:val="auto"/>
        </w:rPr>
      </w:pPr>
      <w:r>
        <w:rPr>
          <w:rFonts w:ascii="Times New Roman" w:cs="Times New Roman" w:eastAsia="Times New Roman" w:hAnsi="Times New Roman"/>
          <w:sz w:val="18"/>
          <w:szCs w:val="18"/>
          <w:color w:val="auto"/>
        </w:rPr>
        <w:t>Our audit committee consists of Louis T. Hsieh, Ming Huang and Dingbo Xu. Mr. Hsieh is the chairperson of our audit committee. We have determined that Mr. Hsieh, Mr. Huang and Mr. Xu satisfy the “independence” requirements of Nasdaq and Rule 10A-3 under the Securities Exchange Act of 1934. The audit committee oversees our accounting and financial reporting processes and the audits of the financial statements of our company. The audit committee is responsible for, among other things:</w:t>
      </w:r>
    </w:p>
    <w:p>
      <w:pPr>
        <w:spacing w:after="0" w:line="92" w:lineRule="exact"/>
        <w:rPr>
          <w:sz w:val="20"/>
          <w:szCs w:val="20"/>
          <w:color w:val="auto"/>
        </w:rPr>
      </w:pPr>
    </w:p>
    <w:p>
      <w:pPr>
        <w:ind w:left="1180" w:right="900" w:hanging="421"/>
        <w:spacing w:after="0" w:line="270"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23" w:lineRule="exact"/>
        <w:rPr>
          <w:rFonts w:ascii="Times New Roman" w:cs="Times New Roman" w:eastAsia="Times New Roman" w:hAnsi="Times New Roman"/>
          <w:sz w:val="18"/>
          <w:szCs w:val="18"/>
          <w:color w:val="auto"/>
        </w:rPr>
      </w:pPr>
    </w:p>
    <w:p>
      <w:pPr>
        <w:ind w:left="1180" w:right="280" w:hanging="421"/>
        <w:spacing w:after="0" w:line="270"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23" w:lineRule="exact"/>
        <w:rPr>
          <w:rFonts w:ascii="Times New Roman" w:cs="Times New Roman" w:eastAsia="Times New Roman" w:hAnsi="Times New Roman"/>
          <w:sz w:val="18"/>
          <w:szCs w:val="18"/>
          <w:color w:val="auto"/>
        </w:rPr>
      </w:pPr>
    </w:p>
    <w:p>
      <w:pPr>
        <w:ind w:left="1180" w:right="800" w:hanging="421"/>
        <w:spacing w:after="0" w:line="270" w:lineRule="auto"/>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20"/>
          </w:cols>
          <w:pgMar w:left="320" w:top="476" w:right="5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4"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Our compensation committee consists of Ming Huang, Carol Yun Yau Li and Grace Kun Ding. Mr. Huang is the chairperson of our compensation committee. We have determined that Mr. Huang, Ms. Li and Ms. Ding satisfy the “independence” requirements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her compensation is deliberated. The compensation committee is responsible for, among other things:</w:t>
      </w:r>
    </w:p>
    <w:p>
      <w:pPr>
        <w:spacing w:after="0" w:line="94" w:lineRule="exact"/>
        <w:rPr>
          <w:sz w:val="20"/>
          <w:szCs w:val="20"/>
          <w:color w:val="auto"/>
        </w:rPr>
      </w:pPr>
    </w:p>
    <w:p>
      <w:pPr>
        <w:ind w:left="1180" w:right="540" w:hanging="421"/>
        <w:spacing w:after="0" w:line="270"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23" w:lineRule="exact"/>
        <w:rPr>
          <w:rFonts w:ascii="Times New Roman" w:cs="Times New Roman" w:eastAsia="Times New Roman" w:hAnsi="Times New Roman"/>
          <w:sz w:val="18"/>
          <w:szCs w:val="18"/>
          <w:color w:val="auto"/>
        </w:rPr>
      </w:pPr>
    </w:p>
    <w:p>
      <w:pPr>
        <w:ind w:left="1180" w:right="240" w:hanging="421"/>
        <w:spacing w:after="0" w:line="270" w:lineRule="auto"/>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114"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Our nomination committee consists of Dingbo Xu, Louis T. Hsieh, Caroline Scheufele and Grace Kun Ding. Mr. Xu is the chairperson of our nomination committee. Mr. Xu, Mr. Hsieh, Ms. Scheufele and Ms. Ding satisfy the “independence” requirements of Nasdaq. The nomination committee assists the board of directors in selecting individuals qualified to become our directors and in determining the composition of the board and its committees. The nomination committee is responsible for, among other things:</w:t>
      </w:r>
    </w:p>
    <w:p>
      <w:pPr>
        <w:spacing w:after="0" w:line="92" w:lineRule="exact"/>
        <w:rPr>
          <w:sz w:val="20"/>
          <w:szCs w:val="20"/>
          <w:color w:val="auto"/>
        </w:rPr>
      </w:pPr>
    </w:p>
    <w:p>
      <w:pPr>
        <w:ind w:left="1180" w:hanging="421"/>
        <w:spacing w:after="0"/>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23" w:lineRule="exact"/>
        <w:rPr>
          <w:rFonts w:ascii="Times New Roman" w:cs="Times New Roman" w:eastAsia="Times New Roman" w:hAnsi="Times New Roman"/>
          <w:sz w:val="18"/>
          <w:szCs w:val="18"/>
          <w:color w:val="auto"/>
        </w:rPr>
      </w:pPr>
    </w:p>
    <w:p>
      <w:pPr>
        <w:ind w:left="1180" w:right="160" w:hanging="421"/>
        <w:spacing w:after="0" w:line="270" w:lineRule="auto"/>
        <w:tabs>
          <w:tab w:leader="none" w:pos="1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 and</w:t>
      </w:r>
    </w:p>
    <w:p>
      <w:pPr>
        <w:spacing w:after="0" w:line="76" w:lineRule="exact"/>
        <w:rPr>
          <w:rFonts w:ascii="Times New Roman" w:cs="Times New Roman" w:eastAsia="Times New Roman" w:hAnsi="Times New Roman"/>
          <w:sz w:val="18"/>
          <w:szCs w:val="18"/>
          <w:color w:val="auto"/>
        </w:rPr>
      </w:pPr>
    </w:p>
    <w:p>
      <w:pPr>
        <w:ind w:left="5500" w:hanging="4741"/>
        <w:spacing w:after="0" w:line="439" w:lineRule="auto"/>
        <w:tabs>
          <w:tab w:leader="none" w:pos="119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162</w:t>
      </w:r>
    </w:p>
    <w:p>
      <w:pPr>
        <w:sectPr>
          <w:pgSz w:w="11900" w:h="16838" w:orient="portrait"/>
          <w:cols w:equalWidth="0" w:num="1">
            <w:col w:w="11000"/>
          </w:cols>
          <w:pgMar w:left="320" w:top="476" w:right="5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Committee</w:t>
      </w:r>
    </w:p>
    <w:p>
      <w:pPr>
        <w:spacing w:after="0" w:line="114" w:lineRule="exact"/>
        <w:rPr>
          <w:sz w:val="20"/>
          <w:szCs w:val="20"/>
          <w:color w:val="auto"/>
        </w:rPr>
      </w:pPr>
    </w:p>
    <w:p>
      <w:pPr>
        <w:ind w:left="240" w:right="340" w:firstLine="971"/>
        <w:spacing w:after="0" w:line="258" w:lineRule="auto"/>
        <w:rPr>
          <w:sz w:val="20"/>
          <w:szCs w:val="20"/>
          <w:color w:val="auto"/>
        </w:rPr>
      </w:pPr>
      <w:r>
        <w:rPr>
          <w:rFonts w:ascii="Times New Roman" w:cs="Times New Roman" w:eastAsia="Times New Roman" w:hAnsi="Times New Roman"/>
          <w:sz w:val="18"/>
          <w:szCs w:val="18"/>
          <w:color w:val="auto"/>
        </w:rPr>
        <w:t>Our ESG committee consists of Richard Qiangdong Liu, Dingbo Xu, Carol Yun Yau Li and Jennifer Ngar-Wing Yu. Mr. Liu is the chairperson of our ESG committee. The ESG committee assists the board of the directors in overseeing the ESG relevant to our Company. The ESG committee is responsible for, among other things:</w:t>
      </w:r>
    </w:p>
    <w:p>
      <w:pPr>
        <w:spacing w:after="0" w:line="86" w:lineRule="exact"/>
        <w:rPr>
          <w:sz w:val="20"/>
          <w:szCs w:val="20"/>
          <w:color w:val="auto"/>
        </w:rPr>
      </w:pPr>
    </w:p>
    <w:p>
      <w:pPr>
        <w:ind w:left="1180" w:right="240" w:hanging="421"/>
        <w:spacing w:after="0" w:line="270"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formulation of our ESG vision, strategies, and plans, the progress of our ESG-related practice and internal control system, the objectives and implementation of our ESG-related work, as well as our annual ESG report;</w:t>
      </w:r>
    </w:p>
    <w:p>
      <w:pPr>
        <w:spacing w:after="0" w:line="76" w:lineRule="exact"/>
        <w:rPr>
          <w:rFonts w:ascii="Times New Roman" w:cs="Times New Roman" w:eastAsia="Times New Roman" w:hAnsi="Times New Roman"/>
          <w:sz w:val="18"/>
          <w:szCs w:val="18"/>
          <w:color w:val="auto"/>
        </w:rPr>
      </w:pPr>
    </w:p>
    <w:p>
      <w:pPr>
        <w:ind w:left="1180" w:right="40" w:hanging="421"/>
        <w:spacing w:after="0" w:line="270"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status of any material cybersecurity incidents or material risks from cybersecurity threats to us and maintaining oversight of the disclosure related to cybersecurity matters of the periodic reports; and</w:t>
      </w:r>
    </w:p>
    <w:p>
      <w:pPr>
        <w:spacing w:after="0" w:line="76" w:lineRule="exact"/>
        <w:rPr>
          <w:rFonts w:ascii="Times New Roman" w:cs="Times New Roman" w:eastAsia="Times New Roman" w:hAnsi="Times New Roman"/>
          <w:sz w:val="18"/>
          <w:szCs w:val="18"/>
          <w:color w:val="auto"/>
        </w:rPr>
      </w:pPr>
    </w:p>
    <w:p>
      <w:pPr>
        <w:ind w:left="1180" w:right="40" w:hanging="421"/>
        <w:spacing w:after="0" w:line="258" w:lineRule="auto"/>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12" w:lineRule="exact"/>
        <w:rPr>
          <w:sz w:val="20"/>
          <w:szCs w:val="20"/>
          <w:color w:val="auto"/>
        </w:rPr>
      </w:pPr>
    </w:p>
    <w:p>
      <w:pPr>
        <w:jc w:val="both"/>
        <w:ind w:left="240" w:right="120" w:firstLine="971"/>
        <w:spacing w:after="0" w:line="266" w:lineRule="auto"/>
        <w:rPr>
          <w:sz w:val="20"/>
          <w:szCs w:val="20"/>
          <w:color w:val="auto"/>
        </w:rPr>
      </w:pPr>
      <w:r>
        <w:rPr>
          <w:rFonts w:ascii="Times New Roman" w:cs="Times New Roman" w:eastAsia="Times New Roman" w:hAnsi="Times New Roman"/>
          <w:sz w:val="17"/>
          <w:szCs w:val="17"/>
          <w:color w:val="auto"/>
        </w:rPr>
        <w:t>Our officers are elected by the board of directors. Our directors are appointed either by an ordinary resolution of our shareholders, or by a resolution of our board of directors (including the affirmative vote of Mr. Richard Qiangdong Liu for so long as he is a director). Our non-independent directors are not subject to a term of office and hold office until such time as they are removed from office by ordinary resolution of the shareholders.</w:t>
      </w:r>
    </w:p>
    <w:p>
      <w:pPr>
        <w:spacing w:after="0" w:line="2" w:lineRule="exact"/>
        <w:rPr>
          <w:sz w:val="20"/>
          <w:szCs w:val="20"/>
          <w:color w:val="auto"/>
        </w:rPr>
      </w:pPr>
    </w:p>
    <w:p>
      <w:pPr>
        <w:ind w:left="240" w:right="20"/>
        <w:spacing w:after="0" w:line="246" w:lineRule="auto"/>
        <w:rPr>
          <w:sz w:val="20"/>
          <w:szCs w:val="20"/>
          <w:color w:val="auto"/>
        </w:rPr>
      </w:pPr>
      <w:r>
        <w:rPr>
          <w:rFonts w:ascii="Times New Roman" w:cs="Times New Roman" w:eastAsia="Times New Roman" w:hAnsi="Times New Roman"/>
          <w:sz w:val="18"/>
          <w:szCs w:val="18"/>
          <w:color w:val="auto"/>
        </w:rPr>
        <w:t>Our independent directors are subject to a contractual one-year term, which may be renewed for one additional year, unless either party provides a prior written notice to the other party before the initial term expires indicating the intention not to renew. A director will cease to be a director if, among other things, the director (i) becomes bankrupt or makes any arrangement or composition with his creditors; (ii) dies or is found by our company to be or becomes of unsound mind; (iii) resigns his office by notice in writing to our company; (iv) without special leave of absence from our board of directors, is absent from meetings of our board of directors for three consecutive meetings and the board resolves that his office be vacated; or (v) is removed from office pursuant to any other provision of our memorandum and articles of association.</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240" w:type="dxa"/>
            <w:vAlign w:val="bottom"/>
            <w:tcBorders>
              <w:bottom w:val="single" w:sz="8" w:color="auto"/>
            </w:tcBorders>
          </w:tcPr>
          <w:p>
            <w:pPr>
              <w:jc w:val="center"/>
              <w:ind w:left="2414"/>
              <w:spacing w:after="0"/>
              <w:rPr>
                <w:sz w:val="20"/>
                <w:szCs w:val="20"/>
                <w:color w:val="auto"/>
              </w:rPr>
            </w:pPr>
            <w:r>
              <w:rPr>
                <w:rFonts w:ascii="Times New Roman" w:cs="Times New Roman" w:eastAsia="Times New Roman" w:hAnsi="Times New Roman"/>
                <w:sz w:val="14"/>
                <w:szCs w:val="14"/>
                <w:b w:val="1"/>
                <w:bCs w:val="1"/>
                <w:color w:val="auto"/>
              </w:rPr>
              <w:t xml:space="preserve">Board Diversity Matrix </w:t>
            </w:r>
            <w:r>
              <w:rPr>
                <w:rFonts w:ascii="Times New Roman" w:cs="Times New Roman" w:eastAsia="Times New Roman" w:hAnsi="Times New Roman"/>
                <w:sz w:val="14"/>
                <w:szCs w:val="14"/>
                <w:color w:val="auto"/>
              </w:rPr>
              <w:t>(as of March 18, 2026)</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Country of Principal Executive Offices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7"/>
          </w:tcPr>
          <w:p>
            <w:pPr>
              <w:jc w:val="center"/>
              <w:ind w:right="120"/>
              <w:spacing w:after="0" w:line="187" w:lineRule="exact"/>
              <w:rPr>
                <w:sz w:val="20"/>
                <w:szCs w:val="20"/>
                <w:color w:val="auto"/>
              </w:rPr>
            </w:pPr>
            <w:r>
              <w:rPr>
                <w:rFonts w:ascii="Times New Roman" w:cs="Times New Roman" w:eastAsia="Times New Roman" w:hAnsi="Times New Roman"/>
                <w:sz w:val="18"/>
                <w:szCs w:val="18"/>
                <w:color w:val="auto"/>
                <w:w w:val="97"/>
              </w:rPr>
              <w:t>People’s Republic of China</w:t>
            </w:r>
          </w:p>
        </w:tc>
        <w:tc>
          <w:tcPr>
            <w:tcW w:w="0" w:type="dxa"/>
            <w:vAlign w:val="bottom"/>
          </w:tcPr>
          <w:p>
            <w:pPr>
              <w:spacing w:after="0"/>
              <w:rPr>
                <w:sz w:val="1"/>
                <w:szCs w:val="1"/>
                <w:color w:val="auto"/>
              </w:rPr>
            </w:pPr>
          </w:p>
        </w:tc>
      </w:tr>
      <w:tr>
        <w:trPr>
          <w:trHeight w:val="2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2"/>
              </w:rPr>
              <w:t>Yes</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center"/>
              <w:ind w:right="58"/>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Non</w:t>
            </w: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Female</w:t>
            </w:r>
          </w:p>
        </w:tc>
        <w:tc>
          <w:tcPr>
            <w:tcW w:w="240" w:type="dxa"/>
            <w:vAlign w:val="bottom"/>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Male</w:t>
            </w:r>
          </w:p>
        </w:tc>
        <w:tc>
          <w:tcPr>
            <w:tcW w:w="700" w:type="dxa"/>
            <w:vAlign w:val="bottom"/>
            <w:gridSpan w:val="2"/>
            <w:vMerge w:val="continue"/>
          </w:tcPr>
          <w:p>
            <w:pPr>
              <w:spacing w:after="0"/>
              <w:rPr>
                <w:sz w:val="12"/>
                <w:szCs w:val="12"/>
                <w:color w:val="auto"/>
              </w:rPr>
            </w:pPr>
          </w:p>
        </w:tc>
        <w:tc>
          <w:tcPr>
            <w:tcW w:w="5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Binary</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— </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8260" w:type="dxa"/>
            <w:vAlign w:val="bottom"/>
            <w:gridSpan w:val="2"/>
          </w:tcPr>
          <w:p>
            <w:pPr>
              <w:jc w:val="right"/>
              <w:ind w:right="2654"/>
              <w:spacing w:after="0"/>
              <w:rPr>
                <w:sz w:val="20"/>
                <w:szCs w:val="20"/>
                <w:color w:val="auto"/>
              </w:rPr>
            </w:pPr>
            <w:r>
              <w:rPr>
                <w:rFonts w:ascii="Times New Roman" w:cs="Times New Roman" w:eastAsia="Times New Roman" w:hAnsi="Times New Roman"/>
                <w:sz w:val="18"/>
                <w:szCs w:val="18"/>
                <w:color w:val="auto"/>
              </w:rPr>
              <w:t>163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hanging="430"/>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12" w:lineRule="exact"/>
        <w:rPr>
          <w:sz w:val="20"/>
          <w:szCs w:val="20"/>
          <w:color w:val="auto"/>
        </w:rPr>
      </w:pPr>
    </w:p>
    <w:p>
      <w:pPr>
        <w:ind w:left="240" w:right="300" w:firstLine="971"/>
        <w:spacing w:after="0" w:line="270" w:lineRule="auto"/>
        <w:rPr>
          <w:sz w:val="20"/>
          <w:szCs w:val="20"/>
          <w:color w:val="auto"/>
        </w:rPr>
      </w:pPr>
      <w:r>
        <w:rPr>
          <w:rFonts w:ascii="Times New Roman" w:cs="Times New Roman" w:eastAsia="Times New Roman" w:hAnsi="Times New Roman"/>
          <w:sz w:val="18"/>
          <w:szCs w:val="18"/>
          <w:color w:val="auto"/>
        </w:rPr>
        <w:t>As of December 31, 2023, 2024 and 2025, we had a total of 517,124, 570,895 and 776,682 employees, respectively. The following is a breakdown of our employees as of December 31, 2025 by function:</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5"/>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Procurement</w:t>
            </w:r>
          </w:p>
        </w:tc>
        <w:tc>
          <w:tcPr>
            <w:tcW w:w="6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43,930</w:t>
            </w:r>
          </w:p>
        </w:tc>
        <w:tc>
          <w:tcPr>
            <w:tcW w:w="40" w:type="dxa"/>
            <w:vAlign w:val="bottom"/>
            <w:tcBorders>
              <w:top w:val="single" w:sz="8" w:color="CCEEFF"/>
            </w:tcBorders>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Warehouses and Delivery</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642,940</w:t>
            </w: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Service</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33,462</w:t>
            </w: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17,145</w:t>
            </w: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26,241</w:t>
            </w:r>
          </w:p>
        </w:tc>
      </w:tr>
      <w:tr>
        <w:trPr>
          <w:trHeight w:val="21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employees</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776,682</w:t>
            </w:r>
          </w:p>
        </w:tc>
      </w:tr>
      <w:tr>
        <w:trPr>
          <w:trHeight w:val="2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Part-time staff and interns; personnel of affiliates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174,738</w:t>
            </w:r>
          </w:p>
        </w:tc>
        <w:tc>
          <w:tcPr>
            <w:tcW w:w="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personnel of JD Ecosystem</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951,420</w:t>
            </w:r>
          </w:p>
        </w:tc>
        <w:tc>
          <w:tcPr>
            <w:tcW w:w="40" w:type="dxa"/>
            <w:vAlign w:val="bottom"/>
            <w:shd w:val="clear" w:color="auto" w:fill="CCEEFF"/>
          </w:tcPr>
          <w:p>
            <w:pPr>
              <w:spacing w:after="0"/>
              <w:rPr>
                <w:sz w:val="18"/>
                <w:szCs w:val="18"/>
                <w:color w:val="auto"/>
              </w:rPr>
            </w:pPr>
          </w:p>
        </w:tc>
      </w:tr>
    </w:tbl>
    <w:p>
      <w:pPr>
        <w:spacing w:after="0" w:line="206" w:lineRule="exact"/>
        <w:rPr>
          <w:sz w:val="20"/>
          <w:szCs w:val="20"/>
          <w:color w:val="auto"/>
        </w:rPr>
      </w:pPr>
    </w:p>
    <w:p>
      <w:pPr>
        <w:ind w:left="240" w:right="160" w:firstLine="971"/>
        <w:spacing w:after="0" w:line="251" w:lineRule="auto"/>
        <w:rPr>
          <w:sz w:val="20"/>
          <w:szCs w:val="20"/>
          <w:color w:val="auto"/>
        </w:rPr>
      </w:pPr>
      <w:r>
        <w:rPr>
          <w:rFonts w:ascii="Times New Roman" w:cs="Times New Roman" w:eastAsia="Times New Roman" w:hAnsi="Times New Roman"/>
          <w:sz w:val="18"/>
          <w:szCs w:val="18"/>
          <w:color w:val="auto"/>
        </w:rPr>
        <w:t>As a testament to our unwavering commitment to creating more jobs and making contributions to the society, the aggregate number of personnel under the JD Ecosystem amounted to 951,420 as of December 31, 2025, including our employees, part-time staff and interns, as well as personnel of our affiliates in the JD Ecosystem. JD Ecosystem is a closely integrated business network providing comprehensive service for our customers and comprises our company and certain affiliates who share the “JD” brand name, currently including JD Technology and Allianz Jingdong General Insurance Company Ltd., an insurance provider.</w:t>
      </w:r>
    </w:p>
    <w:p>
      <w:pPr>
        <w:spacing w:after="0" w:line="187" w:lineRule="exact"/>
        <w:rPr>
          <w:sz w:val="20"/>
          <w:szCs w:val="20"/>
          <w:color w:val="auto"/>
        </w:rPr>
      </w:pPr>
    </w:p>
    <w:p>
      <w:pPr>
        <w:ind w:left="240" w:right="620" w:firstLine="971"/>
        <w:spacing w:after="0" w:line="270" w:lineRule="auto"/>
        <w:rPr>
          <w:sz w:val="20"/>
          <w:szCs w:val="20"/>
          <w:color w:val="auto"/>
        </w:rPr>
      </w:pPr>
      <w:r>
        <w:rPr>
          <w:rFonts w:ascii="Times New Roman" w:cs="Times New Roman" w:eastAsia="Times New Roman" w:hAnsi="Times New Roman"/>
          <w:sz w:val="18"/>
          <w:szCs w:val="18"/>
          <w:color w:val="auto"/>
        </w:rPr>
        <w:t>With so many employees, we place great emphasis on our corporate culture to ensure that we maintain consistently high standards everywhere we operate.</w:t>
      </w:r>
    </w:p>
    <w:p>
      <w:pPr>
        <w:spacing w:after="0" w:line="169" w:lineRule="exact"/>
        <w:rPr>
          <w:sz w:val="20"/>
          <w:szCs w:val="20"/>
          <w:color w:val="auto"/>
        </w:rPr>
      </w:pPr>
    </w:p>
    <w:p>
      <w:pPr>
        <w:ind w:left="240" w:firstLine="971"/>
        <w:spacing w:after="0" w:line="264" w:lineRule="auto"/>
        <w:rPr>
          <w:sz w:val="20"/>
          <w:szCs w:val="20"/>
          <w:color w:val="auto"/>
        </w:rPr>
      </w:pPr>
      <w:r>
        <w:rPr>
          <w:rFonts w:ascii="Times New Roman" w:cs="Times New Roman" w:eastAsia="Times New Roman" w:hAnsi="Times New Roman"/>
          <w:sz w:val="17"/>
          <w:szCs w:val="17"/>
          <w:color w:val="auto"/>
        </w:rPr>
        <w:t>We invest resources in the recruitment of employees in support of our fast-growing business operations. In 2025, we recruited new employees in connection with the expansion of our business, and we will continue to invest resources in training, managing and motivating our workforce. In 2025, we have invested a considerable amount of resources in employee career development and training. We have clear talent criteria and have applied them to the whole process of talent management. In the talent management activities throughout the year, we not only pay attention to the improvement of employees’ ability and quality, but also pay special attention to incentive development, in particularly emphasized the mindset of “contributor-oriented,” so that to enable all kinds of talents to have a “sense of goal” and “sense of fulfillment.” We lay special emphasis on the building of talent pipeline and the building of organizational cultural cohesion. We have established a comprehensive employee training and development system covering culture, leadership, general competencies, and professional competencies. Our comprehensive training program covers corporate culture, employee rights and responsibilities, team building, professional behavior, job performance, management skills, leadership, and administrative decision-making. As of December 31, 2025, over 1,400 management trainees had undergone our dedicated management training program.</w:t>
      </w:r>
    </w:p>
    <w:p>
      <w:pPr>
        <w:spacing w:after="0" w:line="176"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We also sponsored selected senior and mid-level managers to participate in part-time EMBA programs. In addition, we launched “College Education with JD” program in association with well-known universities in November 2013. All employees are eligible to join the program voluntarily and get scholarship from us once they obtain their bachelor’s or master’s diploma. To boost our strategy of exploring oversea markets, we also have been recruiting international management trainees who are MBA graduates from top universities worldwide.</w:t>
      </w:r>
    </w:p>
    <w:p>
      <w:pPr>
        <w:spacing w:after="0" w:line="185" w:lineRule="exact"/>
        <w:rPr>
          <w:sz w:val="20"/>
          <w:szCs w:val="20"/>
          <w:color w:val="auto"/>
        </w:rPr>
      </w:pPr>
    </w:p>
    <w:p>
      <w:pPr>
        <w:ind w:left="240" w:right="20" w:firstLine="971"/>
        <w:spacing w:after="0" w:line="273" w:lineRule="auto"/>
        <w:rPr>
          <w:sz w:val="20"/>
          <w:szCs w:val="20"/>
          <w:color w:val="auto"/>
        </w:rPr>
      </w:pPr>
      <w:r>
        <w:rPr>
          <w:rFonts w:ascii="Times New Roman" w:cs="Times New Roman" w:eastAsia="Times New Roman" w:hAnsi="Times New Roman"/>
          <w:sz w:val="17"/>
          <w:szCs w:val="17"/>
          <w:color w:val="auto"/>
        </w:rPr>
        <w:t>As required by regulations in China, we participate in various government statutory employee benefit plans, including social insurance funds, namely a pension contribution plan, a medical insurance plan, an unemployment insurance plan, a work-related injury insurance plan and a maternity insurance plan, and a housing provident fund. We are required under PRC law to contribute to employee benefit plans at specified percentages of the salaries, bonuses and certain allowances of our employees up to a maximum amount specified by the local government from time to time.</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320" w:top="476" w:right="5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We enter into standard labor contracts with our employees. We also enter into standard confidentiality and non-compete agreements with our senior management. The non-compete restricted period typically expires within two years after the termination of employment, and we agree to compensate the employee with a certain percentage of his or her pre-departure salary during the restricted period.</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believe that we maintain a good working relationship with our employees, and we have not experienced any major labor disputes.</w:t>
      </w:r>
    </w:p>
    <w:p>
      <w:pPr>
        <w:spacing w:after="0" w:line="359" w:lineRule="exact"/>
        <w:rPr>
          <w:sz w:val="20"/>
          <w:szCs w:val="20"/>
          <w:color w:val="auto"/>
        </w:rPr>
      </w:pPr>
    </w:p>
    <w:p>
      <w:pPr>
        <w:ind w:left="660" w:hanging="430"/>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March 18, 2026 by:</w:t>
      </w:r>
    </w:p>
    <w:p>
      <w:pPr>
        <w:spacing w:after="0" w:line="124" w:lineRule="exact"/>
        <w:rPr>
          <w:sz w:val="20"/>
          <w:szCs w:val="20"/>
          <w:color w:val="auto"/>
        </w:rPr>
      </w:pPr>
    </w:p>
    <w:p>
      <w:pPr>
        <w:ind w:left="1180" w:hanging="421"/>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total outstanding shares.</w:t>
      </w:r>
    </w:p>
    <w:p>
      <w:pPr>
        <w:spacing w:after="0" w:line="216" w:lineRule="exact"/>
        <w:rPr>
          <w:sz w:val="20"/>
          <w:szCs w:val="20"/>
          <w:color w:val="auto"/>
        </w:rPr>
      </w:pPr>
    </w:p>
    <w:p>
      <w:pPr>
        <w:ind w:left="240" w:right="100" w:firstLine="971"/>
        <w:spacing w:after="0" w:line="253" w:lineRule="auto"/>
        <w:rPr>
          <w:sz w:val="20"/>
          <w:szCs w:val="20"/>
          <w:color w:val="auto"/>
        </w:rPr>
      </w:pPr>
      <w:r>
        <w:rPr>
          <w:rFonts w:ascii="Times New Roman" w:cs="Times New Roman" w:eastAsia="Times New Roman" w:hAnsi="Times New Roman"/>
          <w:sz w:val="18"/>
          <w:szCs w:val="18"/>
          <w:color w:val="auto"/>
        </w:rPr>
        <w:t>The calculations in the table below are based on 2,731,641,465 ordinary shares outstanding as of March 18, 2026, comprising of (i) 2,409,875,383 Class A ordinary shares (excluding 65,625,140 Class A ordinary shares, which consisted of shares issued to our depositary bank for bulk issuance of ADSs reserved for future issuances upon the exercise or vesting of awards granted under our share incentive plans and shares repurchased but not yet cancelled), and (ii) 321,766,082 Class B ordinary shares.</w:t>
      </w:r>
    </w:p>
    <w:p>
      <w:pPr>
        <w:spacing w:after="0" w:line="185"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These shares and associated votes, however, are not included in the computation of the percentage ownership of any other person. Ordinary shares held by a shareholder are determined in accordance with our register of members.</w:t>
      </w:r>
    </w:p>
    <w:p>
      <w:pPr>
        <w:spacing w:after="0" w:line="19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4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Class B Ordinary</w:t>
            </w:r>
          </w:p>
        </w:tc>
        <w:tc>
          <w:tcPr>
            <w:tcW w:w="13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Total Ordinary</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of Aggregate</w:t>
            </w:r>
          </w:p>
        </w:tc>
        <w:tc>
          <w:tcPr>
            <w:tcW w:w="0" w:type="dxa"/>
            <w:vAlign w:val="bottom"/>
          </w:tcPr>
          <w:p>
            <w:pPr>
              <w:spacing w:after="0"/>
              <w:rPr>
                <w:sz w:val="1"/>
                <w:szCs w:val="1"/>
                <w:color w:val="auto"/>
              </w:rPr>
            </w:pPr>
          </w:p>
        </w:tc>
      </w:tr>
      <w:tr>
        <w:trPr>
          <w:trHeight w:val="145"/>
        </w:trPr>
        <w:tc>
          <w:tcPr>
            <w:tcW w:w="4300" w:type="dxa"/>
            <w:vAlign w:val="bottom"/>
          </w:tcPr>
          <w:p>
            <w:pPr>
              <w:spacing w:after="0"/>
              <w:rPr>
                <w:sz w:val="12"/>
                <w:szCs w:val="12"/>
                <w:color w:val="auto"/>
              </w:rPr>
            </w:pPr>
          </w:p>
        </w:tc>
        <w:tc>
          <w:tcPr>
            <w:tcW w:w="13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4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Voting Power</w:t>
            </w:r>
          </w:p>
        </w:tc>
        <w:tc>
          <w:tcPr>
            <w:tcW w:w="0" w:type="dxa"/>
            <w:vAlign w:val="bottom"/>
          </w:tcPr>
          <w:p>
            <w:pPr>
              <w:spacing w:after="0"/>
              <w:rPr>
                <w:sz w:val="1"/>
                <w:szCs w:val="1"/>
                <w:color w:val="auto"/>
              </w:rPr>
            </w:pPr>
          </w:p>
        </w:tc>
      </w:tr>
      <w:tr>
        <w:trPr>
          <w:trHeight w:val="192"/>
        </w:trPr>
        <w:tc>
          <w:tcPr>
            <w:tcW w:w="430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Richard Qiangdong Liu</w:t>
            </w:r>
            <w:r>
              <w:rPr>
                <w:rFonts w:ascii="Times New Roman" w:cs="Times New Roman" w:eastAsia="Times New Roman" w:hAnsi="Times New Roman"/>
                <w:sz w:val="24"/>
                <w:szCs w:val="24"/>
                <w:color w:val="auto"/>
                <w:vertAlign w:val="superscript"/>
              </w:rPr>
              <w:t>(1)</w:t>
            </w:r>
          </w:p>
        </w:tc>
        <w:tc>
          <w:tcPr>
            <w:tcW w:w="1380" w:type="dxa"/>
            <w:vAlign w:val="bottom"/>
            <w:gridSpan w:val="2"/>
          </w:tcPr>
          <w:p>
            <w:pPr>
              <w:jc w:val="right"/>
              <w:ind w:right="280"/>
              <w:spacing w:after="0" w:line="211" w:lineRule="exact"/>
              <w:rPr>
                <w:sz w:val="20"/>
                <w:szCs w:val="20"/>
                <w:color w:val="auto"/>
              </w:rPr>
            </w:pPr>
            <w:r>
              <w:rPr>
                <w:rFonts w:ascii="Times New Roman" w:cs="Times New Roman" w:eastAsia="Times New Roman" w:hAnsi="Times New Roman"/>
                <w:sz w:val="16"/>
                <w:szCs w:val="16"/>
                <w:color w:val="auto"/>
              </w:rPr>
              <w:t>42,974,550</w:t>
            </w:r>
            <w:r>
              <w:rPr>
                <w:rFonts w:ascii="Times New Roman" w:cs="Times New Roman" w:eastAsia="Times New Roman" w:hAnsi="Times New Roman"/>
                <w:sz w:val="24"/>
                <w:szCs w:val="24"/>
                <w:color w:val="auto"/>
                <w:vertAlign w:val="superscript"/>
              </w:rPr>
              <w:t>(1)</w:t>
            </w:r>
          </w:p>
        </w:tc>
        <w:tc>
          <w:tcPr>
            <w:tcW w:w="1480" w:type="dxa"/>
            <w:vAlign w:val="bottom"/>
            <w:gridSpan w:val="2"/>
          </w:tcPr>
          <w:p>
            <w:pPr>
              <w:jc w:val="right"/>
              <w:ind w:right="280"/>
              <w:spacing w:after="0" w:line="211" w:lineRule="exact"/>
              <w:rPr>
                <w:sz w:val="20"/>
                <w:szCs w:val="20"/>
                <w:color w:val="auto"/>
              </w:rPr>
            </w:pPr>
            <w:r>
              <w:rPr>
                <w:rFonts w:ascii="Times New Roman" w:cs="Times New Roman" w:eastAsia="Times New Roman" w:hAnsi="Times New Roman"/>
                <w:sz w:val="16"/>
                <w:szCs w:val="16"/>
                <w:color w:val="auto"/>
              </w:rPr>
              <w:t>305,630,780</w:t>
            </w:r>
            <w:r>
              <w:rPr>
                <w:rFonts w:ascii="Times New Roman" w:cs="Times New Roman" w:eastAsia="Times New Roman" w:hAnsi="Times New Roman"/>
                <w:sz w:val="24"/>
                <w:szCs w:val="24"/>
                <w:color w:val="auto"/>
                <w:vertAlign w:val="superscript"/>
              </w:rPr>
              <w:t>(1)</w:t>
            </w:r>
          </w:p>
        </w:tc>
        <w:tc>
          <w:tcPr>
            <w:tcW w:w="1380" w:type="dxa"/>
            <w:vAlign w:val="bottom"/>
            <w:gridSpan w:val="2"/>
          </w:tcPr>
          <w:p>
            <w:pPr>
              <w:jc w:val="right"/>
              <w:ind w:right="280"/>
              <w:spacing w:after="0" w:line="211" w:lineRule="exact"/>
              <w:rPr>
                <w:sz w:val="20"/>
                <w:szCs w:val="20"/>
                <w:color w:val="auto"/>
              </w:rPr>
            </w:pPr>
            <w:r>
              <w:rPr>
                <w:rFonts w:ascii="Times New Roman" w:cs="Times New Roman" w:eastAsia="Times New Roman" w:hAnsi="Times New Roman"/>
                <w:sz w:val="16"/>
                <w:szCs w:val="16"/>
                <w:color w:val="auto"/>
              </w:rPr>
              <w:t>348,605,330</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ind w:right="280"/>
              <w:spacing w:after="0" w:line="211" w:lineRule="exact"/>
              <w:rPr>
                <w:sz w:val="20"/>
                <w:szCs w:val="20"/>
                <w:color w:val="auto"/>
              </w:rPr>
            </w:pPr>
            <w:r>
              <w:rPr>
                <w:rFonts w:ascii="Times New Roman" w:cs="Times New Roman" w:eastAsia="Times New Roman" w:hAnsi="Times New Roman"/>
                <w:sz w:val="16"/>
                <w:szCs w:val="16"/>
                <w:color w:val="auto"/>
              </w:rPr>
              <w:t>12.7</w:t>
            </w:r>
            <w:r>
              <w:rPr>
                <w:rFonts w:ascii="Times New Roman" w:cs="Times New Roman" w:eastAsia="Times New Roman" w:hAnsi="Times New Roman"/>
                <w:sz w:val="24"/>
                <w:szCs w:val="24"/>
                <w:color w:val="auto"/>
                <w:vertAlign w:val="superscript"/>
              </w:rPr>
              <w:t>(1)</w:t>
            </w:r>
          </w:p>
        </w:tc>
        <w:tc>
          <w:tcPr>
            <w:tcW w:w="1160" w:type="dxa"/>
            <w:vAlign w:val="bottom"/>
            <w:gridSpan w:val="2"/>
          </w:tcPr>
          <w:p>
            <w:pPr>
              <w:jc w:val="right"/>
              <w:ind w:right="60"/>
              <w:spacing w:after="0" w:line="211" w:lineRule="exact"/>
              <w:rPr>
                <w:sz w:val="20"/>
                <w:szCs w:val="20"/>
                <w:color w:val="auto"/>
              </w:rPr>
            </w:pPr>
            <w:r>
              <w:rPr>
                <w:rFonts w:ascii="Times New Roman" w:cs="Times New Roman" w:eastAsia="Times New Roman" w:hAnsi="Times New Roman"/>
                <w:sz w:val="16"/>
                <w:szCs w:val="16"/>
                <w:color w:val="auto"/>
              </w:rPr>
              <w:t>73.1</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Sandy Ran Xu</w:t>
            </w:r>
            <w:r>
              <w:rPr>
                <w:rFonts w:ascii="Times New Roman" w:cs="Times New Roman" w:eastAsia="Times New Roman" w:hAnsi="Times New Roman"/>
                <w:sz w:val="24"/>
                <w:szCs w:val="24"/>
                <w:color w:val="auto"/>
                <w:vertAlign w:val="superscript"/>
              </w:rPr>
              <w:t>(3)</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495,084</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495,084</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Ming Huang</w:t>
            </w:r>
            <w:r>
              <w:rPr>
                <w:rFonts w:ascii="Times New Roman" w:cs="Times New Roman" w:eastAsia="Times New Roman" w:hAnsi="Times New Roman"/>
                <w:sz w:val="24"/>
                <w:szCs w:val="24"/>
                <w:color w:val="auto"/>
                <w:vertAlign w:val="superscript"/>
              </w:rPr>
              <w:t>(4)</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50,142</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50,142</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Louis T. Hsieh</w:t>
            </w:r>
            <w:r>
              <w:rPr>
                <w:rFonts w:ascii="Times New Roman" w:cs="Times New Roman" w:eastAsia="Times New Roman" w:hAnsi="Times New Roman"/>
                <w:sz w:val="24"/>
                <w:szCs w:val="24"/>
                <w:color w:val="auto"/>
                <w:vertAlign w:val="superscript"/>
              </w:rPr>
              <w:t>(5)</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98,194</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98,194</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Dingbo Xu</w:t>
            </w:r>
            <w:r>
              <w:rPr>
                <w:rFonts w:ascii="Times New Roman" w:cs="Times New Roman" w:eastAsia="Times New Roman" w:hAnsi="Times New Roman"/>
                <w:sz w:val="24"/>
                <w:szCs w:val="24"/>
                <w:color w:val="auto"/>
                <w:vertAlign w:val="superscript"/>
              </w:rPr>
              <w:t>(6)</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60,956</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60,956</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Caroline Scheufele</w:t>
            </w:r>
            <w:r>
              <w:rPr>
                <w:rFonts w:ascii="Times New Roman" w:cs="Times New Roman" w:eastAsia="Times New Roman" w:hAnsi="Times New Roman"/>
                <w:sz w:val="24"/>
                <w:szCs w:val="24"/>
                <w:color w:val="auto"/>
                <w:vertAlign w:val="superscript"/>
              </w:rPr>
              <w:t>(7)</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42,438</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42,438</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Carol Yun Yau Li</w:t>
            </w:r>
            <w:r>
              <w:rPr>
                <w:rFonts w:ascii="Times New Roman" w:cs="Times New Roman" w:eastAsia="Times New Roman" w:hAnsi="Times New Roman"/>
                <w:sz w:val="24"/>
                <w:szCs w:val="24"/>
                <w:color w:val="auto"/>
                <w:vertAlign w:val="superscript"/>
              </w:rPr>
              <w:t>(8)</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36,168</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36,168</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Grace Kun Ding</w:t>
            </w:r>
            <w:r>
              <w:rPr>
                <w:rFonts w:ascii="Times New Roman" w:cs="Times New Roman" w:eastAsia="Times New Roman" w:hAnsi="Times New Roman"/>
                <w:sz w:val="24"/>
                <w:szCs w:val="24"/>
                <w:color w:val="auto"/>
                <w:vertAlign w:val="superscript"/>
              </w:rPr>
              <w:t>(9)</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8,316</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8,316</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Jennifer Ngar-Wing Yu</w:t>
            </w:r>
            <w:r>
              <w:rPr>
                <w:rFonts w:ascii="Times New Roman" w:cs="Times New Roman" w:eastAsia="Times New Roman" w:hAnsi="Times New Roman"/>
                <w:sz w:val="24"/>
                <w:szCs w:val="24"/>
                <w:color w:val="auto"/>
                <w:vertAlign w:val="superscript"/>
              </w:rPr>
              <w:t>(10)</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8,316</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8,316</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Ian Su Shan</w:t>
            </w:r>
            <w:r>
              <w:rPr>
                <w:rFonts w:ascii="Times New Roman" w:cs="Times New Roman" w:eastAsia="Times New Roman" w:hAnsi="Times New Roman"/>
                <w:sz w:val="24"/>
                <w:szCs w:val="24"/>
                <w:color w:val="auto"/>
                <w:vertAlign w:val="superscript"/>
              </w:rPr>
              <w:t>(11)</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89,680</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89,680</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43,863,844</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305,630,780</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349,494,624</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12.7</w:t>
            </w:r>
          </w:p>
        </w:tc>
        <w:tc>
          <w:tcPr>
            <w:tcW w:w="1160" w:type="dxa"/>
            <w:vAlign w:val="bottom"/>
            <w:gridSpan w:val="2"/>
          </w:tcPr>
          <w:p>
            <w:pPr>
              <w:jc w:val="right"/>
              <w:ind w:right="60"/>
              <w:spacing w:after="0" w:line="211" w:lineRule="exact"/>
              <w:rPr>
                <w:sz w:val="20"/>
                <w:szCs w:val="20"/>
                <w:color w:val="auto"/>
              </w:rPr>
            </w:pPr>
            <w:r>
              <w:rPr>
                <w:rFonts w:ascii="Times New Roman" w:cs="Times New Roman" w:eastAsia="Times New Roman" w:hAnsi="Times New Roman"/>
                <w:sz w:val="16"/>
                <w:szCs w:val="16"/>
                <w:color w:val="auto"/>
              </w:rPr>
              <w:t>73.1</w:t>
            </w:r>
            <w:r>
              <w:rPr>
                <w:rFonts w:ascii="Times New Roman" w:cs="Times New Roman" w:eastAsia="Times New Roman" w:hAnsi="Times New Roman"/>
                <w:sz w:val="24"/>
                <w:szCs w:val="24"/>
                <w:color w:val="auto"/>
                <w:vertAlign w:val="superscript"/>
              </w:rPr>
              <w:t>(2)</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Max Smart Limited</w:t>
            </w:r>
            <w:r>
              <w:rPr>
                <w:rFonts w:ascii="Times New Roman" w:cs="Times New Roman" w:eastAsia="Times New Roman" w:hAnsi="Times New Roman"/>
                <w:sz w:val="24"/>
                <w:szCs w:val="24"/>
                <w:color w:val="auto"/>
                <w:vertAlign w:val="superscript"/>
              </w:rPr>
              <w:t>(12)</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22,974,550</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305,630,780</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328,605,330</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 xml:space="preserve">BlackRock, Inc. </w:t>
            </w:r>
            <w:r>
              <w:rPr>
                <w:rFonts w:ascii="Times New Roman" w:cs="Times New Roman" w:eastAsia="Times New Roman" w:hAnsi="Times New Roman"/>
                <w:sz w:val="24"/>
                <w:szCs w:val="24"/>
                <w:color w:val="auto"/>
                <w:vertAlign w:val="superscript"/>
              </w:rPr>
              <w:t>(13)</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141,154,983</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141,154,983</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Fortune Rising Holdings Limited</w:t>
            </w:r>
            <w:r>
              <w:rPr>
                <w:rFonts w:ascii="Times New Roman" w:cs="Times New Roman" w:eastAsia="Times New Roman" w:hAnsi="Times New Roman"/>
                <w:sz w:val="26"/>
                <w:szCs w:val="26"/>
                <w:color w:val="auto"/>
                <w:vertAlign w:val="superscript"/>
              </w:rPr>
              <w:t>(14)</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16,135,302</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16,135,302</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-2540</wp:posOffset>
            </wp:positionV>
            <wp:extent cx="7556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0" w:lineRule="exact"/>
        <w:rPr>
          <w:sz w:val="20"/>
          <w:szCs w:val="20"/>
          <w:color w:val="auto"/>
        </w:rPr>
      </w:pPr>
    </w:p>
    <w:p>
      <w:pPr>
        <w:ind w:left="240" w:right="6420" w:hanging="10"/>
        <w:spacing w:after="0" w:line="255" w:lineRule="auto"/>
        <w:tabs>
          <w:tab w:leader="none" w:pos="6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0.1% of our total outstanding ordinary shares. ** Less than 0.1% of our aggregate voting right.</w:t>
      </w:r>
    </w:p>
    <w:p>
      <w:pPr>
        <w:ind w:left="660" w:right="120" w:hanging="423"/>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disclosed below, the business address of our directors and executive officers is JD national headquarters at No. 18 Kechuang 11 Street, Yizhuang Economic and Technological Development Zone, Daxing District, Beijing 101111, P.R. China.</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20"/>
          </w:cols>
          <w:pgMar w:left="320" w:top="476" w:right="5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660" w:right="80" w:hanging="430"/>
        <w:spacing w:after="0" w:line="247"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305,630,780 Class B ordinary shares directly held by Max Smart Limited, (ii) 11,487,275 ADSs, representing 22,974,550 Class A ordinary shares, held by Max Smart Limited, and (iii) 20,000,000 Class A ordinary shares that Mr. Liu had the right to acquire upon exercise of options or vesting of RSUs that had vested by or shall have become vested within 60 days after March 18, 2026. As of March 18, 2026, Mr. Liu has not exercised his right to acquire such Class A ordinary shares. Max Smart Limited is a British Virgin Islands company beneficially owned by The Max Smart Trust. Mr. Liu is the settlor of the trust whose beneficiaries are Mr. Liu’s family, as described in footnote (12) below. The number and percentage of total shares do not include 16,135,302 Class B ordinary shares held by Fortune Rising Holdings Limited, a British Virgin Islands company, as described in footnote (14) below. The business address of Mr. Richard Qiangdong Liu is 1 Connaught Place, Central, Hong Kong, China.</w:t>
      </w:r>
    </w:p>
    <w:p>
      <w:pPr>
        <w:spacing w:after="0" w:line="5" w:lineRule="exact"/>
        <w:rPr>
          <w:rFonts w:ascii="Times New Roman" w:cs="Times New Roman" w:eastAsia="Times New Roman" w:hAnsi="Times New Roman"/>
          <w:sz w:val="18"/>
          <w:szCs w:val="18"/>
          <w:color w:val="auto"/>
        </w:rPr>
      </w:pPr>
    </w:p>
    <w:p>
      <w:pPr>
        <w:ind w:left="660" w:right="24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voting power includes the voting power with respect to the 16,135,302 Class B ordinary shares held by Fortune Rising Holdings Limited. Mr. Richard Qiangdong Liu is the sole shareholder and the sole director of Fortune Rising Holdings Limited and he may be deemed to exercise the voting power with respect to all of the ordinary shares held by Fortune Rising Holdings Limited in accordance with the rules and regulations of the SEC, notwithstanding the facts described in footnote (14) below.</w:t>
      </w:r>
    </w:p>
    <w:p>
      <w:pPr>
        <w:ind w:left="660" w:right="20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203,032 ADSs, representing 406,064 Class A ordinary shares held by Ms. Xu and (ii) 89,020 Class A ordinary shares that Ms. Xu had the right to acquire upon vesting of RSUs that shall have become vested within 60 days after March 18, 2026.</w:t>
      </w:r>
    </w:p>
    <w:p>
      <w:pPr>
        <w:ind w:left="66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25,071 ADSs, representing 50,142 Class A ordinary shares held by Mr. Huang. The business address of Mr. Huang is 22 W 66th Street, New York, NY 10023, United States.</w:t>
      </w:r>
    </w:p>
    <w:p>
      <w:pPr>
        <w:ind w:left="660" w:right="12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49,097 ADSs, representing 98,194 Class A ordinary shares held by Mr. Hsieh. The business address of Mr. Hsieh is The Harbourside, Tower 2, 37-B, I Austin Road West, Kowloon, Hong Kong, China.</w:t>
      </w:r>
    </w:p>
    <w:p>
      <w:pPr>
        <w:ind w:left="660" w:right="4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30,478 ADSs, representing 60,956 Class A ordinary shares held by Professor Xu. The business address of Professor Xu is Building 20, Zhongguancun Software Park, 8 Dongbeiwang West Road, Haidian District, Beijing, China.</w:t>
      </w:r>
    </w:p>
    <w:p>
      <w:pPr>
        <w:ind w:left="660" w:right="80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21,219 ADSs, representing 42,438 Class A ordinary shares held by Ms. Scheufele. The business address of Ms. Scheufele is Chopard &amp; Cie SA, Rue de Veyrot 8, 1217 Meyrin, Switzerland.</w:t>
      </w:r>
    </w:p>
    <w:p>
      <w:pPr>
        <w:ind w:left="660" w:right="70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18,084 ADSs, representing 36,168 Class A ordinary shares held by Ms. Li. The business address of Ms. Li is Tower B 36/F, 8 Jianguomenwai Avenue, Chaoyang District, Beijing, China.</w:t>
      </w:r>
    </w:p>
    <w:p>
      <w:pPr>
        <w:ind w:left="660" w:right="24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4,158 ADSs, representing 8,316 Class A ordinary shares held by Ms. Ding. The business address of Ms. Ding is 5 Interchange Park, Robinson Way, Portsmouth, England, PO3 5QD, United Kingdom.</w:t>
      </w:r>
    </w:p>
    <w:p>
      <w:pPr>
        <w:ind w:left="660" w:right="12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4,158 ADSs, representing 8,316 Class A ordinary shares held by Ms. Yu. The business address of Ms. Yu is Unit 1101, 11/F Tower A, 83 King Lam Street, Cheung Sha Wan, Kowloon, Hong Kong, China.</w:t>
      </w:r>
    </w:p>
    <w:p>
      <w:pPr>
        <w:ind w:left="660" w:right="14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33,590 ADSs, representing 67,180 Class A ordinary shares held by Mr. Shan and (ii) 22,500 Class A ordinary shares that Mr. Shan had the right to acquire upon vesting of RSUs that shall have become vested within 60 days after March 18, 2026.</w:t>
      </w:r>
    </w:p>
    <w:p>
      <w:pPr>
        <w:ind w:left="660" w:right="18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305,630,780 Class B ordinary shares directly held by Max Smart Limited and (ii) 11,487,275 ADSs, representing 22,974,550 Class A ordinary shares, held by Max Smart Limited. Max Smart Limited is a British Virgin Islands company beneficially owned by The Max Smart Trust. Mr. Liu is the settlor of the trust whose beneficiaries are Mr. Liu’s family. The registered address of Max Smart Limited is P.O. Box 957, Offshore Incorporations Centre, Road Town, Tortola, British Virgin Islands.</w:t>
      </w:r>
    </w:p>
    <w:p>
      <w:pPr>
        <w:ind w:left="660" w:right="20" w:hanging="430"/>
        <w:spacing w:after="0" w:line="24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141,154,983 Class A ordinary shares beneficially owned by BlackRock, Inc. as of December 31, 2025 as reported by the Schedule 13G filed by BlackRock, Inc. with the SEC on January 21, 2026. BlackRock, Inc. is a corporation organized under the laws of the State of Delaware, United States. Its address is 50 Hudson Yards, New York, NY 10001.</w:t>
      </w:r>
    </w:p>
    <w:p>
      <w:pPr>
        <w:ind w:left="660" w:right="240" w:hanging="430"/>
        <w:spacing w:after="0" w:line="24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16,135,302 Class B ordinary shares held by Fortune Rising Holdings Limited. Fortune Rising Holdings Limited holds these Class B ordinary shares for the purpose of transferring such shares to the plan participants according to our awards under our share incentive plans, and administers the awards and acts according to our instruction. Fortune Rising Holdings Limited exercises the voting power with respect to these shares according to our instruction. Fortune Rising Holdings Limited is a company incorporated in the British Virgin Islands. Mr. Richard Qiangdong Liu is the sole shareholder and the sole director of Fortune Rising Holdings Limited. The registered address of Fortune Rising Holdings Limited is P.O. Box 957, Offshore Incorporations Centre, Road Town, Tortola, British Virgin Islands.</w:t>
      </w:r>
    </w:p>
    <w:p>
      <w:pPr>
        <w:spacing w:after="0" w:line="190" w:lineRule="exact"/>
        <w:rPr>
          <w:sz w:val="20"/>
          <w:szCs w:val="20"/>
          <w:color w:val="auto"/>
        </w:rPr>
      </w:pPr>
    </w:p>
    <w:p>
      <w:pPr>
        <w:ind w:left="240" w:right="40" w:firstLine="971"/>
        <w:spacing w:after="0" w:line="250" w:lineRule="auto"/>
        <w:rPr>
          <w:sz w:val="20"/>
          <w:szCs w:val="20"/>
          <w:color w:val="auto"/>
        </w:rPr>
      </w:pPr>
      <w:r>
        <w:rPr>
          <w:rFonts w:ascii="Times New Roman" w:cs="Times New Roman" w:eastAsia="Times New Roman" w:hAnsi="Times New Roman"/>
          <w:sz w:val="18"/>
          <w:szCs w:val="18"/>
          <w:color w:val="auto"/>
        </w:rPr>
        <w:t>To our knowledge, as of March 18, 2026, a total of 901,880,687 Class A ordinary shares were held by four record holders in the United States, and one of these holders is Deutsche Bank Trust Company Americas, the depositary of our ADS program, which held 36.4% of our Class A ordinary shares on record, representing approximately 32.2% of our total issued shares on record as of March 18, 2026 (including shares issued to it for bulk issuance of ADSs reserved for future issuances upon the exercise or vesting of awards granted under our share incentive plans, shares repurchased but not yet cancelled, and the Class A ordinary shares held in our Hong Kong register of members). The number of beneficial owners of our ADSs in the United States is likely to be much larger than the number of record holders of our ordinary shares in the United States.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0"/>
          </w:cols>
          <w:pgMar w:left="320" w:top="476" w:right="5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Our ordinary shares are divided into Class A ordinary shares and Class B ordinary shares. Holders of Class A ordinary shares are entitled to one vote per share, while holders of Class B ordinary shares are entitled to twenty votes per share. Holders of Class A and Class B ordinary shares vote together as one class on all matters subject to a shareholders’ vote. Each Class B ordinary share is convertible into one Class A ordinary share at any time by the holder thereof, while Class A ordinary shares are not convertible into Class B ordinary shares under any circumstance. See “Item 10.B. Additional Information—Memorandum and Articles of Association” for a more detailed description of our Class A ordinary shares and Class B ordinary shares.</w:t>
      </w:r>
    </w:p>
    <w:p>
      <w:pPr>
        <w:spacing w:after="0" w:line="18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359" w:lineRule="exact"/>
        <w:rPr>
          <w:sz w:val="20"/>
          <w:szCs w:val="20"/>
          <w:color w:val="auto"/>
        </w:rPr>
      </w:pPr>
    </w:p>
    <w:p>
      <w:pPr>
        <w:ind w:left="1200" w:right="4020" w:hanging="970"/>
        <w:spacing w:after="0" w:line="395" w:lineRule="auto"/>
        <w:tabs>
          <w:tab w:leader="none" w:pos="6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04"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Major Shareholders and Related Party Transactions</w:t>
      </w:r>
    </w:p>
    <w:p>
      <w:pPr>
        <w:spacing w:after="0" w:line="124" w:lineRule="exact"/>
        <w:rPr>
          <w:sz w:val="20"/>
          <w:szCs w:val="20"/>
          <w:color w:val="auto"/>
        </w:rPr>
      </w:pPr>
    </w:p>
    <w:p>
      <w:pPr>
        <w:ind w:left="660" w:hanging="430"/>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21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Please refer to “Item 6.E. Directors, Senior Management and Employees—Share Ownership.”</w:t>
      </w:r>
    </w:p>
    <w:p>
      <w:pPr>
        <w:spacing w:after="0" w:line="359" w:lineRule="exact"/>
        <w:rPr>
          <w:sz w:val="20"/>
          <w:szCs w:val="20"/>
          <w:color w:val="auto"/>
        </w:rPr>
      </w:pPr>
    </w:p>
    <w:p>
      <w:pPr>
        <w:ind w:left="660" w:hanging="430"/>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Contractual Arrangements with the Consolidated Variable Interest Entities and Their Shareholders</w:t>
      </w:r>
    </w:p>
    <w:p>
      <w:pPr>
        <w:spacing w:after="0" w:line="112" w:lineRule="exact"/>
        <w:rPr>
          <w:sz w:val="20"/>
          <w:szCs w:val="20"/>
          <w:color w:val="auto"/>
        </w:rPr>
      </w:pPr>
    </w:p>
    <w:p>
      <w:pPr>
        <w:ind w:left="240" w:right="380" w:firstLine="971"/>
        <w:spacing w:after="0" w:line="253" w:lineRule="auto"/>
        <w:rPr>
          <w:sz w:val="20"/>
          <w:szCs w:val="20"/>
          <w:color w:val="auto"/>
        </w:rPr>
      </w:pPr>
      <w:r>
        <w:rPr>
          <w:rFonts w:ascii="Times New Roman" w:cs="Times New Roman" w:eastAsia="Times New Roman" w:hAnsi="Times New Roman"/>
          <w:sz w:val="18"/>
          <w:szCs w:val="18"/>
          <w:color w:val="auto"/>
        </w:rPr>
        <w:t>PRC laws and regulations currently limit foreign ownership of companies that engage in businesses such as value-added telecommunications service business in China. Due to these restrictions, we operate the relevant portion of our business through contractual arrangements with the consolidated variable interest entities. For a description of these contractual arrangements, see “Item 4.C. Information on the Company—Organizational Structure.”</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Agreements and Transactions Relating to JD Technology</w:t>
      </w:r>
    </w:p>
    <w:p>
      <w:pPr>
        <w:spacing w:after="0" w:line="112" w:lineRule="exact"/>
        <w:rPr>
          <w:sz w:val="20"/>
          <w:szCs w:val="20"/>
          <w:color w:val="auto"/>
        </w:rPr>
      </w:pPr>
    </w:p>
    <w:p>
      <w:pPr>
        <w:ind w:left="240" w:right="260" w:firstLine="971"/>
        <w:spacing w:after="0" w:line="258" w:lineRule="auto"/>
        <w:rPr>
          <w:sz w:val="20"/>
          <w:szCs w:val="20"/>
          <w:color w:val="auto"/>
        </w:rPr>
      </w:pPr>
      <w:r>
        <w:rPr>
          <w:rFonts w:ascii="Times New Roman" w:cs="Times New Roman" w:eastAsia="Times New Roman" w:hAnsi="Times New Roman"/>
          <w:sz w:val="18"/>
          <w:szCs w:val="18"/>
          <w:color w:val="auto"/>
        </w:rPr>
        <w:t>On June 20, 2020, JD Technology adopted a dual class voting structure. The shares held by Mr. Richard Qiangdong Liu and Suqian Linghang Fangyuan, an entity controlled by Mr. Liu, were entitled to ten votes per share, while Mr. Liu and Suqian Linghang Fangyuan must abstain from voting on any related party transaction with JD Technology.</w:t>
      </w:r>
    </w:p>
    <w:p>
      <w:pPr>
        <w:spacing w:after="0" w:line="179" w:lineRule="exact"/>
        <w:rPr>
          <w:sz w:val="20"/>
          <w:szCs w:val="20"/>
          <w:color w:val="auto"/>
        </w:rPr>
      </w:pPr>
    </w:p>
    <w:p>
      <w:pPr>
        <w:ind w:left="240" w:right="100" w:firstLine="971"/>
        <w:spacing w:after="0" w:line="250" w:lineRule="auto"/>
        <w:rPr>
          <w:sz w:val="20"/>
          <w:szCs w:val="20"/>
          <w:color w:val="auto"/>
        </w:rPr>
      </w:pPr>
      <w:r>
        <w:rPr>
          <w:rFonts w:ascii="Times New Roman" w:cs="Times New Roman" w:eastAsia="Times New Roman" w:hAnsi="Times New Roman"/>
          <w:sz w:val="18"/>
          <w:szCs w:val="18"/>
          <w:color w:val="auto"/>
        </w:rPr>
        <w:t>On March 31, 2021, we entered into definitive agreements with JD Technology relating to the reorganization of JD Cloud &amp; AI. Pursuant to the definitive agreements, we transferred JD Cloud &amp; AI and certain assets together valued at approximately RMB15.7 billion to JD Technology, in exchange for newly issued ordinary shares of JD Technology. To support the smooth business transition of JD Cloud &amp; AI, we also transferred some equipment and reserved some restricted share units of us for the employees of JD Cloud &amp; AI, for which JD Technology paid cash consideration. Upon completion of the transactions on March 31, 2021, JD Cloud &amp; AI was deconsolidated from our consolidated financial statements, and our equity interest in JD Technology increased from 36.8% to 41.7%.</w:t>
      </w:r>
    </w:p>
    <w:p>
      <w:pPr>
        <w:spacing w:after="0" w:line="187" w:lineRule="exact"/>
        <w:rPr>
          <w:sz w:val="20"/>
          <w:szCs w:val="20"/>
          <w:color w:val="auto"/>
        </w:rPr>
      </w:pPr>
    </w:p>
    <w:p>
      <w:pPr>
        <w:jc w:val="both"/>
        <w:ind w:left="240" w:right="200" w:firstLine="971"/>
        <w:spacing w:after="0" w:line="258" w:lineRule="auto"/>
        <w:rPr>
          <w:sz w:val="20"/>
          <w:szCs w:val="20"/>
          <w:color w:val="auto"/>
        </w:rPr>
      </w:pPr>
      <w:r>
        <w:rPr>
          <w:rFonts w:ascii="Times New Roman" w:cs="Times New Roman" w:eastAsia="Times New Roman" w:hAnsi="Times New Roman"/>
          <w:sz w:val="18"/>
          <w:szCs w:val="18"/>
          <w:color w:val="auto"/>
        </w:rPr>
        <w:t>From September to December 2024, JD Technology conducted the JD Technology Redemption Arrangement as described in “Item 4.A. Information on the Company—History and Development of the Company—Our Major Investments.” As of December 31, 2025, our equity interest in JD Technology further increased to 54.9% as a result of the JD Technology Redemption Arrangement.</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320" w:top="476" w:right="5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Please see “Item 4.A. Information on the Company—History and Development of the Company” for further information.</w:t>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Set forth below is a summary of the key provisions of the currently effective material agreements between us and JD Technology.</w:t>
      </w:r>
    </w:p>
    <w:p>
      <w:pPr>
        <w:spacing w:after="0" w:line="214" w:lineRule="exact"/>
        <w:rPr>
          <w:sz w:val="20"/>
          <w:szCs w:val="20"/>
          <w:color w:val="auto"/>
        </w:rPr>
      </w:pPr>
    </w:p>
    <w:p>
      <w:pPr>
        <w:ind w:left="240" w:right="2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Shareholders Agreement</w:t>
      </w:r>
      <w:r>
        <w:rPr>
          <w:rFonts w:ascii="Times New Roman" w:cs="Times New Roman" w:eastAsia="Times New Roman" w:hAnsi="Times New Roman"/>
          <w:sz w:val="18"/>
          <w:szCs w:val="18"/>
          <w:color w:val="auto"/>
        </w:rPr>
        <w:t>. The shareholders agreement of JD Technology provides for certain special rights, including preemptive right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consent for certain matters and contains provisions governing the board of directors and other corporate governance matters.</w:t>
      </w:r>
    </w:p>
    <w:p>
      <w:pPr>
        <w:spacing w:after="0" w:line="164" w:lineRule="exact"/>
        <w:rPr>
          <w:sz w:val="20"/>
          <w:szCs w:val="20"/>
          <w:color w:val="auto"/>
        </w:rPr>
      </w:pPr>
    </w:p>
    <w:p>
      <w:pPr>
        <w:ind w:left="240" w:right="60" w:firstLine="971"/>
        <w:spacing w:after="0" w:line="249" w:lineRule="auto"/>
        <w:rPr>
          <w:sz w:val="20"/>
          <w:szCs w:val="20"/>
          <w:color w:val="auto"/>
        </w:rPr>
      </w:pPr>
      <w:r>
        <w:rPr>
          <w:rFonts w:ascii="Times New Roman" w:cs="Times New Roman" w:eastAsia="Times New Roman" w:hAnsi="Times New Roman"/>
          <w:sz w:val="18"/>
          <w:szCs w:val="18"/>
          <w:i w:val="1"/>
          <w:iCs w:val="1"/>
          <w:color w:val="auto"/>
        </w:rPr>
        <w:t>Non-Compete Agreement</w:t>
      </w:r>
      <w:r>
        <w:rPr>
          <w:rFonts w:ascii="Times New Roman" w:cs="Times New Roman" w:eastAsia="Times New Roman" w:hAnsi="Times New Roman"/>
          <w:sz w:val="18"/>
          <w:szCs w:val="18"/>
          <w:color w:val="auto"/>
        </w:rPr>
        <w:t>. We and JD Technology have each agreed to certain limitations on our respective ability to enter into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the same line of business as the other party. JD Technology may not engage in the e-commerce business conducted by us or our subsidiaries without our prior written consent, unless we and JD Technology are no longer under the common control of Mr. Richard Qiangdong Liu. Without the prior written consent of JD Technology, we are restricted from engaging in the financial products, financial derivatives, and other financial-related businesses operated by JD Technology and its subsidiaries, including consumer finance, supply chain finance, third party payment, factoring, insurance brokerage and agency, crowd funding (including product and equity crowd funding), wealth management, securities brokerage, banking, financial leasing, asset management, and credit reporting, unless we and JD Technology are no longer under the common control of Mr. Liu. We, however, may make passive investments in competing businesses which we do not control.</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Business Transactions with JD Technology and its Subsidiaries</w:t>
      </w:r>
    </w:p>
    <w:p>
      <w:pPr>
        <w:spacing w:after="0" w:line="11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JD Technology is a related party controlled by our chairman of the board of directors, Mr. Richard Qiangdong Liu, through his equity</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stake and voting arrangements in JD Technology. In 2023, 2024 and 2025, we provided services and sold goods to JD Technology in a total amount of</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RMB1,696 million, RMB1,701 million and RMB1,779 million (US$254 million), respectively. In 2023, 2024 and 2025, we received payment</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processing and other services provided by JD Technology in the amount of RMB13,833 million, RMB13,693 million and RMB15,511 million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(US$2,218 million), respectively. In 2023, 2024 and 2025, interest income in the amount of RMB287 million, nil and RMB14 million (US$2 million)</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was recognized in relation to the financial support provided to JD Technology by us, respectively. JD Technology performs the credit risk assessment</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services and earns fees for providing such services, and JD Technology purchases the consumer financing receivables past due over certain agreed</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period of time from us at carrying values without recourse and also agree to bear other cost directly related to the consumer financing to absorb the risks.</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connection with the agreements, the total amount of over-due receivables related to the consumer financing sold from us to JD Technology were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RMB240 million, RMB176 million and RMB106 million (US$15 million) for the years ended December 31, 2023, 2024 and 2025, respectively.</w:t>
      </w:r>
    </w:p>
    <w:p>
      <w:pPr>
        <w:spacing w:after="0" w:line="199" w:lineRule="exact"/>
        <w:rPr>
          <w:sz w:val="20"/>
          <w:szCs w:val="20"/>
          <w:color w:val="auto"/>
        </w:rPr>
      </w:pPr>
    </w:p>
    <w:p>
      <w:pPr>
        <w:ind w:left="240" w:right="360" w:firstLine="971"/>
        <w:spacing w:after="0" w:line="258" w:lineRule="auto"/>
        <w:rPr>
          <w:sz w:val="20"/>
          <w:szCs w:val="20"/>
          <w:color w:val="auto"/>
        </w:rPr>
      </w:pPr>
      <w:r>
        <w:rPr>
          <w:rFonts w:ascii="Times New Roman" w:cs="Times New Roman" w:eastAsia="Times New Roman" w:hAnsi="Times New Roman"/>
          <w:sz w:val="18"/>
          <w:szCs w:val="18"/>
          <w:color w:val="auto"/>
        </w:rPr>
        <w:t>We also transferred certain financial assets to JD Technology without recourse at fair value. The amount of accounts receivables transferred without recourse in 2023, 2024 and 2025 were RMB55,028 million, RMB56,202 million and RMB72,032 million (US$10,300 million), respectively, and were derecognized.</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As of December 31, 2025, we had a total amount of RMB1,129 million (US$161 million) due from JD Technology.</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Transactions with Our Equity Investees and Other Related Parties</w:t>
      </w:r>
    </w:p>
    <w:p>
      <w:pPr>
        <w:spacing w:after="0" w:line="110" w:lineRule="exact"/>
        <w:rPr>
          <w:sz w:val="20"/>
          <w:szCs w:val="20"/>
          <w:color w:val="auto"/>
        </w:rPr>
      </w:pPr>
    </w:p>
    <w:p>
      <w:pPr>
        <w:ind w:left="240" w:right="160" w:firstLine="971"/>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Business Transactions with the Property Funds. </w:t>
      </w:r>
      <w:r>
        <w:rPr>
          <w:rFonts w:ascii="Times New Roman" w:cs="Times New Roman" w:eastAsia="Times New Roman" w:hAnsi="Times New Roman"/>
          <w:sz w:val="17"/>
          <w:szCs w:val="17"/>
          <w:color w:val="auto"/>
        </w:rPr>
        <w:t>JD Property, our infrastructure asset management and integrated service platform, owns,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develops and manages our logistics facilities and other real estate properties to support JD Logistics and third parties. Since 2019, we entered into definitive agreements with the Property Funds, pursuant to which we sold certain of our completed and uncompleted logistics facilities.</w:t>
      </w:r>
    </w:p>
    <w:p>
      <w:pPr>
        <w:spacing w:after="0" w:line="161" w:lineRule="exact"/>
        <w:rPr>
          <w:sz w:val="20"/>
          <w:szCs w:val="20"/>
          <w:color w:val="auto"/>
        </w:rPr>
      </w:pPr>
    </w:p>
    <w:p>
      <w:pPr>
        <w:ind w:left="240" w:firstLine="971"/>
        <w:spacing w:after="0" w:line="263" w:lineRule="auto"/>
        <w:rPr>
          <w:sz w:val="20"/>
          <w:szCs w:val="20"/>
          <w:color w:val="auto"/>
        </w:rPr>
      </w:pPr>
      <w:r>
        <w:rPr>
          <w:rFonts w:ascii="Times New Roman" w:cs="Times New Roman" w:eastAsia="Times New Roman" w:hAnsi="Times New Roman"/>
          <w:sz w:val="17"/>
          <w:szCs w:val="17"/>
          <w:color w:val="auto"/>
        </w:rPr>
        <w:t>For the logistics facilities under the Property Funds that met the closing conditions, we recorded a disposal gain of RMB2.3 billion, RMB1.5 billion and RMB0.4 billion (US$0.1 billion) in 2023, 2024 and 2025, respectively. We will derecognize the remaining logistics facilities upon satisfaction of the hand-over condition. In addition, subsequent to the disposition, we have leased back the completed facilities from the Property Funds for operational purposes, and JD Property has started serving as the asset manager managing the Property Funds’ assets. We will also lease back some of the facilities that sale to the Property Funds for operational purposes when such facility has been completed. See also “Item 5.A. Operating and Financial Review and Prospects—Operating Results—Selected Statements of Operations Items—Gain on sale of development properties.” We provided services to the Property Funds in a total amount of RMB177 million, RMB208 million and RMB210 million (US$30 million) in 2023, 2024 and 2025, respectively, and received lease and property management services from the Property Funds in a total amount of RMB1,681 million, RMB1,765 million and RMB1,843 million (US$264 million) in 2023, 2024 and 2025, respectively. Interest income in the amount of RMB56 million, RMB48 million and RMB42 million (US$6 million) was recognized in 2023, 2024 and 2025, respectively, in connection with our financial support provided to the Property Funds. As of December 31, 2025, we had an amount of RMB790 million (US$113 million) due from the Property Funds.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320" w:top="476" w:right="5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100" w:firstLine="971"/>
        <w:spacing w:after="0" w:line="270" w:lineRule="auto"/>
        <w:rPr>
          <w:sz w:val="20"/>
          <w:szCs w:val="20"/>
          <w:color w:val="auto"/>
        </w:rPr>
      </w:pPr>
      <w:r>
        <w:rPr>
          <w:rFonts w:ascii="Times New Roman" w:cs="Times New Roman" w:eastAsia="Times New Roman" w:hAnsi="Times New Roman"/>
          <w:sz w:val="18"/>
          <w:szCs w:val="18"/>
          <w:color w:val="auto"/>
        </w:rPr>
        <w:t>Our transactions with equity investees other than those discussed above were insignificant, individually or in the aggregate, in each of the past three fiscal years.</w:t>
      </w:r>
    </w:p>
    <w:p>
      <w:pPr>
        <w:spacing w:after="0" w:line="169" w:lineRule="exact"/>
        <w:rPr>
          <w:sz w:val="20"/>
          <w:szCs w:val="20"/>
          <w:color w:val="auto"/>
        </w:rPr>
      </w:pPr>
    </w:p>
    <w:p>
      <w:pPr>
        <w:ind w:left="240" w:right="160" w:firstLine="971"/>
        <w:spacing w:after="0" w:line="253" w:lineRule="auto"/>
        <w:rPr>
          <w:sz w:val="20"/>
          <w:szCs w:val="20"/>
          <w:color w:val="auto"/>
        </w:rPr>
      </w:pPr>
      <w:r>
        <w:rPr>
          <w:rFonts w:ascii="Times New Roman" w:cs="Times New Roman" w:eastAsia="Times New Roman" w:hAnsi="Times New Roman"/>
          <w:sz w:val="18"/>
          <w:szCs w:val="18"/>
          <w:color w:val="auto"/>
        </w:rPr>
        <w:t>In addition, Mr. Richard Qiangdong Liu, our chairman of the board of directors, has purchased his own aircraft for both business and personal use. The use of the aircraft in connection with the performance of his duty as employee is free of charge to us, and we have agreed to assume the cost of maintenance, crew and operations of the aircraft relating to the use of the aircraft. Such maintenance and incidental costs were insignificant for all periods presented.</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“Item 6.B. Directors, Senior Management and Employees—Compensation.”</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Share Incentives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“Item 6.B. Directors, Senior Management and Employees—Compensation.”</w:t>
      </w:r>
    </w:p>
    <w:p>
      <w:pPr>
        <w:spacing w:after="0" w:line="359" w:lineRule="exact"/>
        <w:rPr>
          <w:sz w:val="20"/>
          <w:szCs w:val="20"/>
          <w:color w:val="auto"/>
        </w:rPr>
      </w:pPr>
    </w:p>
    <w:p>
      <w:pPr>
        <w:ind w:left="1200" w:right="7900" w:hanging="970"/>
        <w:spacing w:after="0" w:line="395" w:lineRule="auto"/>
        <w:tabs>
          <w:tab w:leader="none" w:pos="65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204"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Information</w:t>
      </w:r>
    </w:p>
    <w:p>
      <w:pPr>
        <w:spacing w:after="0" w:line="124" w:lineRule="exact"/>
        <w:rPr>
          <w:sz w:val="20"/>
          <w:szCs w:val="20"/>
          <w:color w:val="auto"/>
        </w:rPr>
      </w:pPr>
    </w:p>
    <w:p>
      <w:pPr>
        <w:ind w:left="660" w:hanging="430"/>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Statements and Other Financial Information</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2" w:lineRule="exact"/>
        <w:rPr>
          <w:sz w:val="20"/>
          <w:szCs w:val="20"/>
          <w:color w:val="auto"/>
        </w:rPr>
      </w:pPr>
    </w:p>
    <w:p>
      <w:pPr>
        <w:ind w:left="240" w:firstLine="971"/>
        <w:spacing w:after="0" w:line="273" w:lineRule="auto"/>
        <w:rPr>
          <w:sz w:val="20"/>
          <w:szCs w:val="20"/>
          <w:color w:val="auto"/>
        </w:rPr>
      </w:pPr>
      <w:r>
        <w:rPr>
          <w:rFonts w:ascii="Times New Roman" w:cs="Times New Roman" w:eastAsia="Times New Roman" w:hAnsi="Times New Roman"/>
          <w:sz w:val="17"/>
          <w:szCs w:val="17"/>
          <w:color w:val="auto"/>
        </w:rPr>
        <w:t>From time to time, we may be subject to legal, regulatory and/or administrative proceedings relating to third-party and principal intellectual property infringement claims, contract disputes involving suppliers and third-party merchants, consumer protection claims, claims relating to data and privacy protection, employment related disputes, unfair competition and other matters in the ordinary course of our business. See “Item 3.D. Key Information—Risk Factors—Risks Related to Our Business—We may be subject to legal, regulatory and/or administrative proceedings.”</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320" w:top="476" w:right="5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2" w:lineRule="exact"/>
        <w:rPr>
          <w:sz w:val="20"/>
          <w:szCs w:val="20"/>
          <w:color w:val="auto"/>
        </w:rPr>
      </w:pPr>
    </w:p>
    <w:p>
      <w:pPr>
        <w:ind w:left="240" w:right="40" w:firstLine="971"/>
        <w:spacing w:after="0" w:line="249" w:lineRule="auto"/>
        <w:rPr>
          <w:sz w:val="20"/>
          <w:szCs w:val="20"/>
          <w:color w:val="auto"/>
        </w:rPr>
      </w:pPr>
      <w:r>
        <w:rPr>
          <w:rFonts w:ascii="Times New Roman" w:cs="Times New Roman" w:eastAsia="Times New Roman" w:hAnsi="Times New Roman"/>
          <w:sz w:val="18"/>
          <w:szCs w:val="18"/>
          <w:color w:val="auto"/>
        </w:rPr>
        <w:t>Our board of directors has complete discretion on whether to distribute dividends subject to our current memorandum and articles of association and certain restrictions under Cayman Islands law. In addition, our shareholders may by ordinary resolution declare dividends,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240" w:right="20" w:firstLine="971"/>
        <w:spacing w:after="0" w:line="266" w:lineRule="auto"/>
        <w:rPr>
          <w:sz w:val="20"/>
          <w:szCs w:val="20"/>
          <w:color w:val="auto"/>
        </w:rPr>
      </w:pPr>
      <w:r>
        <w:rPr>
          <w:rFonts w:ascii="Times New Roman" w:cs="Times New Roman" w:eastAsia="Times New Roman" w:hAnsi="Times New Roman"/>
          <w:sz w:val="17"/>
          <w:szCs w:val="17"/>
          <w:color w:val="auto"/>
        </w:rPr>
        <w:t>In May 2022, we declared a special cash dividend of US$0.63 per ordinary share, or US$1.26 per ADS, for an aggregate amount of approximately US$2.0 billion. In March 2023, as we commenced our annual dividend policy, we declared a cash dividend of US$0.31 per ordinary share, or US$0.62 per ADS, for an aggregate amount of approximately US$1.0 billion. In March 2024, we declared an annual cash dividend for the year ended December 31, 2023 of US$0.38 per ordinary share, or US$0.76 per ADS, for an aggregate amount of approximately US$1.2 billion. In March 2025, we declared an annual cash dividend for the year ended December 31, 2024 of US$0.50 per ordinary share, or US$1.00 per ADS, for an aggregate amount of approximately US$1.44 billion. In March 2026, we declared an annual cash dividend for the year ended December 31, 2025 of US$0.5 per ordinary share, or US$1.0 per ADS, for an aggregate amount of approximately US$1.4 billion based on the number of shares on record date.</w:t>
      </w:r>
    </w:p>
    <w:p>
      <w:pPr>
        <w:spacing w:after="0" w:line="175" w:lineRule="exact"/>
        <w:rPr>
          <w:sz w:val="20"/>
          <w:szCs w:val="20"/>
          <w:color w:val="auto"/>
        </w:rPr>
      </w:pPr>
    </w:p>
    <w:p>
      <w:pPr>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Under our annual dividend policy, we may choose to declare and distribute a cash dividend each year, at an amount determined in relation to our financial performance in the previous fiscal year, among other factors. The determination to make dividend distributions in any particular year will be made at the discretion of our board of directors based upon factors such as our results of operations, cash flow, financial condition, business strategies and prospects, capital requirements, regulatory constraints to the extent relevant, availability of foreign currency and other considerations that the board deems relevant.</w:t>
      </w:r>
    </w:p>
    <w:p>
      <w:pPr>
        <w:spacing w:after="0" w:line="187" w:lineRule="exact"/>
        <w:rPr>
          <w:sz w:val="20"/>
          <w:szCs w:val="20"/>
          <w:color w:val="auto"/>
        </w:rPr>
      </w:pPr>
    </w:p>
    <w:p>
      <w:pPr>
        <w:ind w:left="240" w:right="80" w:firstLine="971"/>
        <w:spacing w:after="0" w:line="269" w:lineRule="auto"/>
        <w:rPr>
          <w:sz w:val="20"/>
          <w:szCs w:val="20"/>
          <w:color w:val="auto"/>
        </w:rPr>
      </w:pPr>
      <w:r>
        <w:rPr>
          <w:rFonts w:ascii="Times New Roman" w:cs="Times New Roman" w:eastAsia="Times New Roman" w:hAnsi="Times New Roman"/>
          <w:sz w:val="17"/>
          <w:szCs w:val="17"/>
          <w:color w:val="auto"/>
        </w:rPr>
        <w:t>We are a holding company registered by way of continuation under the laws of the Cayman Islands. We may rely on dividends from our subsidiaries in China for our cash requirements, including any payment of dividends to our shareholders. PRC regulations may restrict the ability of our PRC subsidiaries to pay dividends to us. See “Item 3.D. Key Information—Risk Factors—Risks Related to Our Corporate Structure—We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4"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ordinary shares underlying our ADSs to the depositary, as the registered holder of such ordinary shares, and the depositary will then pay such amounts to our ADS holders in proportion to the ordinary shares underlying the ADSs held by such ADS holders, subject to the terms of the deposit agreement, including the fees and expenses payable thereunder. Cash dividends on our ordinary shares, if any, will be paid in U.S. dollars.</w:t>
      </w:r>
    </w:p>
    <w:p>
      <w:pPr>
        <w:spacing w:after="0" w:line="328" w:lineRule="exact"/>
        <w:rPr>
          <w:sz w:val="20"/>
          <w:szCs w:val="20"/>
          <w:color w:val="auto"/>
        </w:rPr>
      </w:pPr>
    </w:p>
    <w:p>
      <w:pPr>
        <w:ind w:left="660" w:hanging="430"/>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12" w:lineRule="exact"/>
        <w:rPr>
          <w:sz w:val="20"/>
          <w:szCs w:val="20"/>
          <w:color w:val="auto"/>
        </w:rPr>
      </w:pPr>
    </w:p>
    <w:p>
      <w:pPr>
        <w:ind w:left="240" w:right="640" w:firstLine="971"/>
        <w:spacing w:after="0" w:line="270"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12"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The Offer and Listing</w:t>
      </w:r>
    </w:p>
    <w:p>
      <w:pPr>
        <w:spacing w:after="0" w:line="124" w:lineRule="exact"/>
        <w:rPr>
          <w:sz w:val="20"/>
          <w:szCs w:val="20"/>
          <w:color w:val="auto"/>
        </w:rPr>
      </w:pPr>
    </w:p>
    <w:p>
      <w:pPr>
        <w:ind w:left="660" w:hanging="430"/>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Listing Details</w:t>
      </w:r>
    </w:p>
    <w:p>
      <w:pPr>
        <w:spacing w:after="0" w:line="112" w:lineRule="exact"/>
        <w:rPr>
          <w:sz w:val="20"/>
          <w:szCs w:val="20"/>
          <w:color w:val="auto"/>
        </w:rPr>
      </w:pPr>
    </w:p>
    <w:p>
      <w:pPr>
        <w:ind w:left="240" w:right="120" w:firstLine="971"/>
        <w:spacing w:after="0" w:line="270" w:lineRule="auto"/>
        <w:rPr>
          <w:sz w:val="20"/>
          <w:szCs w:val="20"/>
          <w:color w:val="auto"/>
        </w:rPr>
      </w:pPr>
      <w:r>
        <w:rPr>
          <w:rFonts w:ascii="Times New Roman" w:cs="Times New Roman" w:eastAsia="Times New Roman" w:hAnsi="Times New Roman"/>
          <w:sz w:val="18"/>
          <w:szCs w:val="18"/>
          <w:color w:val="auto"/>
        </w:rPr>
        <w:t>Our ADSs, each representing two of our Class A ordinary shares, have been listed on Nasdaq since May 22, 2014. Our ADSs trade under the symbol “JD.”</w:t>
      </w:r>
    </w:p>
    <w:p>
      <w:pPr>
        <w:spacing w:after="0" w:line="169"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June 18, 2020 under the stock code “9618.” Our RMB counter was launched and became effective since June 19, 2023 under the stock code “89618.”</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320" w:top="476" w:right="5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1200" w:right="8740" w:hanging="970"/>
        <w:spacing w:after="0" w:line="433" w:lineRule="auto"/>
        <w:tabs>
          <w:tab w:leader="none" w:pos="652"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Plan of Distribution </w:t>
      </w:r>
      <w:r>
        <w:rPr>
          <w:rFonts w:ascii="Times New Roman" w:cs="Times New Roman" w:eastAsia="Times New Roman" w:hAnsi="Times New Roman"/>
          <w:sz w:val="17"/>
          <w:szCs w:val="17"/>
          <w:color w:val="auto"/>
        </w:rPr>
        <w:t>Not applicable.</w:t>
      </w:r>
    </w:p>
    <w:p>
      <w:pPr>
        <w:spacing w:after="0" w:line="180" w:lineRule="exact"/>
        <w:rPr>
          <w:rFonts w:ascii="Times New Roman" w:cs="Times New Roman" w:eastAsia="Times New Roman" w:hAnsi="Times New Roman"/>
          <w:sz w:val="17"/>
          <w:szCs w:val="17"/>
          <w:b w:val="1"/>
          <w:bCs w:val="1"/>
          <w:color w:val="auto"/>
        </w:rPr>
      </w:pPr>
    </w:p>
    <w:p>
      <w:pPr>
        <w:ind w:left="660" w:hanging="430"/>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ADSs have been listed on Nasdaq since May 22, 2014 under the symbol “JD.”</w:t>
      </w:r>
    </w:p>
    <w:p>
      <w:pPr>
        <w:spacing w:after="0" w:line="216" w:lineRule="exact"/>
        <w:rPr>
          <w:sz w:val="20"/>
          <w:szCs w:val="20"/>
          <w:color w:val="auto"/>
        </w:rPr>
      </w:pPr>
    </w:p>
    <w:p>
      <w:pPr>
        <w:ind w:left="240" w:right="280" w:firstLine="971"/>
        <w:spacing w:after="0" w:line="270" w:lineRule="auto"/>
        <w:rPr>
          <w:sz w:val="20"/>
          <w:szCs w:val="20"/>
          <w:color w:val="auto"/>
        </w:rPr>
      </w:pPr>
      <w:r>
        <w:rPr>
          <w:rFonts w:ascii="Times New Roman" w:cs="Times New Roman" w:eastAsia="Times New Roman" w:hAnsi="Times New Roman"/>
          <w:sz w:val="18"/>
          <w:szCs w:val="18"/>
          <w:color w:val="auto"/>
        </w:rPr>
        <w:t>Our Class A ordinary shares have been listed on the Hong Kong Stock Exchange since June 18, 2020 under the stock code “9618.” Our RMB counter was launched and became effective since June 19, 2023 under the stock code “89618.”</w:t>
      </w:r>
    </w:p>
    <w:p>
      <w:pPr>
        <w:spacing w:after="0" w:line="312" w:lineRule="exact"/>
        <w:rPr>
          <w:sz w:val="20"/>
          <w:szCs w:val="20"/>
          <w:color w:val="auto"/>
        </w:rPr>
      </w:pPr>
    </w:p>
    <w:p>
      <w:pPr>
        <w:ind w:left="1200" w:right="8740" w:hanging="970"/>
        <w:spacing w:after="0" w:line="433" w:lineRule="auto"/>
        <w:tabs>
          <w:tab w:leader="none" w:pos="652"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80" w:lineRule="exact"/>
        <w:rPr>
          <w:rFonts w:ascii="Times New Roman" w:cs="Times New Roman" w:eastAsia="Times New Roman" w:hAnsi="Times New Roman"/>
          <w:sz w:val="17"/>
          <w:szCs w:val="17"/>
          <w:b w:val="1"/>
          <w:bCs w:val="1"/>
          <w:color w:val="auto"/>
        </w:rPr>
      </w:pPr>
    </w:p>
    <w:p>
      <w:pPr>
        <w:ind w:left="660" w:hanging="430"/>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9" w:lineRule="exact"/>
        <w:rPr>
          <w:sz w:val="20"/>
          <w:szCs w:val="20"/>
          <w:color w:val="auto"/>
        </w:rPr>
      </w:pPr>
    </w:p>
    <w:p>
      <w:pPr>
        <w:jc w:val="right"/>
        <w:ind w:left="1200" w:right="8740" w:hanging="970"/>
        <w:spacing w:after="0" w:line="433" w:lineRule="auto"/>
        <w:tabs>
          <w:tab w:leader="none" w:pos="652"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of the Issue </w:t>
      </w:r>
      <w:r>
        <w:rPr>
          <w:rFonts w:ascii="Times New Roman" w:cs="Times New Roman" w:eastAsia="Times New Roman" w:hAnsi="Times New Roman"/>
          <w:sz w:val="17"/>
          <w:szCs w:val="17"/>
          <w:color w:val="auto"/>
        </w:rPr>
        <w:t>Not applicable.</w:t>
      </w:r>
    </w:p>
    <w:p>
      <w:pPr>
        <w:spacing w:after="0" w:line="180"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24" w:lineRule="exact"/>
        <w:rPr>
          <w:sz w:val="20"/>
          <w:szCs w:val="20"/>
          <w:color w:val="auto"/>
        </w:rPr>
      </w:pPr>
    </w:p>
    <w:p>
      <w:pPr>
        <w:ind w:left="660" w:hanging="430"/>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9" w:lineRule="exact"/>
        <w:rPr>
          <w:sz w:val="20"/>
          <w:szCs w:val="20"/>
          <w:color w:val="auto"/>
        </w:rPr>
      </w:pPr>
    </w:p>
    <w:p>
      <w:pPr>
        <w:ind w:left="660" w:hanging="430"/>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12" w:lineRule="exact"/>
        <w:rPr>
          <w:sz w:val="20"/>
          <w:szCs w:val="20"/>
          <w:color w:val="auto"/>
        </w:rPr>
      </w:pPr>
    </w:p>
    <w:p>
      <w:pPr>
        <w:ind w:left="240" w:right="540" w:firstLine="971"/>
        <w:spacing w:after="0" w:line="258" w:lineRule="auto"/>
        <w:rPr>
          <w:sz w:val="20"/>
          <w:szCs w:val="20"/>
          <w:color w:val="auto"/>
        </w:rPr>
      </w:pPr>
      <w:r>
        <w:rPr>
          <w:rFonts w:ascii="Times New Roman" w:cs="Times New Roman" w:eastAsia="Times New Roman" w:hAnsi="Times New Roman"/>
          <w:sz w:val="18"/>
          <w:szCs w:val="18"/>
          <w:color w:val="auto"/>
        </w:rPr>
        <w:t>We are a Cayman Islands exempted company with limited liability and our affairs are governed by our memorandum and articles of association, as amended and restated from time to time, and the Companies Act (As Revised) of the Cayman Islands, which is referred to as the Companies Act below, and the common law of the Cayman Islands.</w:t>
      </w:r>
    </w:p>
    <w:p>
      <w:pPr>
        <w:spacing w:after="0" w:line="179"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 memorandum and articles of association, which were adopted by a special resolution passed at the annual general meeting of our company held on June 21, 2023, insofar as they relate to the material terms of our ordinary shares.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12"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Maples Corporate Services Limited at PO Box 309, Ugland House, Grand Cayman, KY1-1104, Cayman Islands, or at such other location within the Cayman Islands as our board of directors may from time to time decide. The objects for which our company is established are unrestricted and we have full power and authority to carry out any object not prohibited by the Companies Act, as amended from time to time, or any other law of the Cayman Islands.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“Item 6.C. Directors, Senior Management and Employees—Board Practices.”</w:t>
      </w:r>
    </w:p>
    <w:p>
      <w:pPr>
        <w:spacing w:after="0" w:line="3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All of our issued and outstanding ordinary shares are fully paid and non-assessable.</w:t>
      </w:r>
    </w:p>
    <w:p>
      <w:pPr>
        <w:spacing w:after="0" w:line="1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20"/>
          </w:cols>
          <w:pgMar w:left="320" w:top="476" w:right="5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right="260" w:firstLine="971"/>
        <w:spacing w:after="0" w:line="258"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Our shareholders who are nonresidents of the Cayman Islands may freely hold and vote their ordinary shares. Our company will issue only non-negotiable shares, and will not issue bearer or negotiable shares.</w:t>
      </w:r>
    </w:p>
    <w:p>
      <w:pPr>
        <w:spacing w:after="0" w:line="177" w:lineRule="exact"/>
        <w:rPr>
          <w:sz w:val="20"/>
          <w:szCs w:val="20"/>
          <w:color w:val="auto"/>
        </w:rPr>
      </w:pPr>
    </w:p>
    <w:p>
      <w:pPr>
        <w:jc w:val="both"/>
        <w:ind w:left="240" w:right="54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Class B ordinary shares will have the same rights except for voting and conversion rights. Our ordinary shares are issued in registered form. Our shareholders who are non-residents of the Cayman Islands may freely hold and vote their shares.</w:t>
      </w:r>
    </w:p>
    <w:p>
      <w:pPr>
        <w:spacing w:after="0" w:line="176"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Class B ordinary share is convertible into one Class A ordinary share at any time by the holder thereof. Class A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are not convertible into Class B ordinary shares under any circumstances. Upon (i) any direct or indirect sale, transfer, assignment or disposition of Class B ordinary shares or the voting power attached to Class B ordinary shares by a holder thereof through voting proxy or otherwise to any person or entity that is not an Affiliate (as defined in our current memorandum and articles of association) of such holder, or (ii) the direct or indirect sale, transfer, assignment or disposition of a majority of the issued and outstanding voting securities or the voting power attached to such voting securities or the sale, transfer, assignment or disposition of all or substantially all of the assets of a holder of Class B ordinary shares that is an entity to any person or entity that is not an Affiliate of such holder, such Class B ordinary shares will be automatically and immediately converted into an equal number of Class A ordinary shares. All Class B ordinary shares will be automatically and immediately converted into an equal number of Class A ordinary shares when Mr. Richard Qiangdong Liu ceases to be a director and the chief executive officer of our company, or in some other specified situations as set out in our memorandum and articles of association.</w:t>
      </w:r>
    </w:p>
    <w:p>
      <w:pPr>
        <w:spacing w:after="0" w:line="188" w:lineRule="exact"/>
        <w:rPr>
          <w:sz w:val="20"/>
          <w:szCs w:val="20"/>
          <w:color w:val="auto"/>
        </w:rPr>
      </w:pPr>
    </w:p>
    <w:p>
      <w:pPr>
        <w:ind w:left="240" w:right="80" w:firstLine="971"/>
        <w:spacing w:after="0" w:line="270"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our ordinary shares are entitled to such dividends as may be declared by our board of directors. In addition,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 Dividends received by each Class B ordinary share and Class A ordinary share in any dividend distribution shall be the same.</w:t>
      </w:r>
    </w:p>
    <w:p>
      <w:pPr>
        <w:spacing w:after="0" w:line="169" w:lineRule="exact"/>
        <w:rPr>
          <w:sz w:val="20"/>
          <w:szCs w:val="20"/>
          <w:color w:val="auto"/>
        </w:rPr>
      </w:pPr>
    </w:p>
    <w:p>
      <w:pPr>
        <w:ind w:left="240" w:right="40" w:firstLine="971"/>
        <w:spacing w:after="0" w:line="249"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Our Class A ordinary shares and Class B ordinary shares vote together as a single class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shareholders, except as may otherwise be required by law or provided for in our current memorandum and articles of association. In respect of matters requiring shareholders’ vote, on a poll, each Class A ordinary share is entitled to one vote, and each Class B ordinary share is entitled to twenty votes, except for where any holder of such shares are required by the Hong Kong Listing Rules to abstain from voting to approve the matter under consideration. Voting at any shareholders’ meeting is by show of hands unless a poll is (before or on the declaration of the result of the show of hands) demanded. A poll may be demanded by the chairman of such meeting or any shareholder holding not less than 10% of the votes of the issued and outstanding voting shares in our company present in person or by proxy.</w:t>
      </w:r>
    </w:p>
    <w:p>
      <w:pPr>
        <w:spacing w:after="0" w:line="191" w:lineRule="exact"/>
        <w:rPr>
          <w:sz w:val="20"/>
          <w:szCs w:val="20"/>
          <w:color w:val="auto"/>
        </w:rPr>
      </w:pPr>
    </w:p>
    <w:p>
      <w:pPr>
        <w:ind w:left="240" w:right="40" w:firstLine="971"/>
        <w:spacing w:after="0" w:line="266" w:lineRule="auto"/>
        <w:rPr>
          <w:sz w:val="20"/>
          <w:szCs w:val="20"/>
          <w:color w:val="auto"/>
        </w:rPr>
      </w:pPr>
      <w:r>
        <w:rPr>
          <w:rFonts w:ascii="Times New Roman" w:cs="Times New Roman" w:eastAsia="Times New Roman" w:hAnsi="Times New Roman"/>
          <w:sz w:val="17"/>
          <w:szCs w:val="17"/>
          <w:color w:val="auto"/>
        </w:rPr>
        <w:t>A quorum required for a meeting of shareholders consists of one or more shareholders present in person or by proxy or, if a corporation or other non-natural person, by its duly authorized representative, and holding shares which represent, in aggregate, (i) not less than 10% of the votes attaching to all issued and outstanding shares of our Company, for as long as the shares remain listed on the Hong Kong Stock Exchange, or</w:t>
      </w:r>
    </w:p>
    <w:p>
      <w:pPr>
        <w:spacing w:after="0" w:line="2" w:lineRule="exact"/>
        <w:rPr>
          <w:sz w:val="20"/>
          <w:szCs w:val="20"/>
          <w:color w:val="auto"/>
        </w:rPr>
      </w:pPr>
    </w:p>
    <w:p>
      <w:pPr>
        <w:ind w:left="240" w:right="60" w:hanging="10"/>
        <w:spacing w:after="0" w:line="247" w:lineRule="auto"/>
        <w:tabs>
          <w:tab w:leader="none" w:pos="4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not less than one-third of the votes attaching to all issued and outstanding shares of our company and entitled to vote, present in person or by proxy or, if a corporation or other non-natural person, by its duly authorized representative, shall be quorum for all purposes. Shareholders may be present in person or by proxy or, if the shareholder is a legal entity, by its duly authorized representative.</w:t>
      </w:r>
    </w:p>
    <w:p>
      <w:pPr>
        <w:spacing w:after="0" w:line="189"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cast by those shareholders entitled to vote who are present in person or by proxy at a general meeting. Holders of the ordinary shares may, among other things, divide or consolidate their shares by ordinary resolution. A special resolution requires the affirmative vote of no less than two-thirds of the votes cast by those shareholders entitled to vote who are present in person or by proxy at a general meeting. A special resolution will be required for important matters such as a change of name or making changes to our current memorandum and articles of association. Both ordinary resolutions and special resolutions may also be passed by a unanimous written resolution signed by all the shareholders of our company, as permitted by the Companies Act and our current memorandum and articles of association.</w:t>
      </w:r>
    </w:p>
    <w:p>
      <w:pPr>
        <w:spacing w:after="0" w:line="1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80"/>
          </w:cols>
          <w:pgMar w:left="320" w:top="476" w:right="5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20" w:firstLine="971"/>
        <w:spacing w:after="0" w:line="248" w:lineRule="auto"/>
        <w:rPr>
          <w:sz w:val="20"/>
          <w:szCs w:val="20"/>
          <w:color w:val="auto"/>
        </w:rPr>
      </w:pPr>
      <w:r>
        <w:rPr>
          <w:rFonts w:ascii="Times New Roman" w:cs="Times New Roman" w:eastAsia="Times New Roman" w:hAnsi="Times New Roman"/>
          <w:sz w:val="18"/>
          <w:szCs w:val="18"/>
          <w:color w:val="auto"/>
        </w:rPr>
        <w:t>Under our current memorandum and articles of association, so long as the total issued and outstanding Class B ordinary shares constitute a majority of our aggregate voting rights of our company and shareholders of our company immediately prior to the completion of our initial public offering (exclusive of Max Smart Limited, Fortune Rising Holdings Limited, Mr. Richard Qiangdong Liu and their Affiliates) hold a majority of our total issued and outstanding Class A ordinary shares, any amendments to our current memorandum and articles of association and certain related party transactions between Mr. Richard Qiangdong Liu or any of his immediate family members or Affiliates, on one hand, and our company or any of our company’s subsidiaries or consolidated affiliated entities on the other hand, require approval by both (i) holders of a majority of the total issued and outstanding Class A ordinary shares (exclusive of Max Smart Limited, Fortune Rising Holdings Limited, Mr. Richard Qiangdong Liu and their Affiliates) and (ii) holders of a majority of our aggregate voting rights in addition to a special resolution (in the case of amendments to our memorandum and articles of association) or an ordinary resolution (in any other case).</w:t>
      </w:r>
    </w:p>
    <w:p>
      <w:pPr>
        <w:spacing w:after="0" w:line="188" w:lineRule="exact"/>
        <w:rPr>
          <w:sz w:val="20"/>
          <w:szCs w:val="20"/>
          <w:color w:val="auto"/>
        </w:rPr>
      </w:pPr>
    </w:p>
    <w:p>
      <w:pPr>
        <w:jc w:val="both"/>
        <w:ind w:left="240" w:right="60" w:firstLine="971"/>
        <w:spacing w:after="0" w:line="270" w:lineRule="auto"/>
        <w:rPr>
          <w:sz w:val="20"/>
          <w:szCs w:val="20"/>
          <w:color w:val="auto"/>
        </w:rPr>
      </w:pP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On a winding up of our company, if the assets available for distribution among our shareholders shall be more than sufficient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repay the whole of the share capital at the commencement of the winding up, the surplus will be distributed among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69" w:lineRule="exact"/>
        <w:rPr>
          <w:sz w:val="20"/>
          <w:szCs w:val="20"/>
          <w:color w:val="auto"/>
        </w:rPr>
      </w:pPr>
    </w:p>
    <w:p>
      <w:pPr>
        <w:ind w:left="240" w:right="34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unpaid on their shares. The shares that have been called upon and remain unpaid are subject to forfeiture.</w:t>
      </w:r>
    </w:p>
    <w:p>
      <w:pPr>
        <w:spacing w:after="0" w:line="164"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current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8" w:lineRule="exact"/>
        <w:rPr>
          <w:sz w:val="20"/>
          <w:szCs w:val="20"/>
          <w:color w:val="auto"/>
        </w:rPr>
      </w:pPr>
    </w:p>
    <w:p>
      <w:pPr>
        <w:jc w:val="both"/>
        <w:ind w:left="240" w:right="12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The rights attached to any class of shares (unless otherwise provided by the terms of issue of the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class or series), may only be materially adversely varied with the consent in writing of the holders of a majority of the issued shares of that class or series or with the sanction of a special resolution passed at a separate meeting of the holders of the shares of that class.</w:t>
      </w:r>
    </w:p>
    <w:p>
      <w:pPr>
        <w:spacing w:after="0" w:line="176" w:lineRule="exact"/>
        <w:rPr>
          <w:sz w:val="20"/>
          <w:szCs w:val="20"/>
          <w:color w:val="auto"/>
        </w:rPr>
      </w:pPr>
    </w:p>
    <w:p>
      <w:pPr>
        <w:ind w:left="240" w:right="36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current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73" w:lineRule="exact"/>
        <w:rPr>
          <w:sz w:val="20"/>
          <w:szCs w:val="20"/>
          <w:color w:val="auto"/>
        </w:rPr>
      </w:pPr>
    </w:p>
    <w:p>
      <w:pPr>
        <w:ind w:left="1180" w:right="220" w:hanging="421"/>
        <w:spacing w:after="0" w:line="270" w:lineRule="auto"/>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20"/>
          </w:cols>
          <w:pgMar w:left="320" w:top="476" w:right="5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80" w:firstLine="971"/>
        <w:spacing w:after="0" w:line="300"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current memorandum and articles of association for a proper purpose and for what they believe in good faith to be in the best interests of our company.</w:t>
      </w:r>
    </w:p>
    <w:p>
      <w:pPr>
        <w:spacing w:after="0" w:line="144" w:lineRule="exact"/>
        <w:rPr>
          <w:sz w:val="20"/>
          <w:szCs w:val="20"/>
          <w:color w:val="auto"/>
        </w:rPr>
      </w:pPr>
    </w:p>
    <w:p>
      <w:pPr>
        <w:ind w:left="240" w:right="2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General Meetings of Shareholders and Shareholder Proposals</w:t>
      </w:r>
      <w:r>
        <w:rPr>
          <w:rFonts w:ascii="Times New Roman" w:cs="Times New Roman" w:eastAsia="Times New Roman" w:hAnsi="Times New Roman"/>
          <w:sz w:val="18"/>
          <w:szCs w:val="18"/>
          <w:color w:val="auto"/>
        </w:rPr>
        <w:t>. Our shareholders’ general meetings may be held in such place within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the Cayman Islands as our board of directors considers appropriate. Our current memorandum and articles of association provide that we shall in each year hold a general meeting as our annual general meeting within six months (or such other period as may be permitted by the Hong Kong Listing Rules or The Stock Exchange of Hong Kong Limited) after the end of the Company’s financial year, for as long as our Class A ordinary shares remain listed on the Hong Kong Stock Exchange.</w:t>
      </w:r>
    </w:p>
    <w:p>
      <w:pPr>
        <w:spacing w:after="0" w:line="184" w:lineRule="exact"/>
        <w:rPr>
          <w:sz w:val="20"/>
          <w:szCs w:val="20"/>
          <w:color w:val="auto"/>
        </w:rPr>
      </w:pPr>
    </w:p>
    <w:p>
      <w:pPr>
        <w:ind w:left="240" w:right="40" w:firstLine="971"/>
        <w:spacing w:after="0" w:line="269" w:lineRule="auto"/>
        <w:rPr>
          <w:sz w:val="20"/>
          <w:szCs w:val="20"/>
          <w:color w:val="auto"/>
        </w:rPr>
      </w:pPr>
      <w:r>
        <w:rPr>
          <w:rFonts w:ascii="Times New Roman" w:cs="Times New Roman" w:eastAsia="Times New Roman" w:hAnsi="Times New Roman"/>
          <w:sz w:val="17"/>
          <w:szCs w:val="17"/>
          <w:color w:val="auto"/>
        </w:rPr>
        <w:t>Shareholders’ annual general meetings and any other general meetings of our shareholders may be convened by a majority of our board of directors or our chairman. An annual general meeting shall be called by not less than 21 days’ notice in writing. For any other general meeting (including any extraordinary general meeting), at least 14 days’ notice, for as long as our Class A ordinary shares remain listed on the Hong Kong Stock Exchange, or otherwise at least 7 days’ notice, shall be given to those persons whose names appear as members in our register of members on the date the notice is given (or on any other date determined by our directors to be the record date for such meeting) and who are entitled to vote at the meeting.</w:t>
      </w:r>
    </w:p>
    <w:p>
      <w:pPr>
        <w:spacing w:after="0" w:line="174" w:lineRule="exact"/>
        <w:rPr>
          <w:sz w:val="20"/>
          <w:szCs w:val="20"/>
          <w:color w:val="auto"/>
        </w:rPr>
      </w:pPr>
    </w:p>
    <w:p>
      <w:pPr>
        <w:ind w:left="240" w:right="20" w:firstLine="971"/>
        <w:spacing w:after="0" w:line="265" w:lineRule="auto"/>
        <w:rPr>
          <w:sz w:val="20"/>
          <w:szCs w:val="20"/>
          <w:color w:val="auto"/>
        </w:rPr>
      </w:pPr>
      <w:r>
        <w:rPr>
          <w:rFonts w:ascii="Times New Roman" w:cs="Times New Roman" w:eastAsia="Times New Roman" w:hAnsi="Times New Roman"/>
          <w:sz w:val="17"/>
          <w:szCs w:val="17"/>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current memorandum and articles of association allow one or more of our shareholders holding shares representing in aggregate (i) no less than 10%, on a one vote per share basis, for as long as our Class A ordinary shares remain listed on the Hong Kong Stock Exchange or (ii) otherwise not less than one-third, of the votes attaching to all issued and outstanding shares which, as at that date of the deposit, carry the right to vote at general meetings of our company, to requisition an extraordinary general meeting of our shareholders, in which case our directors are obliged to call such meeting and to put the resolutions so requisitioned to a vote at such meeting; however, our current memorandum and articles of association do not provide our shareholders with any right to put any proposals before annual general meetings or extraordinary general meetings not called by such shareholders.</w:t>
      </w:r>
    </w:p>
    <w:p>
      <w:pPr>
        <w:spacing w:after="0" w:line="1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Limitations on the Right to Own Shares</w:t>
      </w:r>
      <w:r>
        <w:rPr>
          <w:rFonts w:ascii="Times New Roman" w:cs="Times New Roman" w:eastAsia="Times New Roman" w:hAnsi="Times New Roman"/>
          <w:sz w:val="18"/>
          <w:szCs w:val="18"/>
          <w:color w:val="auto"/>
        </w:rPr>
        <w:t>. There are no limitations on the right to own our shares.</w:t>
      </w:r>
    </w:p>
    <w:p>
      <w:pPr>
        <w:spacing w:after="0" w:line="216" w:lineRule="exact"/>
        <w:rPr>
          <w:sz w:val="20"/>
          <w:szCs w:val="20"/>
          <w:color w:val="auto"/>
        </w:rPr>
      </w:pPr>
    </w:p>
    <w:p>
      <w:pPr>
        <w:ind w:left="24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 Any of our shareholders may transfer all or any of his or her ordinary shares by an instrument of transfer in the usual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form or any other form approved by our board of directors.</w:t>
      </w:r>
    </w:p>
    <w:p>
      <w:pPr>
        <w:spacing w:after="0" w:line="166" w:lineRule="exact"/>
        <w:rPr>
          <w:sz w:val="20"/>
          <w:szCs w:val="20"/>
          <w:color w:val="auto"/>
        </w:rPr>
      </w:pPr>
    </w:p>
    <w:p>
      <w:pPr>
        <w:ind w:left="240" w:firstLine="971"/>
        <w:spacing w:after="0" w:line="270" w:lineRule="auto"/>
        <w:rPr>
          <w:sz w:val="20"/>
          <w:szCs w:val="20"/>
          <w:color w:val="auto"/>
        </w:rPr>
      </w:pPr>
      <w:r>
        <w:rPr>
          <w:rFonts w:ascii="Times New Roman" w:cs="Times New Roman" w:eastAsia="Times New Roman" w:hAnsi="Times New Roman"/>
          <w:sz w:val="18"/>
          <w:szCs w:val="18"/>
          <w:color w:val="auto"/>
        </w:rPr>
        <w:t>However, our board of directors may, in its absolute discretion, decline to register any transfer of any ordinary share which is not fully paid up or on which our company has a lien. Our board of directors may also decline to register any transfer of any ordinary share unless:</w:t>
      </w:r>
    </w:p>
    <w:p>
      <w:pPr>
        <w:spacing w:after="0" w:line="76" w:lineRule="exact"/>
        <w:rPr>
          <w:sz w:val="20"/>
          <w:szCs w:val="20"/>
          <w:color w:val="auto"/>
        </w:rPr>
      </w:pPr>
    </w:p>
    <w:p>
      <w:pPr>
        <w:ind w:left="1180" w:right="540" w:hanging="421"/>
        <w:spacing w:after="0" w:line="270" w:lineRule="auto"/>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transferred are free of any lien in favor of us;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related to the transfer has been paid to us; or</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transfer is not to more than four joint holders.</w:t>
      </w:r>
    </w:p>
    <w:p>
      <w:pPr>
        <w:spacing w:after="0" w:line="216" w:lineRule="exact"/>
        <w:rPr>
          <w:sz w:val="20"/>
          <w:szCs w:val="20"/>
          <w:color w:val="auto"/>
        </w:rPr>
      </w:pPr>
    </w:p>
    <w:p>
      <w:pPr>
        <w:ind w:left="240" w:right="260" w:firstLine="971"/>
        <w:spacing w:after="0" w:line="270" w:lineRule="auto"/>
        <w:rPr>
          <w:sz w:val="20"/>
          <w:szCs w:val="20"/>
          <w:color w:val="auto"/>
        </w:rPr>
      </w:pPr>
      <w:r>
        <w:rPr>
          <w:rFonts w:ascii="Times New Roman" w:cs="Times New Roman" w:eastAsia="Times New Roman" w:hAnsi="Times New Roman"/>
          <w:sz w:val="18"/>
          <w:szCs w:val="18"/>
          <w:color w:val="auto"/>
        </w:rPr>
        <w:t>If our directors refuse to register a transfer they are required, within three months after the date on which the instrument of transfer was lodged, to send to each of the transferor and the transferee notice of such refusal.</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320" w:top="476" w:right="5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40" w:firstLine="971"/>
        <w:spacing w:after="0" w:line="273" w:lineRule="auto"/>
        <w:rPr>
          <w:sz w:val="20"/>
          <w:szCs w:val="20"/>
          <w:color w:val="auto"/>
        </w:rPr>
      </w:pPr>
      <w:r>
        <w:rPr>
          <w:rFonts w:ascii="Times New Roman" w:cs="Times New Roman" w:eastAsia="Times New Roman" w:hAnsi="Times New Roman"/>
          <w:sz w:val="18"/>
          <w:szCs w:val="18"/>
          <w:i w:val="1"/>
          <w:iCs w:val="1"/>
          <w:color w:val="auto"/>
        </w:rPr>
        <w:t>Directors’ Power to Issue Shares</w:t>
      </w:r>
      <w:r>
        <w:rPr>
          <w:rFonts w:ascii="Times New Roman" w:cs="Times New Roman" w:eastAsia="Times New Roman" w:hAnsi="Times New Roman"/>
          <w:sz w:val="18"/>
          <w:szCs w:val="18"/>
          <w:color w:val="auto"/>
        </w:rPr>
        <w:t>. Our current memorandum and articles of association authorize our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66" w:lineRule="exact"/>
        <w:rPr>
          <w:sz w:val="20"/>
          <w:szCs w:val="20"/>
          <w:color w:val="auto"/>
        </w:rPr>
      </w:pPr>
    </w:p>
    <w:p>
      <w:pPr>
        <w:ind w:left="240" w:firstLine="971"/>
        <w:spacing w:after="0" w:line="270" w:lineRule="auto"/>
        <w:rPr>
          <w:sz w:val="20"/>
          <w:szCs w:val="20"/>
          <w:color w:val="auto"/>
        </w:rPr>
      </w:pPr>
      <w:r>
        <w:rPr>
          <w:rFonts w:ascii="Times New Roman" w:cs="Times New Roman" w:eastAsia="Times New Roman" w:hAnsi="Times New Roman"/>
          <w:sz w:val="18"/>
          <w:szCs w:val="18"/>
          <w:color w:val="auto"/>
        </w:rPr>
        <w:t>Our current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76" w:lineRule="exact"/>
        <w:rPr>
          <w:sz w:val="20"/>
          <w:szCs w:val="20"/>
          <w:color w:val="auto"/>
        </w:rPr>
      </w:pPr>
    </w:p>
    <w:p>
      <w:pPr>
        <w:ind w:left="1180" w:hanging="421"/>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16" w:lineRule="exact"/>
        <w:rPr>
          <w:sz w:val="20"/>
          <w:szCs w:val="20"/>
          <w:color w:val="auto"/>
        </w:rPr>
      </w:pPr>
    </w:p>
    <w:p>
      <w:pPr>
        <w:ind w:left="240" w:right="200" w:firstLine="971"/>
        <w:spacing w:after="0" w:line="270"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of available authorized but unissued shares. Issuance of these shares may dilute the voting power of holders of ordinary shares.</w:t>
      </w:r>
    </w:p>
    <w:p>
      <w:pPr>
        <w:spacing w:after="0" w:line="167" w:lineRule="exact"/>
        <w:rPr>
          <w:sz w:val="20"/>
          <w:szCs w:val="20"/>
          <w:color w:val="auto"/>
        </w:rPr>
      </w:pPr>
    </w:p>
    <w:p>
      <w:pPr>
        <w:ind w:left="240" w:right="260" w:firstLine="971"/>
        <w:spacing w:after="0" w:line="254"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with limited liability under the Companies Act. The Companies Act in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91" w:lineRule="exact"/>
        <w:rPr>
          <w:sz w:val="20"/>
          <w:szCs w:val="20"/>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required to be open to inspection;</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123" w:lineRule="exact"/>
        <w:rPr>
          <w:rFonts w:ascii="Times New Roman" w:cs="Times New Roman" w:eastAsia="Times New Roman" w:hAnsi="Times New Roman"/>
          <w:sz w:val="18"/>
          <w:szCs w:val="18"/>
          <w:color w:val="auto"/>
        </w:rPr>
      </w:pPr>
    </w:p>
    <w:p>
      <w:pPr>
        <w:ind w:left="1180" w:right="180" w:hanging="421"/>
        <w:spacing w:after="0" w:line="270" w:lineRule="auto"/>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given for up to 30 years);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216" w:lineRule="exact"/>
        <w:rPr>
          <w:sz w:val="20"/>
          <w:szCs w:val="20"/>
          <w:color w:val="auto"/>
        </w:rPr>
      </w:pPr>
    </w:p>
    <w:p>
      <w:pPr>
        <w:ind w:left="240" w:right="280" w:firstLine="971"/>
        <w:spacing w:after="0" w:line="25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We are subject to reporting and other informational requirements of the Exchange Act, as applicable to foreign private issuers. Except as otherwise disclosed in this annual report, we currently intend to comply with the Nasdaq rules in lieu of following home country practice.</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980"/>
          </w:cols>
          <w:pgMar w:left="320" w:top="476" w:right="5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Register of Members</w:t>
      </w:r>
      <w:r>
        <w:rPr>
          <w:rFonts w:ascii="Times New Roman" w:cs="Times New Roman" w:eastAsia="Times New Roman" w:hAnsi="Times New Roman"/>
          <w:sz w:val="18"/>
          <w:szCs w:val="18"/>
          <w:color w:val="auto"/>
        </w:rPr>
        <w:t>. Under the Companies Act, we must keep a register of members and there should be entered therein:</w:t>
      </w:r>
    </w:p>
    <w:p>
      <w:pPr>
        <w:spacing w:after="0" w:line="126" w:lineRule="exact"/>
        <w:rPr>
          <w:sz w:val="20"/>
          <w:szCs w:val="20"/>
          <w:color w:val="auto"/>
        </w:rPr>
      </w:pPr>
    </w:p>
    <w:p>
      <w:pPr>
        <w:ind w:left="1180" w:hanging="421"/>
        <w:spacing w:after="0"/>
        <w:tabs>
          <w:tab w:leader="none" w:pos="11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and addresses of our members, together with a statement of the shares held by each member, and such statement shall confirm</w:t>
      </w:r>
    </w:p>
    <w:p>
      <w:pPr>
        <w:spacing w:after="0" w:line="33" w:lineRule="exact"/>
        <w:rPr>
          <w:rFonts w:ascii="Times New Roman" w:cs="Times New Roman" w:eastAsia="Times New Roman" w:hAnsi="Times New Roman"/>
          <w:sz w:val="17"/>
          <w:szCs w:val="17"/>
          <w:color w:val="auto"/>
        </w:rPr>
      </w:pPr>
    </w:p>
    <w:p>
      <w:pPr>
        <w:jc w:val="both"/>
        <w:ind w:left="1180" w:right="16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amount paid or agreed to be considered as paid, on the shares of each member, (ii) the number and category of shares held by each member, and (iii) whether each relevant category of shares held by a member carries voting rights under the articles of association of the company, and if so, whether such voting rights are conditional;</w:t>
      </w:r>
    </w:p>
    <w:p>
      <w:pPr>
        <w:spacing w:after="0" w:line="96" w:lineRule="exact"/>
        <w:rPr>
          <w:rFonts w:ascii="Times New Roman" w:cs="Times New Roman" w:eastAsia="Times New Roman" w:hAnsi="Times New Roman"/>
          <w:sz w:val="17"/>
          <w:szCs w:val="17"/>
          <w:color w:val="auto"/>
        </w:rPr>
      </w:pPr>
    </w:p>
    <w:p>
      <w:pPr>
        <w:ind w:left="1180" w:hanging="421"/>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16" w:lineRule="exact"/>
        <w:rPr>
          <w:sz w:val="20"/>
          <w:szCs w:val="20"/>
          <w:color w:val="auto"/>
        </w:rPr>
      </w:pPr>
    </w:p>
    <w:p>
      <w:pPr>
        <w:ind w:left="240" w:right="120" w:firstLine="971"/>
        <w:spacing w:after="0" w:line="258"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w:t>
      </w:r>
    </w:p>
    <w:p>
      <w:pPr>
        <w:spacing w:after="0" w:line="179" w:lineRule="exact"/>
        <w:rPr>
          <w:sz w:val="20"/>
          <w:szCs w:val="20"/>
          <w:color w:val="auto"/>
        </w:rPr>
      </w:pPr>
    </w:p>
    <w:p>
      <w:pPr>
        <w:jc w:val="both"/>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328" w:lineRule="exact"/>
        <w:rPr>
          <w:sz w:val="20"/>
          <w:szCs w:val="20"/>
          <w:color w:val="auto"/>
        </w:rPr>
      </w:pPr>
    </w:p>
    <w:p>
      <w:pPr>
        <w:ind w:left="660" w:hanging="430"/>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12" w:lineRule="exact"/>
        <w:rPr>
          <w:sz w:val="20"/>
          <w:szCs w:val="20"/>
          <w:color w:val="auto"/>
        </w:rPr>
      </w:pPr>
    </w:p>
    <w:p>
      <w:pPr>
        <w:ind w:left="240" w:right="140" w:firstLine="971"/>
        <w:spacing w:after="0" w:line="258" w:lineRule="auto"/>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under this item, “Item 4. Information on the Company” or “Item 7.B. Major Shareholders and Related Party Transactions-Related Party Transactions” or elsewhere in this annual report, we have not entered into any material contract during the two years immediately preceding the date of this annual report.</w:t>
      </w:r>
    </w:p>
    <w:p>
      <w:pPr>
        <w:spacing w:after="0" w:line="322" w:lineRule="exact"/>
        <w:rPr>
          <w:sz w:val="20"/>
          <w:szCs w:val="20"/>
          <w:color w:val="auto"/>
        </w:rPr>
      </w:pPr>
    </w:p>
    <w:p>
      <w:pPr>
        <w:ind w:left="660" w:hanging="430"/>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See “Item 4.B. Information on the Company—Business Overview—Regulation—Regulations Relating to Foreign Exchange.”</w:t>
      </w:r>
    </w:p>
    <w:p>
      <w:pPr>
        <w:spacing w:after="0" w:line="359" w:lineRule="exact"/>
        <w:rPr>
          <w:sz w:val="20"/>
          <w:szCs w:val="20"/>
          <w:color w:val="auto"/>
        </w:rPr>
      </w:pPr>
    </w:p>
    <w:p>
      <w:pPr>
        <w:ind w:left="660" w:hanging="430"/>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12"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The following is a general summary of certain Cayman Islands, PRC, Hong Kong S.A.R. and United States federal income tax consequences relevant to an investment in our ADSs and Class A ordinary shares. The discussion is not intended to be, nor should it be construed as, legal or tax advice to any particular prospective purchaser. The discussion is based on laws and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Hong Kong S.A.R. and the United States. You should consult your own tax advisors with respect to the consequences of acquisition, ownership and disposition of our ADSs and Class A ordinary shares.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2"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by or to our company. There are no exchange control regulations or currency restrictions in the Cayman Islands.</w:t>
      </w:r>
    </w:p>
    <w:p>
      <w:pPr>
        <w:spacing w:after="0" w:line="187" w:lineRule="exact"/>
        <w:rPr>
          <w:sz w:val="20"/>
          <w:szCs w:val="20"/>
          <w:color w:val="auto"/>
        </w:rPr>
      </w:pPr>
    </w:p>
    <w:p>
      <w:pPr>
        <w:ind w:left="240" w:right="160" w:firstLine="971"/>
        <w:spacing w:after="0" w:line="258" w:lineRule="auto"/>
        <w:rPr>
          <w:sz w:val="20"/>
          <w:szCs w:val="20"/>
          <w:color w:val="auto"/>
        </w:rPr>
      </w:pPr>
      <w:r>
        <w:rPr>
          <w:rFonts w:ascii="Times New Roman" w:cs="Times New Roman" w:eastAsia="Times New Roman" w:hAnsi="Times New Roman"/>
          <w:sz w:val="18"/>
          <w:szCs w:val="18"/>
          <w:color w:val="auto"/>
        </w:rPr>
        <w:t>Payments of dividends and capital in respect of our ADSs or ordinary shares will not be subject to taxation in the Cayman Islands and no withholding will be required on the payment of a dividend or capital to any holder of our ADSs or ordinary shares, nor will gains derived from the disposal of our ADSs or ordinary shares be subject to Cayman Islands income or corporation tax.</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320" w:top="476" w:right="5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12" w:lineRule="exact"/>
        <w:rPr>
          <w:sz w:val="20"/>
          <w:szCs w:val="20"/>
          <w:color w:val="auto"/>
        </w:rPr>
      </w:pPr>
    </w:p>
    <w:p>
      <w:pPr>
        <w:ind w:left="240" w:firstLine="971"/>
        <w:spacing w:after="0" w:line="247"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Taxation Administration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0" w:lineRule="exact"/>
        <w:rPr>
          <w:sz w:val="20"/>
          <w:szCs w:val="20"/>
          <w:color w:val="auto"/>
        </w:rPr>
      </w:pPr>
    </w:p>
    <w:p>
      <w:pPr>
        <w:ind w:left="240" w:right="40" w:firstLine="971"/>
        <w:spacing w:after="0" w:line="249" w:lineRule="auto"/>
        <w:rPr>
          <w:sz w:val="20"/>
          <w:szCs w:val="20"/>
          <w:color w:val="auto"/>
        </w:rPr>
      </w:pPr>
      <w:r>
        <w:rPr>
          <w:rFonts w:ascii="Times New Roman" w:cs="Times New Roman" w:eastAsia="Times New Roman" w:hAnsi="Times New Roman"/>
          <w:sz w:val="18"/>
          <w:szCs w:val="18"/>
          <w:color w:val="auto"/>
        </w:rPr>
        <w:t>We believe that none of JD.com, Inc. and its subsidiaries outside of China is a PRC resident enterprise for PRC tax purposes. JD.com, Inc. is not controlled by a PRC enterprise or PRC enterprise group and we do not believe that JD.com, Inc. meets all of the conditions above. JD.com,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subsidiaries outside of China are not PRC resident enterprises either. However, the tax resident status of an enterprise is subject to determination by the PRC tax authorities and uncertainties remain with respect to the interpretation of the term “de facto management body.”</w:t>
      </w:r>
    </w:p>
    <w:p>
      <w:pPr>
        <w:spacing w:after="0" w:line="189"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If the PRC tax authorities determine that JD.com,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withholding tax on gains realized on the sale or other disposition of ADSs or ordinary shares, if such income is treated as sourced from within the PRC. In addition, gains derived by our non-PRC individual shareholders from the sale of our shares and ADSs may be subject to a 20% PRC withholding tax. It is unclear whether our non-PRC individual shareholders (including our ADS holders) would be subject to any PRC tax on dividends obtained by such non-PRC individual shareholders in the event we are determined to be a PRC resident enterprise. If any PRC tax were to apply to dividends realized by non-PRC individuals, it would generally apply at a rate of 20% unless a reduced rate is available under an applicable tax treaty. However, it is also unclear whether non-PRC shareholders of JD.com, Inc. would be able to claim the benefits of any tax treaties between their country of tax residence and the PRC in the event that JD.com, Inc. is treated as a PRC resident enterprise.</w:t>
      </w:r>
    </w:p>
    <w:p>
      <w:pPr>
        <w:spacing w:after="0" w:line="188" w:lineRule="exact"/>
        <w:rPr>
          <w:sz w:val="20"/>
          <w:szCs w:val="20"/>
          <w:color w:val="auto"/>
        </w:rPr>
      </w:pPr>
    </w:p>
    <w:p>
      <w:pPr>
        <w:ind w:left="240" w:right="20" w:firstLine="971"/>
        <w:spacing w:after="0" w:line="262" w:lineRule="auto"/>
        <w:rPr>
          <w:sz w:val="20"/>
          <w:szCs w:val="20"/>
          <w:color w:val="auto"/>
        </w:rPr>
      </w:pPr>
      <w:r>
        <w:rPr>
          <w:rFonts w:ascii="Times New Roman" w:cs="Times New Roman" w:eastAsia="Times New Roman" w:hAnsi="Times New Roman"/>
          <w:sz w:val="17"/>
          <w:szCs w:val="17"/>
          <w:color w:val="auto"/>
        </w:rPr>
        <w:t>Provided that our Cayman Islands holding company, JD.com, Inc., is not deemed to be a PRC resident enterprise, holders of our ADSs and ordinary shares who are not PRC residents will not be subject to PRC income tax on dividends distributed by us or gains realized from the sale or other disposition of our shares or ADSs. STA Circular 7 further clarifies that, if a non-resident enterprise derives income by acquiring and selling shares in an offshore listed enterprise in the public market, such income will not be subject to PRC tax. In addition, STA Public Notice 37 provided certain key changes to the previous withholding regime, such as (i) the withholding obligation for a non-resident enterprise deriving dividend arises on the date on which the payment is actually made rather than on the date of the resolution that declared the dividends, (ii) non-resident enterprises are not obligated to report tax to the authorities if their withholding agents fail to perform the withholding obligation is removed. However, there is uncertainty as to the application of STA Public Notice 37 and STA Circular 7, we and our non-PRC resident investors may be at risk of being required to file a return and being taxed under STA Public Notice 37 and STA Circular 7 and we may be required to expend valuable resources to comply with STA Public Notice</w:t>
      </w:r>
    </w:p>
    <w:p>
      <w:pPr>
        <w:ind w:left="240" w:right="120"/>
        <w:spacing w:after="0" w:line="246" w:lineRule="auto"/>
        <w:rPr>
          <w:sz w:val="20"/>
          <w:szCs w:val="20"/>
          <w:color w:val="auto"/>
        </w:rPr>
      </w:pPr>
      <w:r>
        <w:rPr>
          <w:rFonts w:ascii="Times New Roman" w:cs="Times New Roman" w:eastAsia="Times New Roman" w:hAnsi="Times New Roman"/>
          <w:sz w:val="18"/>
          <w:szCs w:val="18"/>
          <w:color w:val="auto"/>
        </w:rPr>
        <w:t>37 and STA Circular 7 or to establish that we should not be taxed under STA Public Notice 37 and STA Circular 7. See “Item 3.D. Key Information— Risk Factors—Risks Related to Doing Business in China—We face uncertainties with respect to indirect transfers of equity interests in PRC resident enterprises by their non-PRC holding companies, and heightened scrutiny over acquisition transactions by the PRC tax authorities may have a negative impact on potential acquisitions we may pursue in the future.”</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320" w:top="476" w:right="5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112"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Our subsidiaries incorporated in Hong Kong are eligible to elect a two-tiered income tax rate for taxable income generated from operations in Hong Kong, effective on April 1, 2018. If elected, the first HK$2 million of assessable profits by our subsidiaries in Hong Kong will be taxed at half the current tax rate (i.e., 8.25%) while the remaining assessable profits will continue to be taxed at the existing 16.5% tax rate. We analyze on the foreign-sourced income, mainly dividend and interest, accrued to its subsidiaries in Hong Kong, apply for Commissioner’s Opinion / Advance Ruling with the Inland Revenue Department of Hong Kong on fulfillment of exception requirements under Foreign-Sourced Income Exemption regime and pay tax for the income subject to Hong Kong Profits Tax, if any.</w:t>
      </w:r>
    </w:p>
    <w:p>
      <w:pPr>
        <w:spacing w:after="0" w:line="187" w:lineRule="exact"/>
        <w:rPr>
          <w:sz w:val="20"/>
          <w:szCs w:val="20"/>
          <w:color w:val="auto"/>
        </w:rPr>
      </w:pPr>
    </w:p>
    <w:p>
      <w:pPr>
        <w:ind w:left="240" w:right="320" w:firstLine="971"/>
        <w:spacing w:after="0" w:line="270" w:lineRule="auto"/>
        <w:rPr>
          <w:sz w:val="20"/>
          <w:szCs w:val="20"/>
          <w:color w:val="auto"/>
        </w:rPr>
      </w:pPr>
      <w:r>
        <w:rPr>
          <w:rFonts w:ascii="Times New Roman" w:cs="Times New Roman" w:eastAsia="Times New Roman" w:hAnsi="Times New Roman"/>
          <w:sz w:val="18"/>
          <w:szCs w:val="18"/>
          <w:color w:val="auto"/>
        </w:rPr>
        <w:t>Our principal register of members is maintained by our principal share registrar in the Cayman Islands, and our Hong Kong register of members is maintained by the Hong Kong Share Registrar in Hong Kong.</w:t>
      </w:r>
    </w:p>
    <w:p>
      <w:pPr>
        <w:spacing w:after="0" w:line="169" w:lineRule="exact"/>
        <w:rPr>
          <w:sz w:val="20"/>
          <w:szCs w:val="20"/>
          <w:color w:val="auto"/>
        </w:rPr>
      </w:pPr>
    </w:p>
    <w:p>
      <w:pPr>
        <w:ind w:left="240" w:firstLine="971"/>
        <w:spacing w:after="0" w:line="273" w:lineRule="auto"/>
        <w:rPr>
          <w:sz w:val="20"/>
          <w:szCs w:val="20"/>
          <w:color w:val="auto"/>
        </w:rPr>
      </w:pPr>
      <w:r>
        <w:rPr>
          <w:rFonts w:ascii="Times New Roman" w:cs="Times New Roman" w:eastAsia="Times New Roman" w:hAnsi="Times New Roman"/>
          <w:sz w:val="17"/>
          <w:szCs w:val="17"/>
          <w:color w:val="auto"/>
        </w:rPr>
        <w:t>Dealings in our Class A ordinary shares registered on our Hong Kong Share Register are subject to Hong Kong stamp duty. The stamp duty is charged to each of the seller and purchaser at the rate of 0.13% before November 17, 2023 and 0.1% on and after November 17, 2023 of the consideration for, or (if greater) the value of, our Class A ordinary shares transferred. In other words, a total of 0.2% is currently payable on a typical sale and purchase transaction of our Class A ordinary shares. In addition, a fixed duty of HK$5.00 is charged on each instrument of transfer (if required).</w:t>
      </w:r>
    </w:p>
    <w:p>
      <w:pPr>
        <w:spacing w:after="0" w:line="168" w:lineRule="exact"/>
        <w:rPr>
          <w:sz w:val="20"/>
          <w:szCs w:val="20"/>
          <w:color w:val="auto"/>
        </w:rPr>
      </w:pPr>
    </w:p>
    <w:p>
      <w:pPr>
        <w:ind w:left="240" w:right="120" w:firstLine="971"/>
        <w:spacing w:after="0" w:line="250" w:lineRule="auto"/>
        <w:rPr>
          <w:sz w:val="20"/>
          <w:szCs w:val="20"/>
          <w:color w:val="auto"/>
        </w:rPr>
      </w:pPr>
      <w:r>
        <w:rPr>
          <w:rFonts w:ascii="Times New Roman" w:cs="Times New Roman" w:eastAsia="Times New Roman" w:hAnsi="Times New Roman"/>
          <w:sz w:val="18"/>
          <w:szCs w:val="18"/>
          <w:color w:val="auto"/>
        </w:rPr>
        <w:t>To facilitate ADS-ordinary share conversion and trading between Nasdaq and the Hong Kong Stock Exchange, we have moved a portion of our issued Class A ordinary shares from our Cayman share register to our Hong Kong share register. It is unclear whether, as a matter of Hong Kong law, the trading or conversion of ADSs constitutes a sale or purchase of the underlying Hong Kong registered ordinary shares that is subject to Hong Kong stamp duty. We advise investors to consult their own tax advisors on this matter. See “Item 3.D. Key Information—Risk Factors—Risks Related to Our ADSs and Class A Ordinary Shares—There is uncertainty as to whether Hong Kong stamp duty will apply to the trading or conversion of our ADSs.”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2" w:lineRule="exact"/>
        <w:rPr>
          <w:sz w:val="20"/>
          <w:szCs w:val="20"/>
          <w:color w:val="auto"/>
        </w:rPr>
      </w:pPr>
    </w:p>
    <w:p>
      <w:pPr>
        <w:ind w:left="240" w:right="60" w:firstLine="971"/>
        <w:spacing w:after="0" w:line="266" w:lineRule="auto"/>
        <w:rPr>
          <w:sz w:val="20"/>
          <w:szCs w:val="20"/>
          <w:color w:val="auto"/>
        </w:rPr>
      </w:pPr>
      <w:r>
        <w:rPr>
          <w:rFonts w:ascii="Times New Roman" w:cs="Times New Roman" w:eastAsia="Times New Roman" w:hAnsi="Times New Roman"/>
          <w:sz w:val="17"/>
          <w:szCs w:val="17"/>
          <w:color w:val="auto"/>
        </w:rPr>
        <w:t>The following discussion is a summary of United States federal income tax considerations relating to the ownership and disposition of our ADSs or ordinary shares by a U.S. Holder (as defined below) that holds our ADSs or ordinary shares as “capital assets” (generally, property held for investment) under the United States Internal Revenue Code of 1986, as amended (the “Code”). This discussion is based on the tax laws of the</w:t>
      </w:r>
    </w:p>
    <w:p>
      <w:pPr>
        <w:spacing w:after="0" w:line="2" w:lineRule="exact"/>
        <w:rPr>
          <w:sz w:val="20"/>
          <w:szCs w:val="20"/>
          <w:color w:val="auto"/>
        </w:rPr>
      </w:pPr>
    </w:p>
    <w:p>
      <w:pPr>
        <w:ind w:left="240" w:right="20"/>
        <w:spacing w:after="0" w:line="245" w:lineRule="auto"/>
        <w:rPr>
          <w:sz w:val="20"/>
          <w:szCs w:val="20"/>
          <w:color w:val="auto"/>
        </w:rPr>
      </w:pPr>
      <w:r>
        <w:rPr>
          <w:rFonts w:ascii="Times New Roman" w:cs="Times New Roman" w:eastAsia="Times New Roman" w:hAnsi="Times New Roman"/>
          <w:sz w:val="18"/>
          <w:szCs w:val="18"/>
          <w:color w:val="auto"/>
        </w:rPr>
        <w:t>United States as in effect on the date of this annual report on Form 20-F and on U.S. Treasury Regulations in effect as of the date of this annual report, as well as judicial and administrative interpretations thereof available on or before such date. All of the foregoing authorities are subject to change, which change could apply retroactively and could affect the tax considerations described below. There can be no assurance that the IRS or a court will not take a contrary position with respect to any United States federal income tax consequences described below. This discussion does not address all aspects of United States federal income taxation that may be important to particular investors in light of their individual investment circumstances, including investors subject to special tax rules (for example, banks, certain financial institutions, insurance companies, broker-dealers, traders in securities that elect mark-to-market treatment, pension plans, cooperatives, real estate investment trusts, regulated investment companies, partnerships (or other entities or arrangements taxable as partnerships for U.S. federal income tax purposes) and their partners, tax-exempt entities (including private foundations), investors who are not U.S. Holders, U.S. expatriates, investors liable for any minimum tax, investors who acquired their ADSs or ordinary shares pursuant to the exercise of any employee share option or otherwise as compensation, investors who own (directly, indirectly, or constructively) 10% or more of our stock (by vote or value), investors that will hold their ADSs or ordinary shares as part of a straddle, hedge, conversion, constructive sale, or other integrated transaction for United States federal income tax purposes, investors subject to the Medicare tax on their net investment income or investors that have a functional currency other than the United States dollar), all of whom may be subject to tax rules that differ significantly from those summarized below.</w:t>
      </w:r>
    </w:p>
    <w:p>
      <w:pPr>
        <w:spacing w:after="0" w:line="1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320" w:top="476" w:right="5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or non-United States tax considerations. Each U.S. Holder is urged to consult its tax advisor regarding the United States federal, state, local, and non-United States income and other tax considerations of an investment in our ADSs or ordinary shares.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4" w:lineRule="exact"/>
        <w:rPr>
          <w:sz w:val="20"/>
          <w:szCs w:val="20"/>
          <w:color w:val="auto"/>
        </w:rPr>
      </w:pPr>
    </w:p>
    <w:p>
      <w:pPr>
        <w:ind w:left="240" w:right="180" w:firstLine="971"/>
        <w:spacing w:after="0" w:line="265"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ADSs or ordinary shares that is, for United States federal income tax purposes, (i) an individual who is a citizen or resident of the United States, (ii) a corporation (or other entity treated as a corporation for United States federal income tax purposes) created in, or organized under the law of, the United States or any state thereof or the District of Columbia, (iii) an estate the income of which is includible in gross income for United States federal income tax purposes regardless of its source, or (iv) a trust</w:t>
      </w:r>
    </w:p>
    <w:p>
      <w:pPr>
        <w:ind w:left="240" w:hanging="10"/>
        <w:spacing w:after="0" w:line="279" w:lineRule="auto"/>
        <w:tabs>
          <w:tab w:leader="none" w:pos="52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163" w:lineRule="exact"/>
        <w:rPr>
          <w:sz w:val="20"/>
          <w:szCs w:val="20"/>
          <w:color w:val="auto"/>
        </w:rPr>
      </w:pPr>
    </w:p>
    <w:p>
      <w:pPr>
        <w:ind w:left="240" w:right="60" w:firstLine="971"/>
        <w:spacing w:after="0" w:line="253"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United States federal income tax purposes) owns our ADSs or ordinary shares, the tax treatment of a partner in the partnership will generally depend upon the status of the partner and the activities of the partnership. Partnerships holding our ADSs or ordinary shares and their partners are urged to consult their tax advisors regarding an investment in our ADSs or ordinary shares.</w:t>
      </w:r>
    </w:p>
    <w:p>
      <w:pPr>
        <w:spacing w:after="0" w:line="185" w:lineRule="exact"/>
        <w:rPr>
          <w:sz w:val="20"/>
          <w:szCs w:val="20"/>
          <w:color w:val="auto"/>
        </w:rPr>
      </w:pPr>
    </w:p>
    <w:p>
      <w:pPr>
        <w:ind w:left="240" w:right="20" w:firstLine="971"/>
        <w:spacing w:after="0" w:line="258" w:lineRule="auto"/>
        <w:rPr>
          <w:sz w:val="20"/>
          <w:szCs w:val="20"/>
          <w:color w:val="auto"/>
        </w:rPr>
      </w:pPr>
      <w:r>
        <w:rPr>
          <w:rFonts w:ascii="Times New Roman" w:cs="Times New Roman" w:eastAsia="Times New Roman" w:hAnsi="Times New Roman"/>
          <w:sz w:val="18"/>
          <w:szCs w:val="18"/>
          <w:color w:val="auto"/>
        </w:rPr>
        <w:t>For U.S. federal income tax purposes, U.S. Holders who hold ADSs will generally be treated as the holder of the underlying ordinary shares represented by those ADSs. The remainder of this discussion assumes that a U.S. Holder of our ADSs will be treated in this manner. Accordingly, deposits or withdrawals of Class A ordinary shares for ADSs will generally not be subject to U.S. federal income tax.</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4" w:lineRule="exact"/>
        <w:rPr>
          <w:sz w:val="20"/>
          <w:szCs w:val="20"/>
          <w:color w:val="auto"/>
        </w:rPr>
      </w:pPr>
    </w:p>
    <w:p>
      <w:pPr>
        <w:ind w:left="240" w:right="40" w:firstLine="971"/>
        <w:spacing w:after="0" w:line="249" w:lineRule="auto"/>
        <w:rPr>
          <w:sz w:val="20"/>
          <w:szCs w:val="20"/>
          <w:color w:val="auto"/>
        </w:rPr>
      </w:pPr>
      <w:r>
        <w:rPr>
          <w:rFonts w:ascii="Times New Roman" w:cs="Times New Roman" w:eastAsia="Times New Roman" w:hAnsi="Times New Roman"/>
          <w:sz w:val="18"/>
          <w:szCs w:val="18"/>
          <w:color w:val="auto"/>
        </w:rPr>
        <w:t>Subject to the passive foreign investment company rules described below, any cash distributions (including any amount of any PRC tax withheld) paid on our ADSs or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United States federal income tax principles, any distribution we pay will generally be reported as a “dividend” for United States federal income tax purposes. Dividends received on our ADSs or ordinary shares will not be eligible for the dividends received deduction allowed to corporations under the Code.</w:t>
      </w:r>
    </w:p>
    <w:p>
      <w:pPr>
        <w:spacing w:after="0" w:line="189" w:lineRule="exact"/>
        <w:rPr>
          <w:sz w:val="20"/>
          <w:szCs w:val="20"/>
          <w:color w:val="auto"/>
        </w:rPr>
      </w:pPr>
    </w:p>
    <w:p>
      <w:pPr>
        <w:ind w:left="240" w:right="40" w:firstLine="971"/>
        <w:spacing w:after="0" w:line="248" w:lineRule="auto"/>
        <w:rPr>
          <w:sz w:val="20"/>
          <w:szCs w:val="20"/>
          <w:color w:val="auto"/>
        </w:rPr>
      </w:pPr>
      <w:r>
        <w:rPr>
          <w:rFonts w:ascii="Times New Roman" w:cs="Times New Roman" w:eastAsia="Times New Roman" w:hAnsi="Times New Roman"/>
          <w:sz w:val="18"/>
          <w:szCs w:val="18"/>
          <w:color w:val="auto"/>
        </w:rPr>
        <w:t>Individuals and other non-corporate recipients will be subject to tax at the lower capital gain tax rate applicable to “qualified dividend income” on dividends paid on our ADSs, provided that certain conditions are satisfied, including that (i) our ADSs are readily tradable on an established securities market in the United States, or, in the event that we are deemed to be a PRC resident enterprise under the PRC tax law, we are eligible for the benefit of the United States-PRC income tax treaty (the “Treaty”), (ii) we are neither a PFIC nor treated as such with respect to a U.S. Holder (as discussed below) for the taxable year in which the dividend was paid and the preceding taxable year, and (iii) certain holding period requirements are met. For this purpose, U.S. Treasury guidance indicates that ADSs representing ordinary shares, such as ours, listed on the Nasdaq Global Select Market are considered to be readily tradable on an established securities market in the United States. There can be no assurance that our ADSs will continue to be considered readily tradable on an established securities market in future years. In the event that we are deemed to be a PRC resident enterprise under PRC tax law, we may be eligible for the benefits under the Treaty. U.S. Holders should consult their tax advisors regarding the availability of the reduced tax rate on dividends in their particular circumstances.</w:t>
      </w:r>
    </w:p>
    <w:p>
      <w:pPr>
        <w:spacing w:after="0" w:line="188" w:lineRule="exact"/>
        <w:rPr>
          <w:sz w:val="20"/>
          <w:szCs w:val="20"/>
          <w:color w:val="auto"/>
        </w:rPr>
      </w:pPr>
    </w:p>
    <w:p>
      <w:pPr>
        <w:ind w:left="240" w:right="40" w:firstLine="971"/>
        <w:spacing w:after="0" w:line="249" w:lineRule="auto"/>
        <w:rPr>
          <w:sz w:val="20"/>
          <w:szCs w:val="20"/>
          <w:color w:val="auto"/>
        </w:rPr>
      </w:pPr>
      <w:r>
        <w:rPr>
          <w:rFonts w:ascii="Times New Roman" w:cs="Times New Roman" w:eastAsia="Times New Roman" w:hAnsi="Times New Roman"/>
          <w:sz w:val="18"/>
          <w:szCs w:val="18"/>
          <w:color w:val="auto"/>
        </w:rPr>
        <w:t>For United States foreign tax credit purposes, dividends will generally be treated as income from foreign sources and will generally constitute passive category income. A U.S. Holder may be eligible, subject to a number of complex limitations, to claim a foreign tax credit not in excess of any applicable treaty rate in respect of any nonrefundable foreign withholding taxes imposed on dividends received on our ADSs or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189" w:lineRule="exact"/>
        <w:rPr>
          <w:sz w:val="20"/>
          <w:szCs w:val="20"/>
          <w:color w:val="auto"/>
        </w:rPr>
      </w:pPr>
    </w:p>
    <w:p>
      <w:pPr>
        <w:ind w:left="240" w:right="40" w:firstLine="971"/>
        <w:spacing w:after="0" w:line="258" w:lineRule="auto"/>
        <w:rPr>
          <w:sz w:val="20"/>
          <w:szCs w:val="20"/>
          <w:color w:val="auto"/>
        </w:rPr>
      </w:pPr>
      <w:r>
        <w:rPr>
          <w:rFonts w:ascii="Times New Roman" w:cs="Times New Roman" w:eastAsia="Times New Roman" w:hAnsi="Times New Roman"/>
          <w:sz w:val="18"/>
          <w:szCs w:val="18"/>
          <w:color w:val="auto"/>
        </w:rPr>
        <w:t>We may be a PFIC for the taxable year ended December 31, 2025, and no assurance can be given with respect to our PFIC status for the current or future taxable years. U.S. Holders are urged to consult their tax advisors regarding the availability of the reduced rate of taxation on dividends with respect to our ADSs or ordinary shares under their particular circumstances.</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0"/>
          </w:cols>
          <w:pgMar w:left="320" w:top="476" w:right="5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Ordinary Shares</w:t>
      </w:r>
    </w:p>
    <w:p>
      <w:pPr>
        <w:spacing w:after="0" w:line="114" w:lineRule="exact"/>
        <w:rPr>
          <w:sz w:val="20"/>
          <w:szCs w:val="20"/>
          <w:color w:val="auto"/>
        </w:rPr>
      </w:pPr>
    </w:p>
    <w:p>
      <w:pPr>
        <w:ind w:left="240" w:right="40" w:firstLine="971"/>
        <w:spacing w:after="0" w:line="262" w:lineRule="auto"/>
        <w:rPr>
          <w:sz w:val="20"/>
          <w:szCs w:val="20"/>
          <w:color w:val="auto"/>
        </w:rPr>
      </w:pPr>
      <w:r>
        <w:rPr>
          <w:rFonts w:ascii="Times New Roman" w:cs="Times New Roman" w:eastAsia="Times New Roman" w:hAnsi="Times New Roman"/>
          <w:sz w:val="17"/>
          <w:szCs w:val="17"/>
          <w:color w:val="auto"/>
        </w:rPr>
        <w:t>Subject to the passive foreign investment company rules described below, a U.S. Holder will generally recognize capital gain or loss upon the sale or other disposition of ADSs or ordinary shares in an amount equal to the difference between the amount realized upon the sale or other disposition and the holder’s adjusted tax basis in such ADSs or ordinary shares. The gain or loss will generally be capital gain or loss. Any capital gain or loss will be long-term if the ADSs or ordinary shares have been held for more than one year. An individual U.S. Holder or other non-corporate U.S. Holder who has held the ADSs or ordinary shares for more than one year will generally be eligible for reduced tax rates. The deductibility of capital losses is subject to limitations. Any such gain or loss recognized by a U.S. Holder will generally be treated as U.S. source income or loss for foreign tax credit purposes, which will generally limit the availability to claim foreign tax credits. However, in the event we are deemed to be a PRC “resident enterprise” under PRC tax law, we may be eligible for the benefits of the Treaty. In such event, if PRC tax were to be imposed on any gain from the disposition of the ADSs or ordinary shares, a U.S. Holder that is eligible for the benefits of the Treaty may elect to treat such gain as PRC source income. Pursuant to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the ADSs or ordinary shares. U.S. Holders are urged to consult their tax advisors regarding the tax consequences if a foreign tax is imposed on a disposition of our ADSs or ordinary shares, including the availability of the foreign tax credit or deduction under their particular circumstances, their eligibility for benefits under the Treaty and the potential impact of the Treasury Regulations.</w:t>
      </w:r>
    </w:p>
    <w:p>
      <w:pPr>
        <w:spacing w:after="0" w:line="185" w:lineRule="exact"/>
        <w:rPr>
          <w:sz w:val="20"/>
          <w:szCs w:val="20"/>
          <w:color w:val="auto"/>
        </w:rPr>
      </w:pPr>
    </w:p>
    <w:p>
      <w:pPr>
        <w:ind w:left="240" w:right="40" w:firstLine="971"/>
        <w:spacing w:after="0" w:line="258" w:lineRule="auto"/>
        <w:rPr>
          <w:sz w:val="20"/>
          <w:szCs w:val="20"/>
          <w:color w:val="auto"/>
        </w:rPr>
      </w:pPr>
      <w:r>
        <w:rPr>
          <w:rFonts w:ascii="Times New Roman" w:cs="Times New Roman" w:eastAsia="Times New Roman" w:hAnsi="Times New Roman"/>
          <w:sz w:val="18"/>
          <w:szCs w:val="18"/>
          <w:color w:val="auto"/>
        </w:rPr>
        <w:t>We may be a PFIC for the taxable year ended December 31, 2025, and no assurance can be given with respect to our PFIC status for the current or future taxable years. U.S. Holders are urged to consult their tax advisors regarding the availability of the reduced rate of taxation on dividends with respect to our ADSs or ordinary shares under their particular circumstances.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4" w:lineRule="exact"/>
        <w:rPr>
          <w:sz w:val="20"/>
          <w:szCs w:val="20"/>
          <w:color w:val="auto"/>
        </w:rPr>
      </w:pPr>
    </w:p>
    <w:p>
      <w:pPr>
        <w:ind w:left="240" w:right="40" w:firstLine="971"/>
        <w:spacing w:after="0" w:line="251"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PFIC for United States federal income tax purposes for any taxable year, if either (i) 75% or more of its gross income for such year consists of certain types of “passive” income or (ii) 50% or more of the value of its assets (generally determined on the basis of a quarterly average) during such year produce or are held for the production of passive income. For this purpose, cash is categorized as a passive asset and the company’s unbooked intangibles associated with active business activity are taken into account as a non-passive asset.</w:t>
      </w:r>
    </w:p>
    <w:p>
      <w:pPr>
        <w:spacing w:after="0" w:line="187" w:lineRule="exact"/>
        <w:rPr>
          <w:sz w:val="20"/>
          <w:szCs w:val="20"/>
          <w:color w:val="auto"/>
        </w:rPr>
      </w:pPr>
    </w:p>
    <w:p>
      <w:pPr>
        <w:ind w:left="240" w:right="200" w:firstLine="971"/>
        <w:spacing w:after="0" w:line="269" w:lineRule="auto"/>
        <w:rPr>
          <w:sz w:val="20"/>
          <w:szCs w:val="20"/>
          <w:color w:val="auto"/>
        </w:rPr>
      </w:pPr>
      <w:r>
        <w:rPr>
          <w:rFonts w:ascii="Times New Roman" w:cs="Times New Roman" w:eastAsia="Times New Roman" w:hAnsi="Times New Roman"/>
          <w:sz w:val="17"/>
          <w:szCs w:val="17"/>
          <w:color w:val="auto"/>
        </w:rPr>
        <w:t>In addition, we will be treated as owning a proportionate share of the assets and earning a proportionate share of the income of any other corporation in which we own, directly or indirectly, 25% or more (by value) of the stock. Although the law in this regard is unclear, we treat the consolidated variable interest entities as being owned by us for United States federal income tax purposes because we control their management decisions and we are entitled to substantially all of the economic benefits associated with these entities, and, as a result, we consolidate their results of operations in our U.S. GAAP financial statements and treat them as being owned by us for United States federal income tax purposes.</w:t>
      </w:r>
    </w:p>
    <w:p>
      <w:pPr>
        <w:spacing w:after="0" w:line="174" w:lineRule="exact"/>
        <w:rPr>
          <w:sz w:val="20"/>
          <w:szCs w:val="20"/>
          <w:color w:val="auto"/>
        </w:rPr>
      </w:pPr>
    </w:p>
    <w:p>
      <w:pPr>
        <w:ind w:left="240" w:firstLine="971"/>
        <w:spacing w:after="0" w:line="249" w:lineRule="auto"/>
        <w:rPr>
          <w:sz w:val="20"/>
          <w:szCs w:val="20"/>
          <w:color w:val="auto"/>
        </w:rPr>
      </w:pPr>
      <w:r>
        <w:rPr>
          <w:rFonts w:ascii="Times New Roman" w:cs="Times New Roman" w:eastAsia="Times New Roman" w:hAnsi="Times New Roman"/>
          <w:sz w:val="18"/>
          <w:szCs w:val="18"/>
          <w:color w:val="auto"/>
        </w:rPr>
        <w:t>Based on our current income and assets and the value of our ADSs and outstanding ordinary shares, we may be a PFIC for our taxable year ended December 31, 2025. However, because PFIC status is a fact-intensive determination, no assurance can be given with respect to our PFIC status for the current or any future taxable years. Changes in the composition of our income or assets, or fluctuations in the market price of our Class A ordinary shares and/or ADSs, may cause us to become a PFIC for the current or future taxable years. In estimating the value of our goodwill and other unbooked intangibles, we have taken into account our market capitalization, which may fluctuate over time. The composition of our income and assets will also be affected by how, and how quickly, we use our liquid assets. If we deploy significant amounts of cash and investments for active purposes, we may be less likely to be classified as a PFIC for the current or future taxable years.</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20"/>
          </w:cols>
          <w:pgMar w:left="320" w:top="476" w:right="5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240" w:right="60" w:firstLine="971"/>
        <w:spacing w:after="0" w:line="250"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ordinary shares), and (ii) any gain realized on the sale or other disposition, including a pledge, of ADSs or ordinary shares. Under the PFIC rules:</w:t>
      </w:r>
    </w:p>
    <w:p>
      <w:pPr>
        <w:spacing w:after="0" w:line="94" w:lineRule="exact"/>
        <w:rPr>
          <w:sz w:val="20"/>
          <w:szCs w:val="20"/>
          <w:color w:val="auto"/>
        </w:rPr>
      </w:pPr>
    </w:p>
    <w:p>
      <w:pPr>
        <w:ind w:left="1180" w:hanging="421"/>
        <w:spacing w:after="0"/>
        <w:tabs>
          <w:tab w:leader="none" w:pos="1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ordinary shares;</w:t>
      </w:r>
    </w:p>
    <w:p>
      <w:pPr>
        <w:spacing w:after="0" w:line="123" w:lineRule="exact"/>
        <w:rPr>
          <w:rFonts w:ascii="Times New Roman" w:cs="Times New Roman" w:eastAsia="Times New Roman" w:hAnsi="Times New Roman"/>
          <w:sz w:val="18"/>
          <w:szCs w:val="18"/>
          <w:color w:val="auto"/>
        </w:rPr>
      </w:pPr>
    </w:p>
    <w:p>
      <w:pPr>
        <w:ind w:left="1180" w:hanging="421"/>
        <w:spacing w:after="0" w:line="270" w:lineRule="auto"/>
        <w:tabs>
          <w:tab w:leader="none" w:pos="1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current taxable year and any taxable years in a U.S. Holder’s holding period prior to the first taxable year in which we are classified as a PFIC (a “pre-PFIC year”) will be taxable as ordinary income; and</w:t>
      </w:r>
    </w:p>
    <w:p>
      <w:pPr>
        <w:spacing w:after="0" w:line="76" w:lineRule="exact"/>
        <w:rPr>
          <w:rFonts w:ascii="Times New Roman" w:cs="Times New Roman" w:eastAsia="Times New Roman" w:hAnsi="Times New Roman"/>
          <w:sz w:val="18"/>
          <w:szCs w:val="18"/>
          <w:color w:val="auto"/>
        </w:rPr>
      </w:pPr>
    </w:p>
    <w:p>
      <w:pPr>
        <w:ind w:left="1180" w:right="80" w:hanging="421"/>
        <w:spacing w:after="0" w:line="258" w:lineRule="auto"/>
        <w:tabs>
          <w:tab w:leader="none" w:pos="1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the current taxable year or a pre-PFIC year, will be subject to tax at the highest tax rate in effect applicable to such U.S. Holder for that year, and such amounts will be increased by an additional tax equal to interest on the resulting tax deemed deferred with respect to such years.</w:t>
      </w:r>
    </w:p>
    <w:p>
      <w:pPr>
        <w:spacing w:after="0" w:line="179" w:lineRule="exact"/>
        <w:rPr>
          <w:sz w:val="20"/>
          <w:szCs w:val="20"/>
          <w:color w:val="auto"/>
        </w:rPr>
      </w:pPr>
    </w:p>
    <w:p>
      <w:pPr>
        <w:ind w:left="240" w:right="220" w:firstLine="971"/>
        <w:spacing w:after="0" w:line="258"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ADSs or ordinary shares cannot be treated as capital, even if such ADSs or ordinary shares are held as capital assets.</w:t>
      </w:r>
    </w:p>
    <w:p>
      <w:pPr>
        <w:spacing w:after="0" w:line="179"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ordinary shares and any of our subsidiaries is also a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Holders would not receive the proceeds of those distributions or dispositions. U.S. Holders should consult their tax advisors regarding the application of the PFIC rules to any of our subsidiaries.</w:t>
      </w:r>
    </w:p>
    <w:p>
      <w:pPr>
        <w:spacing w:after="0" w:line="187" w:lineRule="exact"/>
        <w:rPr>
          <w:sz w:val="20"/>
          <w:szCs w:val="20"/>
          <w:color w:val="auto"/>
        </w:rPr>
      </w:pPr>
    </w:p>
    <w:p>
      <w:pPr>
        <w:ind w:left="240" w:right="20" w:firstLine="971"/>
        <w:spacing w:after="0" w:line="262" w:lineRule="auto"/>
        <w:rPr>
          <w:sz w:val="20"/>
          <w:szCs w:val="20"/>
          <w:color w:val="auto"/>
        </w:rPr>
      </w:pPr>
      <w:r>
        <w:rPr>
          <w:rFonts w:ascii="Times New Roman" w:cs="Times New Roman" w:eastAsia="Times New Roman" w:hAnsi="Times New Roman"/>
          <w:sz w:val="17"/>
          <w:szCs w:val="17"/>
          <w:color w:val="auto"/>
        </w:rPr>
        <w:t xml:space="preserve">As an alternative to the foregoing rules, a U.S. Holder of “marketable stock” (as defined below) in a PFIC may make a mark-to-market election with respect to such stock. The mark-to-market election is available only for “marketable stock,” which is stock that is traded in other than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minimis </w:t>
      </w:r>
      <w:r>
        <w:rPr>
          <w:rFonts w:ascii="Times New Roman" w:cs="Times New Roman" w:eastAsia="Times New Roman" w:hAnsi="Times New Roman"/>
          <w:sz w:val="17"/>
          <w:szCs w:val="17"/>
          <w:color w:val="auto"/>
        </w:rPr>
        <w:t>quantities on at least 15 days during each calendar quarter, or “regularly traded” on a qualified exchange or other market, as defined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Treasury Regulations. For these purposes, our ADSs are listed on the Nasdaq Global Select Market, which is a qualified exchange for these purposes, and our ordinary shares are listed on the Hong Kong Stock Exchange, which should constitute a qualified exchange or other market. We anticipate that our ADSs and ordinary shares should qualify as being regularly traded, but no assurances may be given in this regard. If a U.S. Holder makes this election, the holder will generally (i) include as ordinary income for each taxable year that we are a PFIC the excess, if any, of the fair market value of ADSs or ordinary shares held at the end of the taxable year over the adjusted tax basis of such ADSs or ordinary shares and (ii) deduct as an ordinary loss the excess, if any, of the adjusted tax basis of the ADSs or ordinary shares over the fair market value of such ADSs or ordinary shares held at the end of the taxable year, but such deduction will only be allowed to the extent of the amount previously included in income as a result of the mark-to-market election. The U.S. Holder’s adjusted tax basis in the ADSs or ordinary shares would be adjusted to reflect any income or loss resulting from the mark-to-market election. If a U.S. Holder makes a mark-to-market election in respect of our ADSs or ordinary shares and we cease to be a PFIC, the holder will not be required to take into account the gain or loss described above during any period that we are not classified as a PFIC. If a U.S. Holder makes a mark-to-market election, any gain such U.S. Holder recognizes upon the sale or other disposition of our ADSs or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20"/>
          </w:cols>
          <w:pgMar w:left="320" w:top="476" w:right="5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Because, as a technical matter, a mark-to-market election cannot be made for any lower-tier PFICs that we may own, a U.S. Holder may continue to be subject to the general PFIC rules described above with respect to such U.S. Holder’s indirect interest in any investments held by us that are treated as an equity interest in a PFIC for United States federal income tax purposes.</w:t>
      </w:r>
    </w:p>
    <w:p>
      <w:pPr>
        <w:spacing w:after="0" w:line="179" w:lineRule="exact"/>
        <w:rPr>
          <w:sz w:val="20"/>
          <w:szCs w:val="20"/>
          <w:color w:val="auto"/>
        </w:rPr>
      </w:pPr>
    </w:p>
    <w:p>
      <w:pPr>
        <w:ind w:left="240" w:right="220" w:firstLine="971"/>
        <w:spacing w:after="0" w:line="270"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tax treatment for PFICs described above.</w:t>
      </w:r>
    </w:p>
    <w:p>
      <w:pPr>
        <w:spacing w:after="0" w:line="169" w:lineRule="exact"/>
        <w:rPr>
          <w:sz w:val="20"/>
          <w:szCs w:val="20"/>
          <w:color w:val="auto"/>
        </w:rPr>
      </w:pPr>
    </w:p>
    <w:p>
      <w:pPr>
        <w:ind w:left="240" w:right="360" w:firstLine="971"/>
        <w:spacing w:after="0" w:line="270" w:lineRule="auto"/>
        <w:rPr>
          <w:sz w:val="20"/>
          <w:szCs w:val="20"/>
          <w:color w:val="auto"/>
        </w:rPr>
      </w:pPr>
      <w:r>
        <w:rPr>
          <w:rFonts w:ascii="Times New Roman" w:cs="Times New Roman" w:eastAsia="Times New Roman" w:hAnsi="Times New Roman"/>
          <w:sz w:val="18"/>
          <w:szCs w:val="18"/>
          <w:color w:val="auto"/>
        </w:rPr>
        <w:t>If a U.S. Holder owns our ADSs or ordinary shares during any taxable year that we are a PFIC, the holder must file an annual Internal Revenue Service Form 8621.</w:t>
      </w:r>
    </w:p>
    <w:p>
      <w:pPr>
        <w:spacing w:after="0" w:line="169"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Each U.S. Holder is urged to consult its tax advisor concerning the United States federal income tax consequences of purchasing, holding, and disposing of ADSs or ordinary shares if we are or become classified as a PFIC, including the possibility of making a mark-to-market election and the unavailability of the qualified electing fund election.</w:t>
      </w:r>
    </w:p>
    <w:p>
      <w:pPr>
        <w:spacing w:after="0" w:line="322" w:lineRule="exact"/>
        <w:rPr>
          <w:sz w:val="20"/>
          <w:szCs w:val="20"/>
          <w:color w:val="auto"/>
        </w:rPr>
      </w:pPr>
    </w:p>
    <w:p>
      <w:pPr>
        <w:jc w:val="center"/>
        <w:ind w:left="1200" w:right="8140" w:hanging="970"/>
        <w:spacing w:after="0" w:line="433" w:lineRule="auto"/>
        <w:tabs>
          <w:tab w:leader="none" w:pos="652"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Dividends and Paying Agents </w:t>
      </w:r>
      <w:r>
        <w:rPr>
          <w:rFonts w:ascii="Times New Roman" w:cs="Times New Roman" w:eastAsia="Times New Roman" w:hAnsi="Times New Roman"/>
          <w:sz w:val="17"/>
          <w:szCs w:val="17"/>
          <w:color w:val="auto"/>
        </w:rPr>
        <w:t>Not applicable.</w:t>
      </w:r>
    </w:p>
    <w:p>
      <w:pPr>
        <w:spacing w:after="0" w:line="180" w:lineRule="exact"/>
        <w:rPr>
          <w:rFonts w:ascii="Times New Roman" w:cs="Times New Roman" w:eastAsia="Times New Roman" w:hAnsi="Times New Roman"/>
          <w:sz w:val="17"/>
          <w:szCs w:val="17"/>
          <w:b w:val="1"/>
          <w:bCs w:val="1"/>
          <w:color w:val="auto"/>
        </w:rPr>
      </w:pPr>
    </w:p>
    <w:p>
      <w:pPr>
        <w:ind w:left="660" w:hanging="430"/>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by Experts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9" w:lineRule="exact"/>
        <w:rPr>
          <w:sz w:val="20"/>
          <w:szCs w:val="20"/>
          <w:color w:val="auto"/>
        </w:rPr>
      </w:pPr>
    </w:p>
    <w:p>
      <w:pPr>
        <w:ind w:left="660" w:hanging="430"/>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112" w:lineRule="exact"/>
        <w:rPr>
          <w:sz w:val="20"/>
          <w:szCs w:val="20"/>
          <w:color w:val="auto"/>
        </w:rPr>
      </w:pPr>
    </w:p>
    <w:p>
      <w:pPr>
        <w:ind w:left="240" w:right="20" w:firstLine="971"/>
        <w:spacing w:after="0" w:line="250"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we are exempt from the rules under the Exchange Act prescribing the furnishing and content of quarterly reports and proxy statements, our officers and directors are exempt from the short-swing rules contained in Section 16 of the Exchange Act, and our principal shareholders are exempt from the reporting and short-swing rules contained in Section 16 of the Exchange Act.</w:t>
      </w:r>
    </w:p>
    <w:p>
      <w:pPr>
        <w:spacing w:after="0" w:line="187" w:lineRule="exact"/>
        <w:rPr>
          <w:sz w:val="20"/>
          <w:szCs w:val="20"/>
          <w:color w:val="auto"/>
        </w:rPr>
      </w:pPr>
    </w:p>
    <w:p>
      <w:pPr>
        <w:ind w:left="240" w:firstLine="971"/>
        <w:spacing w:after="0" w:line="251" w:lineRule="auto"/>
        <w:rPr>
          <w:sz w:val="20"/>
          <w:szCs w:val="20"/>
          <w:color w:val="auto"/>
        </w:rPr>
      </w:pPr>
      <w:r>
        <w:rPr>
          <w:rFonts w:ascii="Times New Roman" w:cs="Times New Roman" w:eastAsia="Times New Roman" w:hAnsi="Times New Roman"/>
          <w:sz w:val="18"/>
          <w:szCs w:val="18"/>
          <w:color w:val="auto"/>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5" w:lineRule="exact"/>
        <w:rPr>
          <w:sz w:val="20"/>
          <w:szCs w:val="20"/>
          <w:color w:val="auto"/>
        </w:rPr>
      </w:pPr>
    </w:p>
    <w:p>
      <w:pPr>
        <w:ind w:left="240" w:right="80" w:firstLine="971"/>
        <w:spacing w:after="0" w:line="273" w:lineRule="auto"/>
        <w:rPr>
          <w:sz w:val="20"/>
          <w:szCs w:val="20"/>
          <w:color w:val="auto"/>
        </w:rPr>
      </w:pPr>
      <w:r>
        <w:rPr>
          <w:rFonts w:ascii="Times New Roman" w:cs="Times New Roman" w:eastAsia="Times New Roman" w:hAnsi="Times New Roman"/>
          <w:sz w:val="18"/>
          <w:szCs w:val="18"/>
          <w:color w:val="auto"/>
        </w:rPr>
        <w:t xml:space="preserve">In accordance with Nasdaq Stock Market Rule 5250(d), we will post this annual report on Form 20-F on our website at </w:t>
      </w:r>
      <w:r>
        <w:rPr>
          <w:rFonts w:ascii="Times New Roman" w:cs="Times New Roman" w:eastAsia="Times New Roman" w:hAnsi="Times New Roman"/>
          <w:sz w:val="18"/>
          <w:szCs w:val="18"/>
          <w:i w:val="1"/>
          <w:iCs w:val="1"/>
          <w:color w:val="auto"/>
        </w:rPr>
        <w:t>http://ir.jd.com</w:t>
      </w:r>
      <w:r>
        <w:rPr>
          <w:rFonts w:ascii="Times New Roman" w:cs="Times New Roman" w:eastAsia="Times New Roman" w:hAnsi="Times New Roman"/>
          <w:sz w:val="18"/>
          <w:szCs w:val="18"/>
          <w:color w:val="auto"/>
        </w:rPr>
        <w:t>. In addition, we will provide hardcopies of our annual report free of charge to shareholders and ADS holders upon request.</w:t>
      </w:r>
    </w:p>
    <w:p>
      <w:pPr>
        <w:spacing w:after="0" w:line="309" w:lineRule="exact"/>
        <w:rPr>
          <w:sz w:val="20"/>
          <w:szCs w:val="20"/>
          <w:color w:val="auto"/>
        </w:rPr>
      </w:pPr>
    </w:p>
    <w:p>
      <w:pPr>
        <w:ind w:left="1200" w:right="8560" w:hanging="970"/>
        <w:spacing w:after="0" w:line="433" w:lineRule="auto"/>
        <w:tabs>
          <w:tab w:leader="none" w:pos="652"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Subsidiary Information </w:t>
      </w:r>
      <w:r>
        <w:rPr>
          <w:rFonts w:ascii="Times New Roman" w:cs="Times New Roman" w:eastAsia="Times New Roman" w:hAnsi="Times New Roman"/>
          <w:sz w:val="17"/>
          <w:szCs w:val="17"/>
          <w:color w:val="auto"/>
        </w:rPr>
        <w:t>Not applicable.</w:t>
      </w:r>
    </w:p>
    <w:p>
      <w:pPr>
        <w:spacing w:after="0" w:line="180" w:lineRule="exact"/>
        <w:rPr>
          <w:rFonts w:ascii="Times New Roman" w:cs="Times New Roman" w:eastAsia="Times New Roman" w:hAnsi="Times New Roman"/>
          <w:sz w:val="17"/>
          <w:szCs w:val="17"/>
          <w:b w:val="1"/>
          <w:bCs w:val="1"/>
          <w:color w:val="auto"/>
        </w:rPr>
      </w:pPr>
    </w:p>
    <w:p>
      <w:pPr>
        <w:ind w:left="660" w:hanging="430"/>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112"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As an issuer listed on the Hong Kong Stock Exchange, we are required to publish an annual report for the fiscal year ended December 31, 2025, which we plan to furnish as an exhibit to a current report on Form 6-K via EDGAR to be filed on the same date of this annual report on Form 20-F.</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0"/>
          </w:cols>
          <w:pgMar w:left="320" w:top="476" w:right="5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2" w:lineRule="exact"/>
        <w:rPr>
          <w:sz w:val="20"/>
          <w:szCs w:val="20"/>
          <w:color w:val="auto"/>
        </w:rPr>
      </w:pPr>
    </w:p>
    <w:p>
      <w:pPr>
        <w:ind w:left="240" w:right="60" w:firstLine="971"/>
        <w:spacing w:after="0" w:line="251" w:lineRule="auto"/>
        <w:rPr>
          <w:sz w:val="20"/>
          <w:szCs w:val="20"/>
          <w:color w:val="auto"/>
        </w:rPr>
      </w:pPr>
      <w:r>
        <w:rPr>
          <w:rFonts w:ascii="Times New Roman" w:cs="Times New Roman" w:eastAsia="Times New Roman" w:hAnsi="Times New Roman"/>
          <w:sz w:val="18"/>
          <w:szCs w:val="18"/>
          <w:color w:val="auto"/>
        </w:rPr>
        <w:t xml:space="preserve">Our exposure to interest rate risk primarily relates to our interest-bearing assets and debts. Interest-bearing assets include cash and cash equivalents, short-term investments, restricted cash, other long-term interest-bearing assets. Interest-bearing debts include bank facilities and unsecured senior notes that have a floating rate of interest. As of December 31, 2025, if interest rates increased or decreased by 1%, with all other variables having remained constant, and assuming the amount of interest-bearing assets and debts that bear floating interest were outstanding for the entire respective years, our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income would have been RMB2.2 billion (US$0.3 billion) higher or lower.</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Substantially all of our revenues and expenses are denominated in RMB.</w:t>
      </w:r>
    </w:p>
    <w:p>
      <w:pPr>
        <w:spacing w:after="0" w:line="216" w:lineRule="exact"/>
        <w:rPr>
          <w:sz w:val="20"/>
          <w:szCs w:val="20"/>
          <w:color w:val="auto"/>
        </w:rPr>
      </w:pPr>
    </w:p>
    <w:p>
      <w:pPr>
        <w:ind w:left="240" w:firstLine="971"/>
        <w:spacing w:after="0" w:line="253" w:lineRule="auto"/>
        <w:rPr>
          <w:sz w:val="20"/>
          <w:szCs w:val="20"/>
          <w:color w:val="auto"/>
        </w:rPr>
      </w:pPr>
      <w:r>
        <w:rPr>
          <w:rFonts w:ascii="Times New Roman" w:cs="Times New Roman" w:eastAsia="Times New Roman" w:hAnsi="Times New Roman"/>
          <w:sz w:val="18"/>
          <w:szCs w:val="18"/>
          <w:color w:val="auto"/>
        </w:rPr>
        <w:t>We do not believe that we currently have any significant direct foreign exchange risk and have not used any derivative financial instruments to hedge exposure to such risk. Certain non-derivative instruments have been used to manage exposure in exchange rates. Although our exposure to foreign exchange risks should be limited in general, the value of your investment in our ADSs will be affected by the exchange rate between U.S. dollar and RMB because the value of our business is effectively denominated in RMB, while our ADSs are traded in U.S. dollars.</w:t>
      </w:r>
    </w:p>
    <w:p>
      <w:pPr>
        <w:spacing w:after="0" w:line="185" w:lineRule="exact"/>
        <w:rPr>
          <w:sz w:val="20"/>
          <w:szCs w:val="20"/>
          <w:color w:val="auto"/>
        </w:rPr>
      </w:pPr>
    </w:p>
    <w:p>
      <w:pPr>
        <w:jc w:val="both"/>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179"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185" w:lineRule="exact"/>
        <w:rPr>
          <w:sz w:val="20"/>
          <w:szCs w:val="20"/>
          <w:color w:val="auto"/>
        </w:rPr>
      </w:pPr>
    </w:p>
    <w:p>
      <w:pPr>
        <w:ind w:left="240" w:right="20" w:firstLine="971"/>
        <w:spacing w:after="0" w:line="265" w:lineRule="auto"/>
        <w:rPr>
          <w:sz w:val="20"/>
          <w:szCs w:val="20"/>
          <w:color w:val="auto"/>
        </w:rPr>
      </w:pPr>
      <w:r>
        <w:rPr>
          <w:rFonts w:ascii="Times New Roman" w:cs="Times New Roman" w:eastAsia="Times New Roman" w:hAnsi="Times New Roman"/>
          <w:sz w:val="17"/>
          <w:szCs w:val="17"/>
          <w:color w:val="auto"/>
        </w:rPr>
        <w:t>As of December 31, 2025, we had RMB-denominated cash and cash equivalents, restricted cash, short-term investments and time deposits or wealth management products with maturities more than one year in marketable securities and other investments of RMB135.3 billion, and U.S. dollar-denominated cash, cash equivalents and short-term investments and time deposits or wealth management products with maturities more than one year in marketable securities and other investments of US$19.5 billion. Assuming we had converted RMB135.3 billion into U.S. dollars at the exchange rate of RMB6.9931 for US$1.00 as of December 31, 2025, our U.S. dollar cash balance would have been US$38.8 billion. If the RMB had depreciated by 10% against the U.S. dollar, our U.S. dollar cash balance would have been US$36.9 billion instead. Assuming we had converted US$19.5 billion into RMB at the exchange rate of RMB6.9931 for US$1.00 as of December 31, 2025, our RMB cash balance would have been RMB271.4 billion. If the RMB had depreciated by 10% against the U.S. dollar, our RMB cash balance would have been RMB286.5 billion instead.</w:t>
      </w:r>
    </w:p>
    <w:p>
      <w:pPr>
        <w:spacing w:after="0" w:line="320"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Description of Securities Other than Equity Securities</w:t>
      </w:r>
    </w:p>
    <w:p>
      <w:pPr>
        <w:spacing w:after="0" w:line="124" w:lineRule="exact"/>
        <w:rPr>
          <w:sz w:val="20"/>
          <w:szCs w:val="20"/>
          <w:color w:val="auto"/>
        </w:rPr>
      </w:pPr>
    </w:p>
    <w:p>
      <w:pPr>
        <w:ind w:left="660" w:hanging="430"/>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Securities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9" w:lineRule="exact"/>
        <w:rPr>
          <w:sz w:val="20"/>
          <w:szCs w:val="20"/>
          <w:color w:val="auto"/>
        </w:rPr>
      </w:pPr>
    </w:p>
    <w:p>
      <w:pPr>
        <w:jc w:val="right"/>
        <w:ind w:left="1200" w:right="8720" w:hanging="970"/>
        <w:spacing w:after="0" w:line="433" w:lineRule="auto"/>
        <w:tabs>
          <w:tab w:leader="none" w:pos="652"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and Rights </w:t>
      </w:r>
      <w:r>
        <w:rPr>
          <w:rFonts w:ascii="Times New Roman" w:cs="Times New Roman" w:eastAsia="Times New Roman" w:hAnsi="Times New Roman"/>
          <w:sz w:val="17"/>
          <w:szCs w:val="17"/>
          <w:color w:val="auto"/>
        </w:rPr>
        <w:t>Not applicable.</w:t>
      </w:r>
    </w:p>
    <w:p>
      <w:pPr>
        <w:spacing w:after="0" w:line="180" w:lineRule="exact"/>
        <w:rPr>
          <w:rFonts w:ascii="Times New Roman" w:cs="Times New Roman" w:eastAsia="Times New Roman" w:hAnsi="Times New Roman"/>
          <w:sz w:val="17"/>
          <w:szCs w:val="17"/>
          <w:b w:val="1"/>
          <w:bCs w:val="1"/>
          <w:color w:val="auto"/>
        </w:rPr>
      </w:pPr>
    </w:p>
    <w:p>
      <w:pPr>
        <w:ind w:left="660" w:hanging="430"/>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Securities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320" w:top="476" w:right="5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hanging="430"/>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Our ADSs are traded on Nasdaq. Dealings in our ADSs on Nasdaq are conducted in U.S. Dollars.</w:t>
      </w:r>
    </w:p>
    <w:p>
      <w:pPr>
        <w:spacing w:after="0" w:line="2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ADSs may be held either:</w:t>
      </w:r>
    </w:p>
    <w:p>
      <w:pPr>
        <w:spacing w:after="0" w:line="124" w:lineRule="exact"/>
        <w:rPr>
          <w:sz w:val="20"/>
          <w:szCs w:val="20"/>
          <w:color w:val="auto"/>
        </w:rPr>
      </w:pPr>
    </w:p>
    <w:p>
      <w:pPr>
        <w:ind w:left="1180" w:right="40" w:hanging="421"/>
        <w:spacing w:after="0" w:line="258" w:lineRule="auto"/>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having a certificated ADS, or an ADR, registered in the holder’s name, or by holding in the direct registration system, pursuant to which the depositary may register the ownership of uncertificated ADSs, which ownership shall be evidenced by periodic statements issued by the depositary to the ADS holders entitled thereto; or</w:t>
      </w:r>
    </w:p>
    <w:p>
      <w:pPr>
        <w:spacing w:after="0" w:line="85"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through the holder’s broker or other financial institution.</w:t>
      </w:r>
    </w:p>
    <w:p>
      <w:pPr>
        <w:spacing w:after="0" w:line="216" w:lineRule="exact"/>
        <w:rPr>
          <w:sz w:val="20"/>
          <w:szCs w:val="20"/>
          <w:color w:val="auto"/>
        </w:rPr>
      </w:pPr>
    </w:p>
    <w:p>
      <w:pPr>
        <w:ind w:left="240" w:right="100" w:firstLine="971"/>
        <w:spacing w:after="0" w:line="270" w:lineRule="auto"/>
        <w:rPr>
          <w:sz w:val="20"/>
          <w:szCs w:val="20"/>
          <w:color w:val="auto"/>
        </w:rPr>
      </w:pPr>
      <w:r>
        <w:rPr>
          <w:rFonts w:ascii="Times New Roman" w:cs="Times New Roman" w:eastAsia="Times New Roman" w:hAnsi="Times New Roman"/>
          <w:sz w:val="18"/>
          <w:szCs w:val="18"/>
          <w:color w:val="auto"/>
        </w:rPr>
        <w:t>The depositary for our ADSs is Deutsche Bank Trust Company Americas, whose office is located at 60 Wall Street, New York, New York 10005, United States of America.</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12" w:lineRule="exact"/>
        <w:rPr>
          <w:sz w:val="20"/>
          <w:szCs w:val="20"/>
          <w:color w:val="auto"/>
        </w:rPr>
      </w:pPr>
    </w:p>
    <w:p>
      <w:pPr>
        <w:jc w:val="both"/>
        <w:ind w:left="240" w:right="260" w:firstLine="971"/>
        <w:spacing w:after="0" w:line="300" w:lineRule="auto"/>
        <w:rPr>
          <w:sz w:val="20"/>
          <w:szCs w:val="20"/>
          <w:color w:val="auto"/>
        </w:rPr>
      </w:pPr>
      <w:r>
        <w:rPr>
          <w:rFonts w:ascii="Times New Roman" w:cs="Times New Roman" w:eastAsia="Times New Roman" w:hAnsi="Times New Roman"/>
          <w:sz w:val="17"/>
          <w:szCs w:val="17"/>
          <w:color w:val="auto"/>
        </w:rPr>
        <w:t>An ADS holder will be required to pay the following service fees to the depositary bank and certain taxes and governmental charges (in addition to any applicable fees, expenses, taxes and other governmental charges payable on the deposited securities represented by any of the ADSs):</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Service</w:t>
            </w:r>
          </w:p>
        </w:tc>
        <w:tc>
          <w:tcPr>
            <w:tcW w:w="5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Fees</w:t>
            </w:r>
          </w:p>
        </w:tc>
        <w:tc>
          <w:tcPr>
            <w:tcW w:w="1680" w:type="dxa"/>
            <w:vAlign w:val="bottom"/>
          </w:tcPr>
          <w:p>
            <w:pPr>
              <w:spacing w:after="0"/>
              <w:rPr>
                <w:sz w:val="14"/>
                <w:szCs w:val="14"/>
                <w:color w:val="auto"/>
              </w:rPr>
            </w:pPr>
          </w:p>
        </w:tc>
      </w:tr>
      <w:tr>
        <w:trPr>
          <w:trHeight w:val="292"/>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to any person to whom ADSs are issued or to any person to whom a</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212"/>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00"/>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Surrendering ADSs for cancellation and withdrawal of deposited</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 to US$0.05 per ADS surrendered</w:t>
            </w:r>
          </w:p>
        </w:tc>
      </w:tr>
      <w:tr>
        <w:trPr>
          <w:trHeight w:val="229"/>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7"/>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0"/>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12"/>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proceeds, including proceeds from the sale of rights, securities and other</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entitlements</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7"/>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0"/>
        </w:trPr>
        <w:tc>
          <w:tcPr>
            <w:tcW w:w="5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Operation and maintenance costs</w:t>
            </w: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Up to US$0.05 per ADS held on the applicable record date(s)</w:t>
            </w:r>
          </w:p>
        </w:tc>
      </w:tr>
      <w:tr>
        <w:trPr>
          <w:trHeight w:val="229"/>
        </w:trPr>
        <w:tc>
          <w:tcPr>
            <w:tcW w:w="4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established by the depositary bank</w:t>
            </w:r>
          </w:p>
        </w:tc>
      </w:tr>
    </w:tbl>
    <w:p>
      <w:pPr>
        <w:spacing w:after="0" w:line="194" w:lineRule="exact"/>
        <w:rPr>
          <w:sz w:val="20"/>
          <w:szCs w:val="20"/>
          <w:color w:val="auto"/>
        </w:rPr>
      </w:pPr>
    </w:p>
    <w:p>
      <w:pPr>
        <w:jc w:val="both"/>
        <w:ind w:left="240" w:right="840" w:firstLine="971"/>
        <w:spacing w:after="0" w:line="258" w:lineRule="auto"/>
        <w:rPr>
          <w:sz w:val="20"/>
          <w:szCs w:val="20"/>
          <w:color w:val="auto"/>
        </w:rPr>
      </w:pPr>
      <w:r>
        <w:rPr>
          <w:rFonts w:ascii="Times New Roman" w:cs="Times New Roman" w:eastAsia="Times New Roman" w:hAnsi="Times New Roman"/>
          <w:sz w:val="18"/>
          <w:szCs w:val="18"/>
          <w:color w:val="auto"/>
        </w:rPr>
        <w:t>An ADS holder will also be responsible to pay certain fees and expenses incurred by the depositary bank and certain taxes and governmental charges (in addition to any applicable fees, expenses, taxes and other governmental charges payable on the deposited securities represented by any of the ADSs) such as:</w:t>
      </w:r>
    </w:p>
    <w:p>
      <w:pPr>
        <w:spacing w:after="0" w:line="86" w:lineRule="exact"/>
        <w:rPr>
          <w:sz w:val="20"/>
          <w:szCs w:val="20"/>
          <w:color w:val="auto"/>
        </w:rPr>
      </w:pPr>
    </w:p>
    <w:p>
      <w:pPr>
        <w:ind w:left="1180" w:right="240" w:hanging="421"/>
        <w:spacing w:after="0" w:line="270" w:lineRule="auto"/>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ordinary shares charged by the registrar and transfer agent for the ordinary shares in the Cayman Islands (i.e., upon deposit and withdrawal of ordinary shares).</w:t>
      </w:r>
    </w:p>
    <w:p>
      <w:pPr>
        <w:spacing w:after="0" w:line="76"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fax and electronic transmissions and for delivery of securities.</w:t>
      </w:r>
    </w:p>
    <w:p>
      <w:pPr>
        <w:spacing w:after="0" w:line="123" w:lineRule="exact"/>
        <w:rPr>
          <w:rFonts w:ascii="Times New Roman" w:cs="Times New Roman" w:eastAsia="Times New Roman" w:hAnsi="Times New Roman"/>
          <w:sz w:val="18"/>
          <w:szCs w:val="18"/>
          <w:color w:val="auto"/>
        </w:rPr>
      </w:pPr>
    </w:p>
    <w:p>
      <w:pPr>
        <w:ind w:left="1180" w:hanging="421"/>
        <w:spacing w:after="0" w:line="270" w:lineRule="auto"/>
        <w:tabs>
          <w:tab w:leader="none" w:pos="11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20"/>
          </w:cols>
          <w:pgMar w:left="320" w:top="476" w:right="5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right="360" w:hanging="421"/>
        <w:spacing w:after="0" w:line="270" w:lineRule="auto"/>
        <w:tabs>
          <w:tab w:leader="none" w:pos="1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of ordinary shares on deposit or the servicing of ordinary shares, deposited securities and/or ADSs.</w:t>
      </w:r>
    </w:p>
    <w:p>
      <w:pPr>
        <w:spacing w:after="0" w:line="76" w:lineRule="exact"/>
        <w:rPr>
          <w:rFonts w:ascii="Times New Roman" w:cs="Times New Roman" w:eastAsia="Times New Roman" w:hAnsi="Times New Roman"/>
          <w:sz w:val="18"/>
          <w:szCs w:val="18"/>
          <w:color w:val="auto"/>
        </w:rPr>
      </w:pPr>
    </w:p>
    <w:p>
      <w:pPr>
        <w:ind w:left="1180" w:right="120" w:hanging="421"/>
        <w:spacing w:after="0" w:line="270" w:lineRule="auto"/>
        <w:tabs>
          <w:tab w:leader="none" w:pos="1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ordinary shares, deposited securities, ADSs and ADRs.</w:t>
      </w:r>
    </w:p>
    <w:p>
      <w:pPr>
        <w:spacing w:after="0" w:line="169"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7" w:lineRule="exact"/>
        <w:rPr>
          <w:sz w:val="20"/>
          <w:szCs w:val="20"/>
          <w:color w:val="auto"/>
        </w:rPr>
      </w:pPr>
    </w:p>
    <w:p>
      <w:pPr>
        <w:ind w:left="240" w:firstLine="971"/>
        <w:spacing w:after="0" w:line="266" w:lineRule="auto"/>
        <w:rPr>
          <w:sz w:val="20"/>
          <w:szCs w:val="20"/>
          <w:color w:val="auto"/>
        </w:rPr>
      </w:pPr>
      <w:r>
        <w:rPr>
          <w:rFonts w:ascii="Times New Roman" w:cs="Times New Roman" w:eastAsia="Times New Roman" w:hAnsi="Times New Roman"/>
          <w:sz w:val="17"/>
          <w:szCs w:val="17"/>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75" w:lineRule="exact"/>
        <w:rPr>
          <w:sz w:val="20"/>
          <w:szCs w:val="20"/>
          <w:color w:val="auto"/>
        </w:rPr>
      </w:pPr>
    </w:p>
    <w:p>
      <w:pPr>
        <w:ind w:left="240" w:right="160" w:firstLine="971"/>
        <w:spacing w:after="0" w:line="270"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12" w:lineRule="exact"/>
        <w:rPr>
          <w:sz w:val="20"/>
          <w:szCs w:val="20"/>
          <w:color w:val="auto"/>
        </w:rPr>
      </w:pPr>
    </w:p>
    <w:p>
      <w:pPr>
        <w:ind w:left="240" w:right="140" w:firstLine="971"/>
        <w:spacing w:after="0" w:line="249" w:lineRule="auto"/>
        <w:rPr>
          <w:sz w:val="20"/>
          <w:szCs w:val="20"/>
          <w:color w:val="auto"/>
        </w:rPr>
      </w:pPr>
      <w:r>
        <w:rPr>
          <w:rFonts w:ascii="Times New Roman" w:cs="Times New Roman" w:eastAsia="Times New Roman" w:hAnsi="Times New Roman"/>
          <w:sz w:val="18"/>
          <w:szCs w:val="18"/>
          <w:color w:val="auto"/>
        </w:rPr>
        <w:t>Deutsche Bank Trust Company Americas, as depositary, has agreed to reimburse us for a portion of certain expenses we incur that are related to establishment and maintenance of the ADR program, including investor relations expenses. There are limits on the amount of expenses for which the depositary will reimburse us, but the amount of reimbursement available to us is not related to the amounts of fees the depositary collects from investors. Further, the depositary has agreed to reimburse us certain fees payable to the depositary by holders of ADSs. Neither the depositary nor we can determine the exact amount to be made available to us because (i) the number of ADSs that will be issued and outstanding, (ii) the level of service fees to be charged to holders of ADSs and (iii) our reimbursable expenses related to the program are not known at this time. In 2025, we were entitled to approximately US$6.36 million reimbursement from the depositary.</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Conversion between Class A Ordinary Shares and ADSs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Dealings and Settlement of Class A Ordinary Shares in Hong Kong</w:t>
      </w:r>
    </w:p>
    <w:p>
      <w:pPr>
        <w:spacing w:after="0" w:line="112" w:lineRule="exact"/>
        <w:rPr>
          <w:sz w:val="20"/>
          <w:szCs w:val="20"/>
          <w:color w:val="auto"/>
        </w:rPr>
      </w:pPr>
    </w:p>
    <w:p>
      <w:pPr>
        <w:ind w:left="240" w:right="100" w:firstLine="971"/>
        <w:spacing w:after="0" w:line="270" w:lineRule="auto"/>
        <w:rPr>
          <w:sz w:val="20"/>
          <w:szCs w:val="20"/>
          <w:color w:val="auto"/>
        </w:rPr>
      </w:pPr>
      <w:r>
        <w:rPr>
          <w:rFonts w:ascii="Times New Roman" w:cs="Times New Roman" w:eastAsia="Times New Roman" w:hAnsi="Times New Roman"/>
          <w:sz w:val="18"/>
          <w:szCs w:val="18"/>
          <w:color w:val="auto"/>
        </w:rPr>
        <w:t>Our Class A ordinary shares trade on the Hong Kong Stock Exchange in board lots of 50 Class A ordinary shares. Dealings in our Class A ordinary shares on the Hong Kong Stock Exchange will be conducted in Hong Kong dollars.</w:t>
      </w:r>
    </w:p>
    <w:p>
      <w:pPr>
        <w:spacing w:after="0" w:line="16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transaction costs of dealings in our Class A ordinary shares on the Hong Kong Stock Exchange include:</w:t>
      </w:r>
    </w:p>
    <w:p>
      <w:pPr>
        <w:spacing w:after="0" w:line="124" w:lineRule="exact"/>
        <w:rPr>
          <w:sz w:val="20"/>
          <w:szCs w:val="20"/>
          <w:color w:val="auto"/>
        </w:rPr>
      </w:pPr>
    </w:p>
    <w:p>
      <w:pPr>
        <w:ind w:left="1180" w:hanging="421"/>
        <w:spacing w:after="0"/>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trading fee of 0.005% of the consideration of the transaction, charged to each of the buyer and seller;</w:t>
      </w:r>
    </w:p>
    <w:p>
      <w:pPr>
        <w:spacing w:after="0" w:line="123" w:lineRule="exact"/>
        <w:rPr>
          <w:rFonts w:ascii="Times New Roman" w:cs="Times New Roman" w:eastAsia="Times New Roman" w:hAnsi="Times New Roman"/>
          <w:sz w:val="18"/>
          <w:szCs w:val="18"/>
          <w:color w:val="auto"/>
        </w:rPr>
      </w:pPr>
    </w:p>
    <w:p>
      <w:pPr>
        <w:ind w:left="1180" w:right="160" w:hanging="421"/>
        <w:spacing w:after="0" w:line="270"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Futures Commission of Hong Kong transaction levy of 0.0027% of the consideration of the transaction, charged to each of the buyer and seller;</w:t>
      </w:r>
    </w:p>
    <w:p>
      <w:pPr>
        <w:spacing w:after="0" w:line="76" w:lineRule="exact"/>
        <w:rPr>
          <w:rFonts w:ascii="Times New Roman" w:cs="Times New Roman" w:eastAsia="Times New Roman" w:hAnsi="Times New Roman"/>
          <w:sz w:val="18"/>
          <w:szCs w:val="18"/>
          <w:color w:val="auto"/>
        </w:rPr>
      </w:pPr>
    </w:p>
    <w:p>
      <w:pPr>
        <w:ind w:left="1180" w:right="380" w:hanging="421"/>
        <w:spacing w:after="0" w:line="270" w:lineRule="auto"/>
        <w:tabs>
          <w:tab w:leader="none" w:pos="1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tariff of HK$0.50 on each and every purchase or sale transaction. The decision on whether or not to pass the trading tariff onto investors is at the discretion of brokers;</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20"/>
          </w:cols>
          <w:pgMar w:left="320" w:top="476" w:right="5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180" w:hanging="421"/>
        <w:spacing w:after="0"/>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deed stamp duty of HK$5.00 per transfer deed (if applicable), payable by the seller;</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 valorem stamp duty at a total rate of 0.2% of the value of the transaction, with 0.1% payable by each of the buyer and the seller;</w:t>
      </w:r>
    </w:p>
    <w:p>
      <w:pPr>
        <w:spacing w:after="0" w:line="123" w:lineRule="exact"/>
        <w:rPr>
          <w:rFonts w:ascii="Times New Roman" w:cs="Times New Roman" w:eastAsia="Times New Roman" w:hAnsi="Times New Roman"/>
          <w:sz w:val="18"/>
          <w:szCs w:val="18"/>
          <w:color w:val="auto"/>
        </w:rPr>
      </w:pPr>
    </w:p>
    <w:p>
      <w:pPr>
        <w:ind w:left="1180" w:right="160" w:hanging="421"/>
        <w:spacing w:after="0" w:line="270" w:lineRule="auto"/>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settlement fee, which is currently 0.002% of the gross transaction value, subject to a minimum fee of HK$2.00 and a maximum fee of HK$100.00 per side per trade;</w:t>
      </w:r>
    </w:p>
    <w:p>
      <w:pPr>
        <w:spacing w:after="0" w:line="76" w:lineRule="exact"/>
        <w:rPr>
          <w:rFonts w:ascii="Times New Roman" w:cs="Times New Roman" w:eastAsia="Times New Roman" w:hAnsi="Times New Roman"/>
          <w:sz w:val="18"/>
          <w:szCs w:val="18"/>
          <w:color w:val="auto"/>
        </w:rPr>
      </w:pPr>
    </w:p>
    <w:p>
      <w:pPr>
        <w:ind w:left="1180" w:right="240" w:hanging="421"/>
        <w:spacing w:after="0" w:line="258" w:lineRule="auto"/>
        <w:tabs>
          <w:tab w:leader="none" w:pos="1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 which is freely negotiable with the broker (other than brokerage commissions for IPO transactions which are currently set at 1% of the subscription or purchase price and will be payable by the person subscribing for or purchasing the securities) ; and</w:t>
      </w:r>
    </w:p>
    <w:p>
      <w:pPr>
        <w:spacing w:after="0" w:line="85" w:lineRule="exact"/>
        <w:rPr>
          <w:rFonts w:ascii="Times New Roman" w:cs="Times New Roman" w:eastAsia="Times New Roman" w:hAnsi="Times New Roman"/>
          <w:sz w:val="18"/>
          <w:szCs w:val="18"/>
          <w:color w:val="auto"/>
        </w:rPr>
      </w:pPr>
    </w:p>
    <w:p>
      <w:pPr>
        <w:ind w:left="1180" w:right="80" w:hanging="421"/>
        <w:spacing w:after="0" w:line="280" w:lineRule="auto"/>
        <w:tabs>
          <w:tab w:leader="none" w:pos="118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62" w:lineRule="exact"/>
        <w:rPr>
          <w:sz w:val="20"/>
          <w:szCs w:val="20"/>
          <w:color w:val="auto"/>
        </w:rPr>
      </w:pPr>
    </w:p>
    <w:p>
      <w:pPr>
        <w:ind w:left="240" w:right="80" w:firstLine="971"/>
        <w:spacing w:after="0" w:line="269" w:lineRule="auto"/>
        <w:rPr>
          <w:sz w:val="20"/>
          <w:szCs w:val="20"/>
          <w:color w:val="auto"/>
        </w:rPr>
      </w:pPr>
      <w:r>
        <w:rPr>
          <w:rFonts w:ascii="Times New Roman" w:cs="Times New Roman" w:eastAsia="Times New Roman" w:hAnsi="Times New Roman"/>
          <w:sz w:val="17"/>
          <w:szCs w:val="17"/>
          <w:color w:val="auto"/>
        </w:rPr>
        <w:t>Investors must settle their trades executed on the Hong Kong Stock Exchange through their brokers directly or through custodians. For an investor who has deposited his or her Class A ordinary shares in his or her stock account or in his or her designated Central Clearing and Settlement System participant’s stock account maintained with the Central Clearing and Settlement System, or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between Class A Ordinary Shares Trading in Hong Kong and ADSs</w:t>
      </w:r>
    </w:p>
    <w:p>
      <w:pPr>
        <w:spacing w:after="0" w:line="112" w:lineRule="exact"/>
        <w:rPr>
          <w:sz w:val="20"/>
          <w:szCs w:val="20"/>
          <w:color w:val="auto"/>
        </w:rPr>
      </w:pPr>
    </w:p>
    <w:p>
      <w:pPr>
        <w:ind w:left="240" w:right="120" w:firstLine="971"/>
        <w:spacing w:after="0" w:line="253" w:lineRule="auto"/>
        <w:rPr>
          <w:sz w:val="20"/>
          <w:szCs w:val="20"/>
          <w:color w:val="auto"/>
        </w:rPr>
      </w:pPr>
      <w:r>
        <w:rPr>
          <w:rFonts w:ascii="Times New Roman" w:cs="Times New Roman" w:eastAsia="Times New Roman" w:hAnsi="Times New Roman"/>
          <w:sz w:val="18"/>
          <w:szCs w:val="18"/>
          <w:color w:val="auto"/>
        </w:rPr>
        <w:t>In connection with the listing of our Class A ordinary shares on the Hong Kong Stock Exchange, we have established a branch register of members in Hong Kong, which we refer to as our Hong Kong share register, which is maintained by our Hong Kong Share Registrar, Computershare Hong Kong Investor Services Limited. Our principal register of members will continue to be maintained by our principal share registrar, Maples Fund Services (Cayman) Limited.</w:t>
      </w:r>
    </w:p>
    <w:p>
      <w:pPr>
        <w:spacing w:after="0" w:line="185"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All Class A ordinary shares offered in connection with our listing in Hong Kong are registered on our Hong Kong share register in order to be listed and traded on the Hong Kong Stock Exchange. As described in further detail below, holders of Class A ordinary shares registered on the Hong Kong Share Register will be able to convert these ordinary shares into ADSs, and vice versa.</w:t>
      </w:r>
    </w:p>
    <w:p>
      <w:pPr>
        <w:spacing w:after="0" w:line="179" w:lineRule="exact"/>
        <w:rPr>
          <w:sz w:val="20"/>
          <w:szCs w:val="20"/>
          <w:color w:val="auto"/>
        </w:rPr>
      </w:pPr>
    </w:p>
    <w:p>
      <w:pPr>
        <w:jc w:val="both"/>
        <w:ind w:left="240" w:right="160" w:firstLine="971"/>
        <w:spacing w:after="0" w:line="258" w:lineRule="auto"/>
        <w:rPr>
          <w:sz w:val="20"/>
          <w:szCs w:val="20"/>
          <w:color w:val="auto"/>
        </w:rPr>
      </w:pPr>
      <w:r>
        <w:rPr>
          <w:rFonts w:ascii="Times New Roman" w:cs="Times New Roman" w:eastAsia="Times New Roman" w:hAnsi="Times New Roman"/>
          <w:sz w:val="18"/>
          <w:szCs w:val="18"/>
          <w:color w:val="auto"/>
        </w:rPr>
        <w:t>In connection with our listing in Hong Kong, and to facilitate fungibility and conversion between ADSs and Class A ordinary shares and trading between Nasdaq and the Hong Kong Stock Exchange, we moved a portion of our issued Class A ordinary shares from our register of members maintained in the Cayman Islands to our Hong Kong share register.</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Converting Class A Ordinary Shares Trading in Hong Kong into ADSs</w:t>
      </w:r>
    </w:p>
    <w:p>
      <w:pPr>
        <w:spacing w:after="0" w:line="112" w:lineRule="exact"/>
        <w:rPr>
          <w:sz w:val="20"/>
          <w:szCs w:val="20"/>
          <w:color w:val="auto"/>
        </w:rPr>
      </w:pPr>
    </w:p>
    <w:p>
      <w:pPr>
        <w:ind w:left="240" w:right="100" w:firstLine="971"/>
        <w:spacing w:after="0" w:line="258" w:lineRule="auto"/>
        <w:rPr>
          <w:sz w:val="20"/>
          <w:szCs w:val="20"/>
          <w:color w:val="auto"/>
        </w:rPr>
      </w:pPr>
      <w:r>
        <w:rPr>
          <w:rFonts w:ascii="Times New Roman" w:cs="Times New Roman" w:eastAsia="Times New Roman" w:hAnsi="Times New Roman"/>
          <w:sz w:val="18"/>
          <w:szCs w:val="18"/>
          <w:color w:val="auto"/>
        </w:rPr>
        <w:t>An investor who holds Class A ordinary shares registered in Hong Kong and who intends to convert them to ADSs to trade on Nasdaq must deposit or have his or her broker deposit the Class A ordinary shares with the depositary’s Hong Kong custodian, Deutsche Bank AG, Hong Kong Branch, Hong Kong, in exchange for ADSs.</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 deposit of Class A ordinary shares trading in Hong Kong in exchange for ADSs involves the following procedures:</w:t>
      </w:r>
    </w:p>
    <w:p>
      <w:pPr>
        <w:spacing w:after="0" w:line="124" w:lineRule="exact"/>
        <w:rPr>
          <w:sz w:val="20"/>
          <w:szCs w:val="20"/>
          <w:color w:val="auto"/>
        </w:rPr>
      </w:pPr>
    </w:p>
    <w:p>
      <w:pPr>
        <w:ind w:left="1180" w:right="40" w:hanging="421"/>
        <w:spacing w:after="0" w:line="258" w:lineRule="auto"/>
        <w:tabs>
          <w:tab w:leader="none" w:pos="1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have been deposited with CCASS, the investor must transfer Class A ordinary shares to the depositary’s account with the custodian within CCASS by following the CCASS procedures for transfer and submit and deliver a duly completed and signed letter of transmittal to the custodian via his or her broker.</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320" w:top="476" w:right="5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1180" w:hanging="421"/>
        <w:spacing w:after="0" w:line="258" w:lineRule="auto"/>
        <w:tabs>
          <w:tab w:leader="none" w:pos="1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Class A ordinary shares are held outside CCASS, the investor must arrange to deposit his or her Class A ordinary shares into CCASS for delivery to the depositary’s account with the custodian within CCASS, submit and deliver a duly completed and signed letter of transmittal to the custodian via his or her broker.</w:t>
      </w:r>
    </w:p>
    <w:p>
      <w:pPr>
        <w:spacing w:after="0" w:line="85" w:lineRule="exact"/>
        <w:rPr>
          <w:rFonts w:ascii="Times New Roman" w:cs="Times New Roman" w:eastAsia="Times New Roman" w:hAnsi="Times New Roman"/>
          <w:sz w:val="18"/>
          <w:szCs w:val="18"/>
          <w:color w:val="auto"/>
        </w:rPr>
      </w:pPr>
    </w:p>
    <w:p>
      <w:pPr>
        <w:ind w:left="1180" w:right="100" w:hanging="421"/>
        <w:spacing w:after="0" w:line="253" w:lineRule="auto"/>
        <w:tabs>
          <w:tab w:leader="none" w:pos="1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of its fees and expenses and of any taxes or charges, such as stamp taxes or stock transfer taxes or fees, if applicable, and subject in all cases to the terms of the deposit agreement, the depositary will issue the corresponding number of ADSs in the name(s) requested by an investor and will deliver the ADSs to the designated DTC account of the person(s) designated by an investor or his or her broker.</w:t>
      </w:r>
    </w:p>
    <w:p>
      <w:pPr>
        <w:spacing w:after="0" w:line="185"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For Class A ordinary shares deposited in CCASS, under normal circumstances, the above steps generally require two business days.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Converting ADSs to Class A Ordinary Shares Trading in Hong Kong</w:t>
      </w:r>
    </w:p>
    <w:p>
      <w:pPr>
        <w:spacing w:after="0" w:line="112" w:lineRule="exact"/>
        <w:rPr>
          <w:sz w:val="20"/>
          <w:szCs w:val="20"/>
          <w:color w:val="auto"/>
        </w:rPr>
      </w:pPr>
    </w:p>
    <w:p>
      <w:pPr>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An investor who holds ADSs and who intends to convert his/her ADSs into Class A ordinary shares to trade on the Hong Kong Stock Exchange must cancel the ADSs the investor holds and withdraw Class A ordinary shares from our ADS program and cause his or her broker or other financial institution to trade such ordinary shares on the Hong Kong Stock Exchange.</w:t>
      </w:r>
    </w:p>
    <w:p>
      <w:pPr>
        <w:spacing w:after="0" w:line="179" w:lineRule="exact"/>
        <w:rPr>
          <w:sz w:val="20"/>
          <w:szCs w:val="20"/>
          <w:color w:val="auto"/>
        </w:rPr>
      </w:pPr>
    </w:p>
    <w:p>
      <w:pPr>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An investor that holds ADSs indirectly through a broker should follow the broker’s procedure and instruct the broker to arrange for cancelation of the ADSs, and transfer of the underlying ordinary shares from the depositary’s account with the custodian within the CCASS system to the investor’s Hong Kong stock account.</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For investors holding ADSs directly (not holding through brokers), the following steps must be taken:</w:t>
      </w:r>
    </w:p>
    <w:p>
      <w:pPr>
        <w:spacing w:after="0" w:line="124" w:lineRule="exact"/>
        <w:rPr>
          <w:sz w:val="20"/>
          <w:szCs w:val="20"/>
          <w:color w:val="auto"/>
        </w:rPr>
      </w:pPr>
    </w:p>
    <w:p>
      <w:pPr>
        <w:ind w:left="1180" w:right="360" w:hanging="421"/>
        <w:spacing w:after="0" w:line="258" w:lineRule="auto"/>
        <w:tabs>
          <w:tab w:leader="none" w:pos="11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withdraw Class A ordinary shares from our ADS program, an investor who holds ADSs may turn in such ADSs at the office of the depositary (and the applicable ADR(s) if the ADSs are held in certificated form), and send an instruction to cancel such ADSs to the depositary.</w:t>
      </w:r>
    </w:p>
    <w:p>
      <w:pPr>
        <w:spacing w:after="0" w:line="85" w:lineRule="exact"/>
        <w:rPr>
          <w:rFonts w:ascii="Times New Roman" w:cs="Times New Roman" w:eastAsia="Times New Roman" w:hAnsi="Times New Roman"/>
          <w:sz w:val="18"/>
          <w:szCs w:val="18"/>
          <w:color w:val="auto"/>
        </w:rPr>
      </w:pPr>
    </w:p>
    <w:p>
      <w:pPr>
        <w:ind w:left="1180" w:right="40" w:hanging="421"/>
        <w:spacing w:after="0" w:line="258" w:lineRule="auto"/>
        <w:tabs>
          <w:tab w:leader="none" w:pos="11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or net of its fees and expenses and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p>
      <w:pPr>
        <w:spacing w:after="0" w:line="85" w:lineRule="exact"/>
        <w:rPr>
          <w:rFonts w:ascii="Times New Roman" w:cs="Times New Roman" w:eastAsia="Times New Roman" w:hAnsi="Times New Roman"/>
          <w:sz w:val="18"/>
          <w:szCs w:val="18"/>
          <w:color w:val="auto"/>
        </w:rPr>
      </w:pPr>
    </w:p>
    <w:p>
      <w:pPr>
        <w:ind w:left="1180" w:right="240" w:hanging="421"/>
        <w:spacing w:after="0" w:line="258" w:lineRule="auto"/>
        <w:tabs>
          <w:tab w:leader="none" w:pos="11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investor prefers to receive Class A ordinary shares outside CCASS, he or she must receive Class A ordinary shares in CCASS first and then arrange for withdrawal from CCASS. Investors can then obtain a transfer form signed by HKSCC Nominees Limited (as the transferor) and register ordinary shares in their own names with the Hong Kong Share Registrar.</w:t>
      </w:r>
    </w:p>
    <w:p>
      <w:pPr>
        <w:spacing w:after="0" w:line="179"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For Class A ordinary shares to be received in CCASS, under normal circumstances, the above steps generally require two business days. For ordinary shares to be received outside CCASS in physical form, the above steps may take 14 business days, or more, to complete. The investor will be unable to trade the Class A ordinary shares on the Hong Kong Stock Exchange until the procedures are completed.</w:t>
      </w:r>
    </w:p>
    <w:p>
      <w:pPr>
        <w:spacing w:after="0" w:line="179" w:lineRule="exact"/>
        <w:rPr>
          <w:sz w:val="20"/>
          <w:szCs w:val="20"/>
          <w:color w:val="auto"/>
        </w:rPr>
      </w:pPr>
    </w:p>
    <w:p>
      <w:pPr>
        <w:ind w:left="240" w:right="40" w:firstLine="971"/>
        <w:spacing w:after="0" w:line="253" w:lineRule="auto"/>
        <w:rPr>
          <w:sz w:val="20"/>
          <w:szCs w:val="20"/>
          <w:color w:val="auto"/>
        </w:rPr>
      </w:pPr>
      <w:r>
        <w:rPr>
          <w:rFonts w:ascii="Times New Roman" w:cs="Times New Roman" w:eastAsia="Times New Roman" w:hAnsi="Times New Roman"/>
          <w:sz w:val="18"/>
          <w:szCs w:val="18"/>
          <w:color w:val="auto"/>
        </w:rPr>
        <w:t>Temporary delays may arise. For example, the transfer books of the depositary may from time to time be closed to ADS cancelations. In addition, completion of the above steps and procedures is subject to there being a sufficient number of Class A ordinary shares on our Hong Kong share register to facilitate a withdrawal from the ADS program directly into the CCASS system. We are not under any obligation to maintain or increase the number of Class A ordinary shares on our Hong Kong share register to facilitate such withdrawals.</w:t>
      </w:r>
    </w:p>
    <w:p>
      <w:pPr>
        <w:spacing w:after="0" w:line="1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80"/>
          </w:cols>
          <w:pgMar w:left="320" w:top="476" w:right="5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Depositary Requirements</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Before the depositary issues ADSs or permits withdrawal of ordinary shares, the depositary may require:</w:t>
      </w:r>
    </w:p>
    <w:p>
      <w:pPr>
        <w:spacing w:after="0" w:line="124" w:lineRule="exact"/>
        <w:rPr>
          <w:sz w:val="20"/>
          <w:szCs w:val="20"/>
          <w:color w:val="auto"/>
        </w:rPr>
      </w:pPr>
    </w:p>
    <w:p>
      <w:pPr>
        <w:ind w:left="1180" w:hanging="421"/>
        <w:spacing w:after="0"/>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of satisfactory proof of the identity and genuineness of any signature or other information it deems necessary; and</w:t>
      </w:r>
    </w:p>
    <w:p>
      <w:pPr>
        <w:spacing w:after="0" w:line="123" w:lineRule="exact"/>
        <w:rPr>
          <w:rFonts w:ascii="Times New Roman" w:cs="Times New Roman" w:eastAsia="Times New Roman" w:hAnsi="Times New Roman"/>
          <w:sz w:val="18"/>
          <w:szCs w:val="18"/>
          <w:color w:val="auto"/>
        </w:rPr>
      </w:pPr>
    </w:p>
    <w:p>
      <w:pPr>
        <w:ind w:left="1180" w:right="200" w:hanging="421"/>
        <w:spacing w:after="0" w:line="270" w:lineRule="auto"/>
        <w:tabs>
          <w:tab w:leader="none" w:pos="11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procedures it may establish, from time to time, consistent with the deposit agreement, including presentation of transfer documents.</w:t>
      </w:r>
    </w:p>
    <w:p>
      <w:pPr>
        <w:spacing w:after="0" w:line="169" w:lineRule="exact"/>
        <w:rPr>
          <w:sz w:val="20"/>
          <w:szCs w:val="20"/>
          <w:color w:val="auto"/>
        </w:rPr>
      </w:pPr>
    </w:p>
    <w:p>
      <w:pPr>
        <w:ind w:left="240" w:right="100" w:firstLine="971"/>
        <w:spacing w:after="0" w:line="270" w:lineRule="auto"/>
        <w:rPr>
          <w:sz w:val="20"/>
          <w:szCs w:val="20"/>
          <w:color w:val="auto"/>
        </w:rPr>
      </w:pPr>
      <w:r>
        <w:rPr>
          <w:rFonts w:ascii="Times New Roman" w:cs="Times New Roman" w:eastAsia="Times New Roman" w:hAnsi="Times New Roman"/>
          <w:sz w:val="18"/>
          <w:szCs w:val="18"/>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69" w:lineRule="exact"/>
        <w:rPr>
          <w:sz w:val="20"/>
          <w:szCs w:val="20"/>
          <w:color w:val="auto"/>
        </w:rPr>
      </w:pPr>
    </w:p>
    <w:p>
      <w:pPr>
        <w:ind w:left="240" w:right="80" w:firstLine="971"/>
        <w:spacing w:after="0" w:line="249" w:lineRule="auto"/>
        <w:rPr>
          <w:sz w:val="20"/>
          <w:szCs w:val="20"/>
          <w:color w:val="auto"/>
        </w:rPr>
      </w:pPr>
      <w:r>
        <w:rPr>
          <w:rFonts w:ascii="Times New Roman" w:cs="Times New Roman" w:eastAsia="Times New Roman" w:hAnsi="Times New Roman"/>
          <w:sz w:val="18"/>
          <w:szCs w:val="18"/>
          <w:color w:val="auto"/>
        </w:rPr>
        <w:t>All costs attributable to the transfer of Class A ordinary shares to effect a withdrawal from or deposit of ordinary shares into our ADS program will be borne by the investor requesting the transfer. In particular, holders of ordinary shares and ADSs should note that 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 In addition, holders of Class A ordinary shares and ADSs must pay up to US$5.00 (or less) per 100 ADSs for each issuance of ADSs and each cancelation of ADSs, as the case may be, in connection with the deposit of Class A ordinary shares into, or withdrawal of Class A ordinary shares from, our ADS program.</w:t>
      </w: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ectPr>
          <w:pgSz w:w="11900" w:h="16838" w:orient="portrait"/>
          <w:cols w:equalWidth="0" w:num="1">
            <w:col w:w="11020"/>
          </w:cols>
          <w:pgMar w:left="320" w:top="476" w:right="559" w:bottom="1440" w:gutter="0" w:footer="0" w:header="0"/>
        </w:sectPr>
      </w:pPr>
    </w:p>
    <w:p>
      <w:pPr>
        <w:spacing w:after="0" w:line="2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13.</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Defaults, Dividend Arrearages and Delinquencies</w:t>
      </w:r>
    </w:p>
    <w:p>
      <w:pPr>
        <w:spacing w:after="0" w:line="124" w:lineRule="exact"/>
        <w:rPr>
          <w:sz w:val="20"/>
          <w:szCs w:val="20"/>
          <w:color w:val="auto"/>
        </w:rPr>
      </w:pPr>
    </w:p>
    <w:p>
      <w:pPr>
        <w:sectPr>
          <w:pgSz w:w="11900" w:h="16838" w:orient="portrait"/>
          <w:cols w:equalWidth="0" w:num="2">
            <w:col w:w="840" w:space="460"/>
            <w:col w:w="9720"/>
          </w:cols>
          <w:pgMar w:left="320" w:top="476" w:right="5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None.</w:t>
      </w:r>
    </w:p>
    <w:p>
      <w:pPr>
        <w:sectPr>
          <w:pgSz w:w="11900" w:h="16838" w:orient="portrait"/>
          <w:cols w:equalWidth="0" w:num="1">
            <w:col w:w="11020"/>
          </w:cols>
          <w:pgMar w:left="320" w:top="476" w:right="559" w:bottom="1440" w:gutter="0" w:footer="0" w:header="0"/>
          <w:type w:val="continuous"/>
        </w:sectPr>
      </w:pP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14.</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24" w:lineRule="exact"/>
        <w:rPr>
          <w:sz w:val="20"/>
          <w:szCs w:val="20"/>
          <w:color w:val="auto"/>
        </w:rPr>
      </w:pPr>
    </w:p>
    <w:p>
      <w:pPr>
        <w:sectPr>
          <w:pgSz w:w="11900" w:h="16838" w:orient="portrait"/>
          <w:cols w:equalWidth="0" w:num="2">
            <w:col w:w="840" w:space="460"/>
            <w:col w:w="9720"/>
          </w:cols>
          <w:pgMar w:left="320" w:top="476" w:right="5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None.</w:t>
      </w:r>
    </w:p>
    <w:p>
      <w:pPr>
        <w:spacing w:after="0" w:line="35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ectPr>
          <w:pgSz w:w="11900" w:h="16838" w:orient="portrait"/>
          <w:cols w:equalWidth="0" w:num="1">
            <w:col w:w="11020"/>
          </w:cols>
          <w:pgMar w:left="320" w:top="476" w:right="559" w:bottom="1440" w:gutter="0" w:footer="0" w:header="0"/>
          <w:type w:val="continuous"/>
        </w:sectPr>
      </w:pP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2" w:lineRule="exact"/>
        <w:rPr>
          <w:sz w:val="20"/>
          <w:szCs w:val="20"/>
          <w:color w:val="auto"/>
        </w:rPr>
      </w:pPr>
    </w:p>
    <w:p>
      <w:pPr>
        <w:ind w:left="240" w:firstLine="971"/>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79" w:lineRule="exact"/>
        <w:rPr>
          <w:sz w:val="20"/>
          <w:szCs w:val="20"/>
          <w:color w:val="auto"/>
        </w:rPr>
      </w:pPr>
    </w:p>
    <w:p>
      <w:pPr>
        <w:ind w:left="240" w:right="20" w:firstLine="971"/>
        <w:spacing w:after="0" w:line="251"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2" w:lineRule="exact"/>
        <w:rPr>
          <w:sz w:val="20"/>
          <w:szCs w:val="20"/>
          <w:color w:val="auto"/>
        </w:rPr>
      </w:pPr>
    </w:p>
    <w:p>
      <w:pPr>
        <w:ind w:left="240" w:right="160" w:firstLine="971"/>
        <w:spacing w:after="0" w:line="24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320" w:top="476" w:right="55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jc w:val="both"/>
        <w:ind w:left="240" w:firstLine="971"/>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left="240" w:right="80" w:firstLine="971"/>
        <w:spacing w:after="0" w:line="248" w:lineRule="auto"/>
        <w:rPr>
          <w:sz w:val="20"/>
          <w:szCs w:val="20"/>
          <w:color w:val="auto"/>
        </w:rPr>
      </w:pPr>
      <w:r>
        <w:rPr>
          <w:rFonts w:ascii="Times New Roman" w:cs="Times New Roman" w:eastAsia="Times New Roman" w:hAnsi="Times New Roman"/>
          <w:sz w:val="18"/>
          <w:szCs w:val="18"/>
          <w:color w:val="auto"/>
        </w:rPr>
        <w:t>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2025 using the criteria set forth in the report “Internal Control-Integrated Framework (2013)” published by the Committee of Sponsoring Organizations of the Treadway Commission. We completed two acquisitions during the year ended December 31, 2025. As permitted by relevant rules and regulations, we have excluded these acquisitions from our evaluation of internal control over financial reporting as of December 31, 2025, whose financial statements represented less than 1% of total assets, total net revenues and net income of the amounts in our consolidated financial statements amounts as of and for the year ended December 31, 2025. Based on this evaluation, the management concluded that our internal control over financial reporting was effective as of December 31, 2025.</w:t>
      </w:r>
    </w:p>
    <w:p>
      <w:pPr>
        <w:spacing w:after="0" w:line="193" w:lineRule="exact"/>
        <w:rPr>
          <w:sz w:val="20"/>
          <w:szCs w:val="20"/>
          <w:color w:val="auto"/>
        </w:rPr>
      </w:pPr>
    </w:p>
    <w:p>
      <w:pPr>
        <w:ind w:left="240" w:right="60" w:firstLine="971"/>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audited the effectiveness of our company’s internal control over financial reporting as of December 31, 2025, as stated in its report, which appears on page F-4 of this annual report on Form 20-F.</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2" w:lineRule="exact"/>
        <w:rPr>
          <w:sz w:val="20"/>
          <w:szCs w:val="20"/>
          <w:color w:val="auto"/>
        </w:rPr>
      </w:pPr>
    </w:p>
    <w:p>
      <w:pPr>
        <w:ind w:left="240" w:right="40" w:firstLine="971"/>
        <w:spacing w:after="0" w:line="270"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312"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8"/>
          <w:szCs w:val="18"/>
          <w:b w:val="1"/>
          <w:bCs w:val="1"/>
          <w:color w:val="auto"/>
        </w:rPr>
        <w:t>Audit Committee Financial Expert</w:t>
      </w:r>
    </w:p>
    <w:p>
      <w:pPr>
        <w:spacing w:after="0" w:line="112" w:lineRule="exact"/>
        <w:rPr>
          <w:sz w:val="20"/>
          <w:szCs w:val="20"/>
          <w:color w:val="auto"/>
        </w:rPr>
      </w:pPr>
    </w:p>
    <w:p>
      <w:pPr>
        <w:ind w:left="240" w:right="240" w:firstLine="971"/>
        <w:spacing w:after="0" w:line="300" w:lineRule="auto"/>
        <w:rPr>
          <w:sz w:val="20"/>
          <w:szCs w:val="20"/>
          <w:color w:val="auto"/>
        </w:rPr>
      </w:pPr>
      <w:r>
        <w:rPr>
          <w:rFonts w:ascii="Times New Roman" w:cs="Times New Roman" w:eastAsia="Times New Roman" w:hAnsi="Times New Roman"/>
          <w:sz w:val="17"/>
          <w:szCs w:val="17"/>
          <w:color w:val="auto"/>
        </w:rPr>
        <w:t>Our board of directors has determined that Mr. Louis T. Hsieh, an independent director (under the standards set forth in Nasdaq Stock Market Rule 5605(a) (2) and Rule 10A-3 under the Exchange Act) and member of our audit committee, is an audit committee financial expert.</w:t>
      </w:r>
    </w:p>
    <w:p>
      <w:pPr>
        <w:spacing w:after="0" w:line="28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8"/>
          <w:szCs w:val="18"/>
          <w:b w:val="1"/>
          <w:bCs w:val="1"/>
          <w:color w:val="auto"/>
        </w:rPr>
        <w:t>Code of Ethics</w:t>
      </w:r>
    </w:p>
    <w:p>
      <w:pPr>
        <w:spacing w:after="0" w:line="112" w:lineRule="exact"/>
        <w:rPr>
          <w:sz w:val="20"/>
          <w:szCs w:val="20"/>
          <w:color w:val="auto"/>
        </w:rPr>
      </w:pPr>
    </w:p>
    <w:p>
      <w:pPr>
        <w:ind w:left="240" w:right="240" w:firstLine="971"/>
        <w:spacing w:after="0" w:line="270" w:lineRule="auto"/>
        <w:rPr>
          <w:sz w:val="20"/>
          <w:szCs w:val="20"/>
          <w:color w:val="auto"/>
        </w:rPr>
      </w:pPr>
      <w:r>
        <w:rPr>
          <w:rFonts w:ascii="Times New Roman" w:cs="Times New Roman" w:eastAsia="Times New Roman" w:hAnsi="Times New Roman"/>
          <w:sz w:val="18"/>
          <w:szCs w:val="18"/>
          <w:color w:val="auto"/>
        </w:rPr>
        <w:t xml:space="preserve">Our board of directors adopted an amended and restated code of business conduct and ethics that applies to our directors, officers and employees in November 2022. We have posted a copy of our code of business conduct and ethics on our website at </w:t>
      </w:r>
      <w:r>
        <w:rPr>
          <w:rFonts w:ascii="Times New Roman" w:cs="Times New Roman" w:eastAsia="Times New Roman" w:hAnsi="Times New Roman"/>
          <w:sz w:val="18"/>
          <w:szCs w:val="18"/>
          <w:i w:val="1"/>
          <w:iCs w:val="1"/>
          <w:color w:val="auto"/>
        </w:rPr>
        <w:t>http://ir.jd.com</w:t>
      </w:r>
    </w:p>
    <w:p>
      <w:pPr>
        <w:spacing w:after="0" w:line="1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860"/>
          </w:cols>
          <w:pgMar w:left="320" w:top="476" w:right="7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8"/>
          <w:szCs w:val="18"/>
          <w:b w:val="1"/>
          <w:bCs w:val="1"/>
          <w:color w:val="auto"/>
        </w:rPr>
        <w:t>Principal Accountant Fees and Services</w:t>
      </w:r>
    </w:p>
    <w:p>
      <w:pPr>
        <w:spacing w:after="0" w:line="112" w:lineRule="exact"/>
        <w:rPr>
          <w:sz w:val="20"/>
          <w:szCs w:val="20"/>
          <w:color w:val="auto"/>
        </w:rPr>
      </w:pPr>
    </w:p>
    <w:p>
      <w:pPr>
        <w:ind w:left="240" w:firstLine="971"/>
        <w:spacing w:after="0" w:line="287"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the periods indicated.</w:t>
      </w:r>
    </w:p>
    <w:p>
      <w:pPr>
        <w:spacing w:after="0" w:line="50"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338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8"/>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7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05"/>
        </w:trPr>
        <w:tc>
          <w:tcPr>
            <w:tcW w:w="33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3"/>
                <w:szCs w:val="23"/>
                <w:color w:val="auto"/>
                <w:vertAlign w:val="superscript"/>
              </w:rPr>
              <w:t>(2)</w:t>
            </w:r>
          </w:p>
        </w:tc>
        <w:tc>
          <w:tcPr>
            <w:tcW w:w="1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93"/>
              </w:rPr>
              <w:t>US$</w:t>
            </w:r>
          </w:p>
        </w:tc>
        <w:tc>
          <w:tcPr>
            <w:tcW w:w="7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7"/>
              </w:rPr>
              <w:t>3,952,434</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93"/>
              </w:rPr>
              <w:t>US$</w:t>
            </w:r>
          </w:p>
        </w:tc>
        <w:tc>
          <w:tcPr>
            <w:tcW w:w="7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4"/>
              </w:rPr>
              <w:t>4,270,638</w:t>
            </w:r>
          </w:p>
        </w:tc>
        <w:tc>
          <w:tcPr>
            <w:tcW w:w="60" w:type="dxa"/>
            <w:vAlign w:val="bottom"/>
            <w:shd w:val="clear" w:color="auto" w:fill="CCEEFF"/>
          </w:tcPr>
          <w:p>
            <w:pPr>
              <w:spacing w:after="0"/>
              <w:rPr>
                <w:sz w:val="17"/>
                <w:szCs w:val="17"/>
                <w:color w:val="auto"/>
              </w:rPr>
            </w:pPr>
          </w:p>
        </w:tc>
      </w:tr>
      <w:tr>
        <w:trPr>
          <w:trHeight w:val="212"/>
        </w:trPr>
        <w:tc>
          <w:tcPr>
            <w:tcW w:w="3380" w:type="dxa"/>
            <w:vAlign w:val="bottom"/>
          </w:tcPr>
          <w:p>
            <w:pPr>
              <w:spacing w:after="0" w:line="211" w:lineRule="exact"/>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4"/>
                <w:szCs w:val="24"/>
                <w:color w:val="auto"/>
                <w:vertAlign w:val="superscript"/>
              </w:rPr>
              <w:t>(3)</w:t>
            </w:r>
          </w:p>
        </w:tc>
        <w:tc>
          <w:tcPr>
            <w:tcW w:w="22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w w:val="93"/>
              </w:rPr>
              <w:t>US$</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7,048,787</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US$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5,651,584</w:t>
            </w:r>
          </w:p>
        </w:tc>
      </w:tr>
      <w:tr>
        <w:trPr>
          <w:trHeight w:val="212"/>
        </w:trPr>
        <w:tc>
          <w:tcPr>
            <w:tcW w:w="338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4"/>
                <w:szCs w:val="24"/>
                <w:color w:val="auto"/>
                <w:vertAlign w:val="superscript"/>
              </w:rPr>
              <w:t>(4)</w:t>
            </w:r>
          </w:p>
        </w:tc>
        <w:tc>
          <w:tcPr>
            <w:tcW w:w="22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w w:val="93"/>
              </w:rPr>
              <w:t>US$</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491,901</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3"/>
              </w:rPr>
              <w:t>US$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4"/>
              </w:rPr>
              <w:t>1,185,183</w:t>
            </w:r>
          </w:p>
        </w:tc>
      </w:tr>
      <w:tr>
        <w:trPr>
          <w:trHeight w:val="3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6"/>
                <w:szCs w:val="26"/>
                <w:color w:val="auto"/>
                <w:vertAlign w:val="superscript"/>
              </w:rPr>
              <w:t>(5)</w:t>
            </w:r>
          </w:p>
        </w:tc>
        <w:tc>
          <w:tcPr>
            <w:tcW w:w="22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w w:val="93"/>
              </w:rPr>
              <w:t>US$</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1,354,843</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US$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-2540</wp:posOffset>
            </wp:positionV>
            <wp:extent cx="7556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w:t>
      </w:r>
    </w:p>
    <w:p>
      <w:pPr>
        <w:spacing w:after="0" w:line="124" w:lineRule="exact"/>
        <w:rPr>
          <w:sz w:val="20"/>
          <w:szCs w:val="20"/>
          <w:color w:val="auto"/>
        </w:rPr>
      </w:pPr>
    </w:p>
    <w:p>
      <w:pPr>
        <w:ind w:left="660" w:right="340" w:hanging="430"/>
        <w:spacing w:after="0" w:line="25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Deloitte Touche Tohmatsu Certified Public Accountants LLP as external auditor for our annual report on Form 20-F, and Deloitte Touche Tohmatsu, Registered Public Interest Entity Auditor in Hong Kong as external auditor for our HK annual report. Deloitte Touche Tohmatsu Certified Public Accountants LLP’s PCAOB ID is 1113.</w:t>
      </w:r>
    </w:p>
    <w:p>
      <w:pPr>
        <w:ind w:left="660" w:right="240" w:hanging="430"/>
        <w:spacing w:after="0" w:line="245"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with the SEC. In 2024 and 2025, the audit refers to financial audit and audit pursuant to Section 404 of the Sarbanes-Oxley Act of 2002.</w:t>
      </w:r>
    </w:p>
    <w:p>
      <w:pPr>
        <w:ind w:left="660" w:right="220" w:hanging="430"/>
        <w:spacing w:after="0" w:line="245"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means fees billed in each of the fiscal years listed for the issue of comfort letter, rendering of listing advice and other audit-related services to the company, including its consolidated subsidiaries.</w:t>
      </w:r>
    </w:p>
    <w:p>
      <w:pPr>
        <w:ind w:left="660" w:right="340" w:hanging="430"/>
        <w:spacing w:after="0" w:line="245"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means the aggregate fees billed in each of the fiscal years listed for professional services rendered by our principal auditors for tax compliance, tax advice and tax planning.</w:t>
      </w:r>
    </w:p>
    <w:p>
      <w:pPr>
        <w:ind w:left="660" w:right="420" w:hanging="430"/>
        <w:spacing w:after="0" w:line="247"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means the aggregate fees billed in each of the fiscal years listed for professional services rendered by our principal auditors associated with certain financial due diligence projects, permissible services to review and comment on internal control design over financial reporting and other advisory services.</w:t>
      </w:r>
    </w:p>
    <w:p>
      <w:pPr>
        <w:spacing w:after="0" w:line="189" w:lineRule="exact"/>
        <w:rPr>
          <w:sz w:val="20"/>
          <w:szCs w:val="20"/>
          <w:color w:val="auto"/>
        </w:rPr>
      </w:pPr>
    </w:p>
    <w:p>
      <w:pPr>
        <w:ind w:left="240" w:right="340" w:firstLine="971"/>
        <w:spacing w:after="0" w:line="258"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our independent registered public accounting firms, including audit services, audit-related services, tax services and other services as described above, other than those for de minimis services which are approved by the audit committee prior to the completion of the audit.</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20"/>
          </w:cols>
          <w:pgMar w:left="320" w:top="476" w:right="5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5020"/>
        <w:spacing w:after="0" w:line="395" w:lineRule="auto"/>
        <w:rPr>
          <w:sz w:val="20"/>
          <w:szCs w:val="20"/>
          <w:color w:val="auto"/>
        </w:rPr>
      </w:pPr>
      <w:r>
        <w:rPr>
          <w:rFonts w:ascii="Times New Roman" w:cs="Times New Roman" w:eastAsia="Times New Roman" w:hAnsi="Times New Roman"/>
          <w:sz w:val="18"/>
          <w:szCs w:val="18"/>
          <w:b w:val="1"/>
          <w:bCs w:val="1"/>
          <w:color w:val="auto"/>
        </w:rPr>
        <w:t xml:space="preserve">Item 16D. Exemptions from the Listing Standards for Audit Committees </w:t>
      </w: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320" w:top="476" w:right="599" w:bottom="1440" w:gutter="0" w:footer="0" w:header="0"/>
        </w:sectPr>
      </w:pPr>
    </w:p>
    <w:p>
      <w:pPr>
        <w:spacing w:after="0" w:line="2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16E.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22" w:lineRule="exact"/>
        <w:rPr>
          <w:sz w:val="20"/>
          <w:szCs w:val="20"/>
          <w:color w:val="auto"/>
        </w:rPr>
      </w:pPr>
    </w:p>
    <w:p>
      <w:pPr>
        <w:sectPr>
          <w:pgSz w:w="11900" w:h="16838" w:orient="portrait"/>
          <w:cols w:equalWidth="0" w:num="2">
            <w:col w:w="960" w:space="340"/>
            <w:col w:w="9680"/>
          </w:cols>
          <w:pgMar w:left="320" w:top="476" w:right="599" w:bottom="1440" w:gutter="0" w:footer="0" w:header="0"/>
          <w:type w:val="continuous"/>
        </w:sectPr>
      </w:pPr>
    </w:p>
    <w:p>
      <w:pPr>
        <w:ind w:left="240" w:firstLine="971"/>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2020 Share Repurchase Program. </w:t>
      </w:r>
      <w:r>
        <w:rPr>
          <w:rFonts w:ascii="Times New Roman" w:cs="Times New Roman" w:eastAsia="Times New Roman" w:hAnsi="Times New Roman"/>
          <w:sz w:val="18"/>
          <w:szCs w:val="18"/>
          <w:color w:val="auto"/>
        </w:rPr>
        <w:t>On March 17, 2020, our board of directors authorized a share repurchase program, under which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up to US$2.0 billion of our ADSs or ordinary shares over the next 24 months through March 17, 2022. The share repurchase program was publicly announced on March 17, 2020. On December 29, 2021, our board of directors approved modifications to the share repurchase program adopted in March 2020, pursuant to which the repurchase authorization has increased from US$2.0 billion to US$3.0 billion and has been extended until March 17, 2024.</w:t>
      </w:r>
    </w:p>
    <w:p>
      <w:pPr>
        <w:spacing w:after="0" w:line="182" w:lineRule="exact"/>
        <w:rPr>
          <w:sz w:val="20"/>
          <w:szCs w:val="20"/>
          <w:color w:val="auto"/>
        </w:rPr>
      </w:pPr>
    </w:p>
    <w:p>
      <w:pPr>
        <w:ind w:left="240" w:right="4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2024 Share Repurchase Program</w:t>
      </w:r>
      <w:r>
        <w:rPr>
          <w:rFonts w:ascii="Times New Roman" w:cs="Times New Roman" w:eastAsia="Times New Roman" w:hAnsi="Times New Roman"/>
          <w:sz w:val="18"/>
          <w:szCs w:val="18"/>
          <w:color w:val="auto"/>
        </w:rPr>
        <w:t>. Our board of directors has approved a share repurchase program, effective on March 18, 2024,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we may repurchase up to US$3.0 billion worth of our shares (including ADSs) over the next 36 months through March 2027. We had fully utilized the repurchase amount authorized under the US$3.0 billion share repurchase program by the third quarter of 2024.</w:t>
      </w:r>
    </w:p>
    <w:p>
      <w:pPr>
        <w:spacing w:after="0" w:line="176" w:lineRule="exact"/>
        <w:rPr>
          <w:sz w:val="20"/>
          <w:szCs w:val="20"/>
          <w:color w:val="auto"/>
        </w:rPr>
      </w:pPr>
    </w:p>
    <w:p>
      <w:pPr>
        <w:jc w:val="both"/>
        <w:ind w:left="240" w:right="180" w:firstLine="971"/>
        <w:spacing w:after="0" w:line="259" w:lineRule="auto"/>
        <w:rPr>
          <w:sz w:val="20"/>
          <w:szCs w:val="20"/>
          <w:color w:val="auto"/>
        </w:rPr>
      </w:pPr>
      <w:r>
        <w:rPr>
          <w:rFonts w:ascii="Times New Roman" w:cs="Times New Roman" w:eastAsia="Times New Roman" w:hAnsi="Times New Roman"/>
          <w:sz w:val="18"/>
          <w:szCs w:val="18"/>
          <w:i w:val="1"/>
          <w:iCs w:val="1"/>
          <w:color w:val="auto"/>
        </w:rPr>
        <w:t>New 2024 Share Repurchase Program</w:t>
      </w:r>
      <w:r>
        <w:rPr>
          <w:rFonts w:ascii="Times New Roman" w:cs="Times New Roman" w:eastAsia="Times New Roman" w:hAnsi="Times New Roman"/>
          <w:sz w:val="18"/>
          <w:szCs w:val="18"/>
          <w:color w:val="auto"/>
        </w:rPr>
        <w:t>. Our board of directors has approved a share repurchase program effective in September 2024,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2024 Share Repurchase Program, pursuant to which we may repurchase up to US$5.0 billion worth of our shares (including ADSs) over the next 36 months through the end of August 2027.</w:t>
      </w:r>
    </w:p>
    <w:p>
      <w:pPr>
        <w:spacing w:after="0" w:line="178" w:lineRule="exact"/>
        <w:rPr>
          <w:sz w:val="20"/>
          <w:szCs w:val="20"/>
          <w:color w:val="auto"/>
        </w:rPr>
      </w:pPr>
    </w:p>
    <w:p>
      <w:pPr>
        <w:ind w:left="240" w:right="140" w:firstLine="971"/>
        <w:spacing w:after="0" w:line="270" w:lineRule="auto"/>
        <w:rPr>
          <w:sz w:val="20"/>
          <w:szCs w:val="20"/>
          <w:color w:val="auto"/>
        </w:rPr>
      </w:pPr>
      <w:r>
        <w:rPr>
          <w:rFonts w:ascii="Times New Roman" w:cs="Times New Roman" w:eastAsia="Times New Roman" w:hAnsi="Times New Roman"/>
          <w:sz w:val="18"/>
          <w:szCs w:val="18"/>
          <w:color w:val="auto"/>
        </w:rPr>
        <w:t>The table below is a summary of our share repurchases in the periods indicated. These repurchases were made pursuant to the New 2024 Share Repurchase Program. All other shares were repurchased in the open market pursuant to the share repurchase programs.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11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Dollar</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1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Part</w:t>
            </w:r>
          </w:p>
        </w:tc>
        <w:tc>
          <w:tcPr>
            <w:tcW w:w="112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Number</w:t>
            </w:r>
          </w:p>
        </w:tc>
        <w:tc>
          <w:tcPr>
            <w:tcW w:w="8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of the</w:t>
            </w:r>
          </w:p>
        </w:tc>
        <w:tc>
          <w:tcPr>
            <w:tcW w:w="11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of Class A</w:t>
            </w:r>
          </w:p>
        </w:tc>
        <w:tc>
          <w:tcPr>
            <w:tcW w:w="86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Paid</w:t>
            </w:r>
          </w:p>
        </w:tc>
        <w:tc>
          <w:tcPr>
            <w:tcW w:w="13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1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45"/>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80" w:type="dxa"/>
            <w:vAlign w:val="bottom"/>
            <w:vMerge w:val="restart"/>
          </w:tcPr>
          <w:p>
            <w:pPr>
              <w:spacing w:after="0"/>
              <w:rPr>
                <w:sz w:val="12"/>
                <w:szCs w:val="12"/>
                <w:color w:val="auto"/>
              </w:rPr>
            </w:pPr>
          </w:p>
        </w:tc>
        <w:tc>
          <w:tcPr>
            <w:tcW w:w="2040" w:type="dxa"/>
            <w:vAlign w:val="bottom"/>
          </w:tcPr>
          <w:p>
            <w:pPr>
              <w:spacing w:after="0"/>
              <w:rPr>
                <w:sz w:val="12"/>
                <w:szCs w:val="12"/>
                <w:color w:val="auto"/>
              </w:rPr>
            </w:pPr>
          </w:p>
        </w:tc>
        <w:tc>
          <w:tcPr>
            <w:tcW w:w="13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86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Per</w:t>
            </w:r>
          </w:p>
        </w:tc>
        <w:tc>
          <w:tcPr>
            <w:tcW w:w="13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11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7"/>
        </w:trPr>
        <w:tc>
          <w:tcPr>
            <w:tcW w:w="42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134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86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Share</w:t>
            </w:r>
          </w:p>
        </w:tc>
        <w:tc>
          <w:tcPr>
            <w:tcW w:w="136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112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98"/>
        </w:trPr>
        <w:tc>
          <w:tcPr>
            <w:tcW w:w="3200" w:type="dxa"/>
            <w:vAlign w:val="bottom"/>
            <w:tcBorders>
              <w:top w:val="single" w:sz="8" w:color="CCEEFF"/>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1–31, 2025</w:t>
            </w:r>
          </w:p>
        </w:tc>
        <w:tc>
          <w:tcPr>
            <w:tcW w:w="20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6,844,922</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3"/>
              </w:rPr>
              <w:t>17.02</w:t>
            </w:r>
          </w:p>
        </w:tc>
        <w:tc>
          <w:tcPr>
            <w:tcW w:w="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6,844,922</w:t>
            </w: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w w:val="94"/>
              </w:rPr>
              <w:t>4,883,509,047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1–31, 2025</w:t>
            </w:r>
          </w:p>
        </w:tc>
        <w:tc>
          <w:tcPr>
            <w:tcW w:w="3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16,807,770</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20.73</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16,807,770</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4,535,044,265</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1–30, 2025</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57,088,788</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18.15</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57,088,788</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3,498,832,837</w:t>
            </w:r>
          </w:p>
        </w:tc>
        <w:tc>
          <w:tcPr>
            <w:tcW w:w="0" w:type="dxa"/>
            <w:vAlign w:val="bottom"/>
          </w:tcPr>
          <w:p>
            <w:pPr>
              <w:spacing w:after="0"/>
              <w:rPr>
                <w:sz w:val="1"/>
                <w:szCs w:val="1"/>
                <w:color w:val="auto"/>
              </w:rPr>
            </w:pPr>
          </w:p>
        </w:tc>
      </w:tr>
      <w:tr>
        <w:trPr>
          <w:trHeight w:val="21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1–31, 2025</w:t>
            </w:r>
          </w:p>
        </w:tc>
        <w:tc>
          <w:tcPr>
            <w:tcW w:w="3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155,522</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14.99</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155,522</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3,496,502,325</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1–30, 2025</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51,213,376</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14.63</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51,213,376</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2,746,998,518</w:t>
            </w:r>
          </w:p>
        </w:tc>
        <w:tc>
          <w:tcPr>
            <w:tcW w:w="0" w:type="dxa"/>
            <w:vAlign w:val="bottom"/>
          </w:tcPr>
          <w:p>
            <w:pPr>
              <w:spacing w:after="0"/>
              <w:rPr>
                <w:sz w:val="1"/>
                <w:szCs w:val="1"/>
                <w:color w:val="auto"/>
              </w:rPr>
            </w:pPr>
          </w:p>
        </w:tc>
      </w:tr>
      <w:tr>
        <w:trPr>
          <w:trHeight w:val="21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1–31, 2025</w:t>
            </w:r>
          </w:p>
        </w:tc>
        <w:tc>
          <w:tcPr>
            <w:tcW w:w="3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51,129,084</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14.68</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51,129,084</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1,996,502,346</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2026</w:t>
            </w:r>
          </w:p>
        </w:tc>
        <w:tc>
          <w:tcPr>
            <w:tcW w:w="3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44,545,172</w:t>
            </w:r>
          </w:p>
        </w:tc>
        <w:tc>
          <w:tcPr>
            <w:tcW w:w="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14.17</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44,545,172</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1,365,481,826</w:t>
            </w:r>
          </w:p>
        </w:tc>
        <w:tc>
          <w:tcPr>
            <w:tcW w:w="0" w:type="dxa"/>
            <w:vAlign w:val="bottom"/>
          </w:tcPr>
          <w:p>
            <w:pPr>
              <w:spacing w:after="0"/>
              <w:rPr>
                <w:sz w:val="1"/>
                <w:szCs w:val="1"/>
                <w:color w:val="auto"/>
              </w:rPr>
            </w:pPr>
          </w:p>
        </w:tc>
      </w:tr>
      <w:tr>
        <w:trPr>
          <w:trHeight w:val="22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227,784,634</w:t>
            </w:r>
          </w:p>
        </w:tc>
        <w:tc>
          <w:tcPr>
            <w:tcW w:w="320" w:type="dxa"/>
            <w:vAlign w:val="bottom"/>
          </w:tcPr>
          <w:p>
            <w:pPr>
              <w:spacing w:after="0"/>
              <w:rPr>
                <w:sz w:val="19"/>
                <w:szCs w:val="19"/>
                <w:color w:val="auto"/>
              </w:rPr>
            </w:pPr>
          </w:p>
        </w:tc>
        <w:tc>
          <w:tcPr>
            <w:tcW w:w="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3"/>
              </w:rPr>
              <w:t>15.96</w:t>
            </w:r>
          </w:p>
        </w:tc>
        <w:tc>
          <w:tcPr>
            <w:tcW w:w="3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227,784,634</w:t>
            </w:r>
          </w:p>
        </w:tc>
        <w:tc>
          <w:tcPr>
            <w:tcW w:w="340" w:type="dxa"/>
            <w:vAlign w:val="bottom"/>
          </w:tcPr>
          <w:p>
            <w:pPr>
              <w:spacing w:after="0"/>
              <w:rPr>
                <w:sz w:val="19"/>
                <w:szCs w:val="19"/>
                <w:color w:val="auto"/>
              </w:rPr>
            </w:pPr>
          </w:p>
        </w:tc>
        <w:tc>
          <w:tcPr>
            <w:tcW w:w="10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4"/>
              </w:rPr>
              <w:t>1,365,481,826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191</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76" w:right="5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8"/>
          <w:szCs w:val="18"/>
          <w:b w:val="1"/>
          <w:bCs w:val="1"/>
          <w:color w:val="auto"/>
        </w:rPr>
        <w:t>Change in Registrant’s Certifying Accountant</w:t>
      </w:r>
    </w:p>
    <w:p>
      <w:pPr>
        <w:spacing w:after="0" w:line="11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8"/>
          <w:szCs w:val="18"/>
          <w:b w:val="1"/>
          <w:bCs w:val="1"/>
          <w:color w:val="auto"/>
        </w:rPr>
        <w:t>Corporate Governance</w:t>
      </w:r>
    </w:p>
    <w:p>
      <w:pPr>
        <w:spacing w:after="0" w:line="11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As a Cayman Islands exempted company listed on Nasdaq,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have elected to follow home country practice in lieu of the corporate governance requirements of the Nasdaq with respect to the adoption of our 2023 Share Incentive Plan without the approval of our shareholders. In this respect, and in other respects if we choose to follow other home country practice in the future, our shareholders may be afforded less protection than they otherwise would under the Nasdaq corporate governance listing standards applicable to U.S. domestic issuers. See “Item 3.D. Key Information—Risk Factors—Risks Related to Our ADSs and Class A Ordinary Shares—We are a foreign private issuer within the meaning of the rules under the Exchange Act, and as such we are exempt from certain provisions applicable to U.S. domestic public companies.”</w:t>
      </w:r>
    </w:p>
    <w:p>
      <w:pPr>
        <w:sectPr>
          <w:pgSz w:w="11900" w:h="16838" w:orient="portrait"/>
          <w:cols w:equalWidth="0" w:num="1">
            <w:col w:w="10960"/>
          </w:cols>
          <w:pgMar w:left="320" w:top="476" w:right="619" w:bottom="1440" w:gutter="0" w:footer="0" w:header="0"/>
        </w:sectPr>
      </w:pPr>
    </w:p>
    <w:p>
      <w:pPr>
        <w:spacing w:after="0" w:line="3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16H.</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Mine Safety Disclosure</w:t>
      </w:r>
    </w:p>
    <w:p>
      <w:pPr>
        <w:spacing w:after="0" w:line="124" w:lineRule="exact"/>
        <w:rPr>
          <w:sz w:val="20"/>
          <w:szCs w:val="20"/>
          <w:color w:val="auto"/>
        </w:rPr>
      </w:pPr>
    </w:p>
    <w:p>
      <w:pPr>
        <w:sectPr>
          <w:pgSz w:w="11900" w:h="16838" w:orient="portrait"/>
          <w:cols w:equalWidth="0" w:num="2">
            <w:col w:w="980" w:space="320"/>
            <w:col w:w="9660"/>
          </w:cols>
          <w:pgMar w:left="320" w:top="476" w:right="61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60"/>
          </w:cols>
          <w:pgMar w:left="320" w:top="476" w:right="619" w:bottom="1440" w:gutter="0" w:footer="0" w:header="0"/>
          <w:type w:val="continuous"/>
        </w:sectPr>
      </w:pP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Item 16I.</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4" w:lineRule="exact"/>
        <w:rPr>
          <w:sz w:val="20"/>
          <w:szCs w:val="20"/>
          <w:color w:val="auto"/>
        </w:rPr>
      </w:pPr>
    </w:p>
    <w:p>
      <w:pPr>
        <w:sectPr>
          <w:pgSz w:w="11900" w:h="16838" w:orient="portrait"/>
          <w:cols w:equalWidth="0" w:num="2">
            <w:col w:w="900" w:space="400"/>
            <w:col w:w="9660"/>
          </w:cols>
          <w:pgMar w:left="320" w:top="476" w:right="61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192</w:t>
      </w:r>
    </w:p>
    <w:p>
      <w:pPr>
        <w:sectPr>
          <w:pgSz w:w="11900" w:h="16838" w:orient="portrait"/>
          <w:cols w:equalWidth="0" w:num="1">
            <w:col w:w="10960"/>
          </w:cols>
          <w:pgMar w:left="320" w:top="476" w:right="61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16J.</w:t>
      </w:r>
      <w:r>
        <w:rPr>
          <w:sz w:val="20"/>
          <w:szCs w:val="20"/>
          <w:color w:val="auto"/>
        </w:rPr>
        <w:tab/>
      </w:r>
      <w:r>
        <w:rPr>
          <w:rFonts w:ascii="Times New Roman" w:cs="Times New Roman" w:eastAsia="Times New Roman" w:hAnsi="Times New Roman"/>
          <w:sz w:val="18"/>
          <w:szCs w:val="18"/>
          <w:b w:val="1"/>
          <w:bCs w:val="1"/>
          <w:color w:val="auto"/>
        </w:rPr>
        <w:t>Insider Trading Policies</w:t>
      </w:r>
    </w:p>
    <w:p>
      <w:pPr>
        <w:spacing w:after="0" w:line="112" w:lineRule="exact"/>
        <w:rPr>
          <w:sz w:val="20"/>
          <w:szCs w:val="20"/>
          <w:color w:val="auto"/>
        </w:rPr>
      </w:pPr>
    </w:p>
    <w:p>
      <w:pPr>
        <w:ind w:left="240" w:right="180" w:firstLine="971"/>
        <w:spacing w:after="0" w:line="258" w:lineRule="auto"/>
        <w:rPr>
          <w:sz w:val="20"/>
          <w:szCs w:val="20"/>
          <w:color w:val="auto"/>
        </w:rPr>
      </w:pPr>
      <w:r>
        <w:rPr>
          <w:rFonts w:ascii="Times New Roman" w:cs="Times New Roman" w:eastAsia="Times New Roman" w:hAnsi="Times New Roman"/>
          <w:sz w:val="18"/>
          <w:szCs w:val="18"/>
          <w:color w:val="auto"/>
        </w:rPr>
        <w:t>Our board of directors has established insider trading policies and procedures governing the purchase, sale, and other dispositions of our securities by our directors, officers, employees and other relevant persons to promote compliance with applicable insider trading laws, rules and regulations, and listing standards.</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Amended and Restated Insider Trading Policy is filed as Exhibit 11.2 to this annual report on Form 20-F.</w:t>
      </w:r>
    </w:p>
    <w:p>
      <w:pPr>
        <w:spacing w:after="0" w:line="35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8"/>
          <w:szCs w:val="18"/>
          <w:b w:val="1"/>
          <w:bCs w:val="1"/>
          <w:color w:val="auto"/>
        </w:rPr>
        <w:t>Cybersecurity</w:t>
      </w:r>
    </w:p>
    <w:p>
      <w:pPr>
        <w:spacing w:after="0" w:line="11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12" w:lineRule="exact"/>
        <w:rPr>
          <w:sz w:val="20"/>
          <w:szCs w:val="20"/>
          <w:color w:val="auto"/>
        </w:rPr>
      </w:pPr>
    </w:p>
    <w:p>
      <w:pPr>
        <w:ind w:left="240" w:firstLine="971"/>
        <w:spacing w:after="0" w:line="250"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that are integrated into our overall enterprise risk management system. These procedures aim to identify, assess, and manage potential and existing cybersecurity threats. We have a strong inhouse IT and cybersecurity department, led by our cybersecurity officer, that identifies, assesses, and manages cybersecurity risks on a daily basis. We have ensured that our employees have full access to the basic knowledge and principles of information security, established a sound responding process and disposal mechanism for system security, external attacks and violations, and safeguarded the confidentiality of information and data of the enterprise, employees and customers, making sure information and data can only be obtained and used when necessary.</w:t>
      </w:r>
    </w:p>
    <w:p>
      <w:pPr>
        <w:spacing w:after="0" w:line="187" w:lineRule="exact"/>
        <w:rPr>
          <w:sz w:val="20"/>
          <w:szCs w:val="20"/>
          <w:color w:val="auto"/>
        </w:rPr>
      </w:pPr>
    </w:p>
    <w:p>
      <w:pPr>
        <w:ind w:left="240" w:right="220" w:firstLine="971"/>
        <w:spacing w:after="0" w:line="249" w:lineRule="auto"/>
        <w:rPr>
          <w:sz w:val="20"/>
          <w:szCs w:val="20"/>
          <w:color w:val="auto"/>
        </w:rPr>
      </w:pPr>
      <w:r>
        <w:rPr>
          <w:rFonts w:ascii="Times New Roman" w:cs="Times New Roman" w:eastAsia="Times New Roman" w:hAnsi="Times New Roman"/>
          <w:sz w:val="18"/>
          <w:szCs w:val="18"/>
          <w:color w:val="auto"/>
        </w:rPr>
        <w:t>Besides, we engage external parties to conduct thorough assessments of our information systems. Our IT and cybersecurity department work closely with third-party service providers to ensure their compliance with our cybersecurity standards and to assess risks arising from our engagements with them. We strive to ensure the highest standards and procedures to protect data and information security for billions of consumers, millions of merchants, large multinational businesses, and government users. To guarantee the secure operation of large-scale online promotional shopping events, such as “618” and “11.11,” digital security is paramount to ensuring smooth business operations. We will continue to apply advance security technologies to ensure the safety of users, enterprises, and industries and contribute to the healthy development of the information security ecosystem.</w:t>
      </w:r>
    </w:p>
    <w:p>
      <w:pPr>
        <w:spacing w:after="0" w:line="189" w:lineRule="exact"/>
        <w:rPr>
          <w:sz w:val="20"/>
          <w:szCs w:val="20"/>
          <w:color w:val="auto"/>
        </w:rPr>
      </w:pPr>
    </w:p>
    <w:p>
      <w:pPr>
        <w:ind w:left="240" w:right="80" w:firstLine="971"/>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that have affected or are reasonably likely to affect us, our business strategy, results of operations, or financial condition. In 2025, we did not identify any violations of information security or privacy protection and did not receive any penalty for information security vulnerabilities or other network security breaches.</w:t>
      </w:r>
    </w:p>
    <w:p>
      <w:pPr>
        <w:spacing w:after="0" w:line="28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12" w:lineRule="exact"/>
        <w:rPr>
          <w:sz w:val="20"/>
          <w:szCs w:val="20"/>
          <w:color w:val="auto"/>
        </w:rPr>
      </w:pPr>
    </w:p>
    <w:p>
      <w:pPr>
        <w:ind w:left="240" w:firstLine="971"/>
        <w:spacing w:after="0" w:line="248" w:lineRule="auto"/>
        <w:rPr>
          <w:sz w:val="20"/>
          <w:szCs w:val="20"/>
          <w:color w:val="auto"/>
        </w:rPr>
      </w:pPr>
      <w:r>
        <w:rPr>
          <w:rFonts w:ascii="Times New Roman" w:cs="Times New Roman" w:eastAsia="Times New Roman" w:hAnsi="Times New Roman"/>
          <w:sz w:val="18"/>
          <w:szCs w:val="18"/>
          <w:color w:val="auto"/>
        </w:rPr>
        <w:t>The ESG committee of our board of directors is responsible for overseeing risks related to cybersecurity. When appropriate, periodic reviews are held to discuss the landscape of cybersecurity, potential threats, and our preparedness for potential cybersecurity threats and risks to our company. In case a material cybersecurity occurs, the ESG committee is responsible for reviewing the information and issues involved, disclosures to be made, and the procedures followed. Our cybersecurity officer, who has over 10 years of experience as cybersecurity officer in large technology companies and extensive knowledge and skills in security products development, security risk management, and security compliance, is primarily responsible for assessing and managing cybersecurity risks and monitoring the prevention, detection, mitigation, and remediation of cybersecurity incidents. The cybersecurity officer reports to our chief compliance officer and provides periodic updates to our strategy execution committee and the ESG committee on any material cybersecurity incidents or material risks arising from cybersecurity threats.</w:t>
      </w:r>
    </w:p>
    <w:p>
      <w:pPr>
        <w:spacing w:after="0" w:line="12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320" w:top="476" w:right="5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4"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59"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112" w:lineRule="exact"/>
        <w:rPr>
          <w:sz w:val="20"/>
          <w:szCs w:val="20"/>
          <w:color w:val="auto"/>
        </w:rPr>
      </w:pPr>
    </w:p>
    <w:p>
      <w:pPr>
        <w:ind w:left="240" w:right="60" w:firstLine="431"/>
        <w:spacing w:after="0" w:line="270" w:lineRule="auto"/>
        <w:rPr>
          <w:sz w:val="20"/>
          <w:szCs w:val="20"/>
          <w:color w:val="auto"/>
        </w:rPr>
      </w:pPr>
      <w:r>
        <w:rPr>
          <w:rFonts w:ascii="Times New Roman" w:cs="Times New Roman" w:eastAsia="Times New Roman" w:hAnsi="Times New Roman"/>
          <w:sz w:val="18"/>
          <w:szCs w:val="18"/>
          <w:color w:val="auto"/>
        </w:rPr>
        <w:t>The consolidated financial statements of JD.com, Inc., its subsidiaries and the consolidated variable interest entities are included at the end of this annual report.</w:t>
      </w:r>
    </w:p>
    <w:p>
      <w:pPr>
        <w:spacing w:after="0" w:line="312" w:lineRule="exact"/>
        <w:rPr>
          <w:sz w:val="20"/>
          <w:szCs w:val="20"/>
          <w:color w:val="auto"/>
        </w:rPr>
      </w:pPr>
    </w:p>
    <w:p>
      <w:pPr>
        <w:ind w:left="2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ectPr>
          <w:pgSz w:w="11900" w:h="16838" w:orient="portrait"/>
          <w:cols w:equalWidth="0" w:num="1">
            <w:col w:w="11000"/>
          </w:cols>
          <w:pgMar w:left="320" w:top="476" w:right="579" w:bottom="1440" w:gutter="0" w:footer="0" w:header="0"/>
        </w:sectPr>
      </w:pPr>
    </w:p>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Exhibit</w:t>
      </w:r>
    </w:p>
    <w:p>
      <w:pPr>
        <w:ind w:left="24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20"/>
        <w:spacing w:after="0" w:line="270" w:lineRule="auto"/>
        <w:rPr>
          <w:rFonts w:ascii="Times New Roman" w:cs="Times New Roman" w:eastAsia="Times New Roman" w:hAnsi="Times New Roman"/>
          <w:sz w:val="18"/>
          <w:szCs w:val="18"/>
          <w:u w:val="single" w:color="auto"/>
          <w:color w:val="0000EE"/>
        </w:rPr>
      </w:pPr>
      <w:hyperlink r:id="rId229">
        <w:r>
          <w:rPr>
            <w:rFonts w:ascii="Times New Roman" w:cs="Times New Roman" w:eastAsia="Times New Roman" w:hAnsi="Times New Roman"/>
            <w:sz w:val="18"/>
            <w:szCs w:val="18"/>
            <w:u w:val="single" w:color="auto"/>
            <w:color w:val="0000EE"/>
          </w:rPr>
          <w:t>Third Amended and Restated Memorandum and Articles of Association of the Registrant (incorporated herein by reference to Exhibit 3.1 to</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the current report on Form 6-K (File No. 001-36450), furnished with the Securities and Exchange Commission on June 21, 2023)</w:t>
        </w:r>
      </w:hyperlink>
    </w:p>
    <w:p>
      <w:pPr>
        <w:spacing w:after="0" w:line="63" w:lineRule="exact"/>
        <w:rPr>
          <w:sz w:val="20"/>
          <w:szCs w:val="20"/>
          <w:color w:val="auto"/>
        </w:rPr>
      </w:pPr>
    </w:p>
    <w:p>
      <w:pPr>
        <w:sectPr>
          <w:pgSz w:w="11900" w:h="16838" w:orient="portrait"/>
          <w:cols w:equalWidth="0" w:num="2">
            <w:col w:w="700" w:space="400"/>
            <w:col w:w="9900"/>
          </w:cols>
          <w:pgMar w:left="320" w:top="476" w:right="579" w:bottom="1440" w:gutter="0" w:footer="0" w:header="0"/>
          <w:type w:val="continuous"/>
        </w:sectPr>
      </w:pPr>
    </w:p>
    <w:p>
      <w:pPr>
        <w:ind w:left="320" w:hanging="90"/>
        <w:spacing w:after="0"/>
        <w:tabs>
          <w:tab w:leader="none" w:pos="320" w:val="left"/>
        </w:tabs>
        <w:numPr>
          <w:ilvl w:val="0"/>
          <w:numId w:val="12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2.1</w:t>
      </w:r>
      <w:hyperlink r:id="rId230">
        <w:r>
          <w:rPr>
            <w:rFonts w:ascii="Times New Roman" w:cs="Times New Roman" w:eastAsia="Times New Roman" w:hAnsi="Times New Roman"/>
            <w:sz w:val="17"/>
            <w:szCs w:val="17"/>
            <w:u w:val="single" w:color="auto"/>
            <w:color w:val="0000EE"/>
          </w:rPr>
          <w:t>Registrant’s Specimen American Depositary Receipt (included in Exhibit 2.3)</w:t>
        </w:r>
      </w:hyperlink>
    </w:p>
    <w:p>
      <w:pPr>
        <w:spacing w:after="0" w:line="121" w:lineRule="exact"/>
        <w:rPr>
          <w:rFonts w:ascii="Times New Roman" w:cs="Times New Roman" w:eastAsia="Times New Roman" w:hAnsi="Times New Roman"/>
          <w:sz w:val="17"/>
          <w:szCs w:val="17"/>
          <w:u w:val="single" w:color="auto"/>
          <w:color w:val="0000EE"/>
        </w:rPr>
      </w:pPr>
    </w:p>
    <w:p>
      <w:pPr>
        <w:ind w:left="1100" w:right="80" w:hanging="870"/>
        <w:spacing w:after="0" w:line="300" w:lineRule="auto"/>
        <w:tabs>
          <w:tab w:leader="none" w:pos="316" w:val="left"/>
        </w:tabs>
        <w:numPr>
          <w:ilvl w:val="0"/>
          <w:numId w:val="129"/>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2.2</w:t>
      </w:r>
      <w:hyperlink r:id="rId231">
        <w:r>
          <w:rPr>
            <w:rFonts w:ascii="Times New Roman" w:cs="Times New Roman" w:eastAsia="Times New Roman" w:hAnsi="Times New Roman"/>
            <w:sz w:val="17"/>
            <w:szCs w:val="17"/>
            <w:u w:val="single" w:color="auto"/>
            <w:color w:val="0000EE"/>
          </w:rPr>
          <w:t>Registrant’s Specimen Certificate for Class A Ordinary Shares (incorporated herein by reference to Exhibit 4.2 to the registration statement</w:t>
        </w:r>
      </w:hyperlink>
      <w:r>
        <w:rPr>
          <w:rFonts w:ascii="Times New Roman" w:cs="Times New Roman" w:eastAsia="Times New Roman" w:hAnsi="Times New Roman"/>
          <w:sz w:val="17"/>
          <w:szCs w:val="17"/>
          <w:u w:val="single" w:color="auto"/>
          <w:color w:val="0000EE"/>
        </w:rPr>
        <w:t xml:space="preserve"> </w:t>
      </w:r>
      <w:hyperlink r:id="rId231">
        <w:r>
          <w:rPr>
            <w:rFonts w:ascii="Times New Roman" w:cs="Times New Roman" w:eastAsia="Times New Roman" w:hAnsi="Times New Roman"/>
            <w:sz w:val="17"/>
            <w:szCs w:val="17"/>
            <w:u w:val="single" w:color="auto"/>
            <w:color w:val="0000EE"/>
          </w:rPr>
          <w:t>on Form F-1 (File No. 333-193650), as amended, initially filed with the Securities and Exchange Commission on January 30, 2014)</w:t>
        </w:r>
      </w:hyperlink>
    </w:p>
    <w:p>
      <w:pPr>
        <w:spacing w:after="0" w:line="40" w:lineRule="exact"/>
        <w:rPr>
          <w:rFonts w:ascii="Times New Roman" w:cs="Times New Roman" w:eastAsia="Times New Roman" w:hAnsi="Times New Roman"/>
          <w:sz w:val="17"/>
          <w:szCs w:val="17"/>
          <w:u w:val="single" w:color="auto"/>
          <w:color w:val="0000EE"/>
        </w:rPr>
      </w:pPr>
    </w:p>
    <w:p>
      <w:pPr>
        <w:ind w:left="1100" w:hanging="870"/>
        <w:spacing w:after="0" w:line="258" w:lineRule="auto"/>
        <w:tabs>
          <w:tab w:leader="none" w:pos="316" w:val="left"/>
        </w:tabs>
        <w:numPr>
          <w:ilvl w:val="0"/>
          <w:numId w:val="12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2.3</w:t>
      </w:r>
      <w:hyperlink r:id="rId230">
        <w:r>
          <w:rPr>
            <w:rFonts w:ascii="Times New Roman" w:cs="Times New Roman" w:eastAsia="Times New Roman" w:hAnsi="Times New Roman"/>
            <w:sz w:val="18"/>
            <w:szCs w:val="18"/>
            <w:u w:val="single" w:color="auto"/>
            <w:color w:val="0000EE"/>
          </w:rPr>
          <w:t>Deposit Agreement dated May 21, 2014 among the Registrant, the depositary and holder of the American Depositary Receipts (incorporated</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herein by reference to Exhibit 4.3 to the registration statement on Form S-8 (File No. 333-198578), filed with the Securities and Exchange</w:t>
        </w:r>
      </w:hyperlink>
      <w:r>
        <w:rPr>
          <w:rFonts w:ascii="Times New Roman" w:cs="Times New Roman" w:eastAsia="Times New Roman" w:hAnsi="Times New Roman"/>
          <w:sz w:val="18"/>
          <w:szCs w:val="18"/>
          <w:u w:val="single" w:color="auto"/>
          <w:color w:val="0000EE"/>
        </w:rPr>
        <w:t xml:space="preserve"> </w:t>
      </w:r>
      <w:hyperlink r:id="rId230">
        <w:r>
          <w:rPr>
            <w:rFonts w:ascii="Times New Roman" w:cs="Times New Roman" w:eastAsia="Times New Roman" w:hAnsi="Times New Roman"/>
            <w:sz w:val="18"/>
            <w:szCs w:val="18"/>
            <w:u w:val="single" w:color="auto"/>
            <w:color w:val="0000EE"/>
          </w:rPr>
          <w:t>Commission on September 5, 2014)</w:t>
        </w:r>
      </w:hyperlink>
    </w:p>
    <w:p>
      <w:pPr>
        <w:spacing w:after="0" w:line="112"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320" w:top="476" w:right="579" w:bottom="144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0960"/>
          </w:cols>
          <w:pgMar w:left="320" w:top="476" w:right="619" w:bottom="1440" w:gutter="0" w:footer="0" w:header="0"/>
        </w:sect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360"/>
        <w:spacing w:after="0" w:line="258" w:lineRule="auto"/>
        <w:rPr>
          <w:rFonts w:ascii="Times New Roman" w:cs="Times New Roman" w:eastAsia="Times New Roman" w:hAnsi="Times New Roman"/>
          <w:sz w:val="18"/>
          <w:szCs w:val="18"/>
          <w:u w:val="single" w:color="auto"/>
          <w:color w:val="0000EE"/>
        </w:rPr>
      </w:pPr>
      <w:hyperlink r:id="rId233">
        <w:r>
          <w:rPr>
            <w:rFonts w:ascii="Times New Roman" w:cs="Times New Roman" w:eastAsia="Times New Roman" w:hAnsi="Times New Roman"/>
            <w:sz w:val="18"/>
            <w:szCs w:val="18"/>
            <w:u w:val="single" w:color="auto"/>
            <w:color w:val="0000EE"/>
          </w:rPr>
          <w:t>Indenture, dated as of April 29, 2016, between the Registrant and The Bank of New York Mellon, as trustee (incorporated herein by</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reference to Exhibit 4.1 to the registration statement on Form F-3 (File No. 333-235338) filed by the Registrant with the Securities and</w:t>
        </w:r>
      </w:hyperlink>
      <w:r>
        <w:rPr>
          <w:rFonts w:ascii="Times New Roman" w:cs="Times New Roman" w:eastAsia="Times New Roman" w:hAnsi="Times New Roman"/>
          <w:sz w:val="18"/>
          <w:szCs w:val="18"/>
          <w:u w:val="single" w:color="auto"/>
          <w:color w:val="0000EE"/>
        </w:rPr>
        <w:t xml:space="preserve"> </w:t>
      </w:r>
      <w:hyperlink r:id="rId233">
        <w:r>
          <w:rPr>
            <w:rFonts w:ascii="Times New Roman" w:cs="Times New Roman" w:eastAsia="Times New Roman" w:hAnsi="Times New Roman"/>
            <w:sz w:val="18"/>
            <w:szCs w:val="18"/>
            <w:u w:val="single" w:color="auto"/>
            <w:color w:val="0000EE"/>
          </w:rPr>
          <w:t>Exchange Commission on December 3, 2019)</w:t>
        </w:r>
      </w:hyperlink>
    </w:p>
    <w:p>
      <w:pPr>
        <w:spacing w:after="0" w:line="7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40" w:space="360"/>
            <w:col w:w="9860"/>
          </w:cols>
          <w:pgMar w:left="320" w:top="476" w:right="619" w:bottom="1440" w:gutter="0" w:footer="0" w:header="0"/>
          <w:type w:val="continuous"/>
        </w:sectPr>
      </w:pPr>
    </w:p>
    <w:p>
      <w:pPr>
        <w:ind w:left="1100" w:right="260" w:hanging="870"/>
        <w:spacing w:after="0" w:line="258" w:lineRule="auto"/>
        <w:tabs>
          <w:tab w:leader="none" w:pos="316" w:val="left"/>
        </w:tabs>
        <w:numPr>
          <w:ilvl w:val="0"/>
          <w:numId w:val="13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2.5</w:t>
      </w:r>
      <w:hyperlink r:id="rId234">
        <w:r>
          <w:rPr>
            <w:rFonts w:ascii="Times New Roman" w:cs="Times New Roman" w:eastAsia="Times New Roman" w:hAnsi="Times New Roman"/>
            <w:sz w:val="18"/>
            <w:szCs w:val="18"/>
            <w:u w:val="single" w:color="auto"/>
            <w:color w:val="0000EE"/>
          </w:rPr>
          <w:t>First Supplemental Indenture, dated April 29, 2016, between the Registrant and The Bank of New York Mellon, as trustee (incorporated</w:t>
        </w:r>
      </w:hyperlink>
      <w:r>
        <w:rPr>
          <w:rFonts w:ascii="Times New Roman" w:cs="Times New Roman" w:eastAsia="Times New Roman" w:hAnsi="Times New Roman"/>
          <w:sz w:val="18"/>
          <w:szCs w:val="18"/>
          <w:u w:val="single" w:color="auto"/>
          <w:color w:val="0000EE"/>
        </w:rPr>
        <w:t xml:space="preserve"> </w:t>
      </w:r>
      <w:hyperlink r:id="rId234">
        <w:r>
          <w:rPr>
            <w:rFonts w:ascii="Times New Roman" w:cs="Times New Roman" w:eastAsia="Times New Roman" w:hAnsi="Times New Roman"/>
            <w:sz w:val="18"/>
            <w:szCs w:val="18"/>
            <w:u w:val="single" w:color="auto"/>
            <w:color w:val="0000EE"/>
          </w:rPr>
          <w:t>herein by reference to Exhibit 4.1 to the current report on Form 6-K (File No. 001-36450) furnished to the Securities and Exchange</w:t>
        </w:r>
      </w:hyperlink>
      <w:r>
        <w:rPr>
          <w:rFonts w:ascii="Times New Roman" w:cs="Times New Roman" w:eastAsia="Times New Roman" w:hAnsi="Times New Roman"/>
          <w:sz w:val="18"/>
          <w:szCs w:val="18"/>
          <w:u w:val="single" w:color="auto"/>
          <w:color w:val="0000EE"/>
        </w:rPr>
        <w:t xml:space="preserve"> </w:t>
      </w:r>
      <w:hyperlink r:id="rId234">
        <w:r>
          <w:rPr>
            <w:rFonts w:ascii="Times New Roman" w:cs="Times New Roman" w:eastAsia="Times New Roman" w:hAnsi="Times New Roman"/>
            <w:sz w:val="18"/>
            <w:szCs w:val="18"/>
            <w:u w:val="single" w:color="auto"/>
            <w:color w:val="0000EE"/>
          </w:rPr>
          <w:t>Commission on April 29, 2016)</w:t>
        </w:r>
      </w:hyperlink>
    </w:p>
    <w:p>
      <w:pPr>
        <w:spacing w:after="0" w:line="72" w:lineRule="exact"/>
        <w:rPr>
          <w:rFonts w:ascii="Times New Roman" w:cs="Times New Roman" w:eastAsia="Times New Roman" w:hAnsi="Times New Roman"/>
          <w:sz w:val="18"/>
          <w:szCs w:val="18"/>
          <w:u w:val="single" w:color="auto"/>
          <w:color w:val="0000EE"/>
        </w:rPr>
      </w:pPr>
    </w:p>
    <w:p>
      <w:pPr>
        <w:ind w:left="320" w:hanging="90"/>
        <w:spacing w:after="0"/>
        <w:tabs>
          <w:tab w:leader="none" w:pos="320" w:val="left"/>
        </w:tabs>
        <w:numPr>
          <w:ilvl w:val="0"/>
          <w:numId w:val="13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2.6</w:t>
      </w:r>
      <w:hyperlink r:id="rId234">
        <w:r>
          <w:rPr>
            <w:rFonts w:ascii="Times New Roman" w:cs="Times New Roman" w:eastAsia="Times New Roman" w:hAnsi="Times New Roman"/>
            <w:sz w:val="17"/>
            <w:szCs w:val="17"/>
            <w:u w:val="single" w:color="auto"/>
            <w:color w:val="0000EE"/>
          </w:rPr>
          <w:t>Form of US$500,000,000 3.875% Notes Due 2026 (included in Exhibit 2.5)</w:t>
        </w:r>
      </w:hyperlink>
    </w:p>
    <w:p>
      <w:pPr>
        <w:spacing w:after="0" w:line="121" w:lineRule="exact"/>
        <w:rPr>
          <w:rFonts w:ascii="Times New Roman" w:cs="Times New Roman" w:eastAsia="Times New Roman" w:hAnsi="Times New Roman"/>
          <w:sz w:val="17"/>
          <w:szCs w:val="17"/>
          <w:u w:val="single" w:color="auto"/>
          <w:color w:val="0000EE"/>
        </w:rPr>
      </w:pPr>
    </w:p>
    <w:p>
      <w:pPr>
        <w:ind w:left="1100" w:right="360" w:hanging="870"/>
        <w:spacing w:after="0" w:line="258" w:lineRule="auto"/>
        <w:tabs>
          <w:tab w:leader="none" w:pos="316" w:val="left"/>
        </w:tabs>
        <w:numPr>
          <w:ilvl w:val="0"/>
          <w:numId w:val="13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2.7</w:t>
      </w:r>
      <w:hyperlink r:id="rId235">
        <w:r>
          <w:rPr>
            <w:rFonts w:ascii="Times New Roman" w:cs="Times New Roman" w:eastAsia="Times New Roman" w:hAnsi="Times New Roman"/>
            <w:sz w:val="18"/>
            <w:szCs w:val="18"/>
            <w:u w:val="single" w:color="auto"/>
            <w:color w:val="0000EE"/>
          </w:rPr>
          <w:t>Second Supplemental Indenture, dated January 14, 2020, between the Registrant and The Bank of New York Mellon, as trustee</w:t>
        </w:r>
      </w:hyperlink>
      <w:r>
        <w:rPr>
          <w:rFonts w:ascii="Times New Roman" w:cs="Times New Roman" w:eastAsia="Times New Roman" w:hAnsi="Times New Roman"/>
          <w:sz w:val="18"/>
          <w:szCs w:val="18"/>
          <w:u w:val="single" w:color="auto"/>
          <w:color w:val="0000EE"/>
        </w:rPr>
        <w:t xml:space="preserve"> </w:t>
      </w:r>
      <w:hyperlink r:id="rId235">
        <w:r>
          <w:rPr>
            <w:rFonts w:ascii="Times New Roman" w:cs="Times New Roman" w:eastAsia="Times New Roman" w:hAnsi="Times New Roman"/>
            <w:sz w:val="18"/>
            <w:szCs w:val="18"/>
            <w:u w:val="single" w:color="auto"/>
            <w:color w:val="0000EE"/>
          </w:rPr>
          <w:t>(incorporated herein by reference to Exhibit 4.1 to the current report on Form 6-K (File No. 001-36450) furnished to the Securities and</w:t>
        </w:r>
      </w:hyperlink>
      <w:r>
        <w:rPr>
          <w:rFonts w:ascii="Times New Roman" w:cs="Times New Roman" w:eastAsia="Times New Roman" w:hAnsi="Times New Roman"/>
          <w:sz w:val="18"/>
          <w:szCs w:val="18"/>
          <w:u w:val="single" w:color="auto"/>
          <w:color w:val="0000EE"/>
        </w:rPr>
        <w:t xml:space="preserve"> </w:t>
      </w:r>
      <w:hyperlink r:id="rId235">
        <w:r>
          <w:rPr>
            <w:rFonts w:ascii="Times New Roman" w:cs="Times New Roman" w:eastAsia="Times New Roman" w:hAnsi="Times New Roman"/>
            <w:sz w:val="18"/>
            <w:szCs w:val="18"/>
            <w:u w:val="single" w:color="auto"/>
            <w:color w:val="0000EE"/>
          </w:rPr>
          <w:t>Exchange Commission on January 14, 2020)</w:t>
        </w:r>
      </w:hyperlink>
    </w:p>
    <w:p>
      <w:pPr>
        <w:spacing w:after="0" w:line="72" w:lineRule="exact"/>
        <w:rPr>
          <w:rFonts w:ascii="Times New Roman" w:cs="Times New Roman" w:eastAsia="Times New Roman" w:hAnsi="Times New Roman"/>
          <w:sz w:val="18"/>
          <w:szCs w:val="18"/>
          <w:u w:val="single" w:color="auto"/>
          <w:color w:val="0000EE"/>
        </w:rPr>
      </w:pPr>
    </w:p>
    <w:p>
      <w:pPr>
        <w:ind w:left="320" w:hanging="90"/>
        <w:spacing w:after="0"/>
        <w:tabs>
          <w:tab w:leader="none" w:pos="320" w:val="left"/>
        </w:tabs>
        <w:numPr>
          <w:ilvl w:val="0"/>
          <w:numId w:val="13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2.8</w:t>
      </w:r>
      <w:hyperlink r:id="rId235">
        <w:r>
          <w:rPr>
            <w:rFonts w:ascii="Times New Roman" w:cs="Times New Roman" w:eastAsia="Times New Roman" w:hAnsi="Times New Roman"/>
            <w:sz w:val="17"/>
            <w:szCs w:val="17"/>
            <w:u w:val="single" w:color="auto"/>
            <w:color w:val="0000EE"/>
          </w:rPr>
          <w:t>Form of US$700,000,000 3.375% Notes due 2030 (included in Exhibit 2.7)</w:t>
        </w:r>
      </w:hyperlink>
    </w:p>
    <w:p>
      <w:pPr>
        <w:spacing w:after="0" w:line="121" w:lineRule="exact"/>
        <w:rPr>
          <w:rFonts w:ascii="Times New Roman" w:cs="Times New Roman" w:eastAsia="Times New Roman" w:hAnsi="Times New Roman"/>
          <w:sz w:val="17"/>
          <w:szCs w:val="17"/>
          <w:u w:val="single" w:color="auto"/>
          <w:color w:val="0000EE"/>
        </w:rPr>
      </w:pPr>
    </w:p>
    <w:p>
      <w:pPr>
        <w:ind w:left="320" w:hanging="90"/>
        <w:spacing w:after="0"/>
        <w:tabs>
          <w:tab w:leader="none" w:pos="320" w:val="left"/>
        </w:tabs>
        <w:numPr>
          <w:ilvl w:val="0"/>
          <w:numId w:val="13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2.9</w:t>
      </w:r>
      <w:hyperlink r:id="rId235">
        <w:r>
          <w:rPr>
            <w:rFonts w:ascii="Times New Roman" w:cs="Times New Roman" w:eastAsia="Times New Roman" w:hAnsi="Times New Roman"/>
            <w:sz w:val="17"/>
            <w:szCs w:val="17"/>
            <w:u w:val="single" w:color="auto"/>
            <w:color w:val="0000EE"/>
          </w:rPr>
          <w:t>Form of US$300,000,000 4.125% Notes due 2050 (included in Exhibit 2.7)</w:t>
        </w:r>
      </w:hyperlink>
    </w:p>
    <w:p>
      <w:pPr>
        <w:spacing w:after="0" w:line="121" w:lineRule="exact"/>
        <w:rPr>
          <w:rFonts w:ascii="Times New Roman" w:cs="Times New Roman" w:eastAsia="Times New Roman" w:hAnsi="Times New Roman"/>
          <w:sz w:val="17"/>
          <w:szCs w:val="17"/>
          <w:u w:val="single" w:color="auto"/>
          <w:color w:val="0000EE"/>
        </w:rPr>
      </w:pPr>
    </w:p>
    <w:p>
      <w:pPr>
        <w:ind w:left="1100" w:hanging="870"/>
        <w:spacing w:after="0" w:line="270" w:lineRule="auto"/>
        <w:tabs>
          <w:tab w:leader="none" w:pos="316" w:val="left"/>
        </w:tabs>
        <w:numPr>
          <w:ilvl w:val="0"/>
          <w:numId w:val="13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2.10</w:t>
      </w:r>
      <w:hyperlink r:id="rId236">
        <w:r>
          <w:rPr>
            <w:rFonts w:ascii="Times New Roman" w:cs="Times New Roman" w:eastAsia="Times New Roman" w:hAnsi="Times New Roman"/>
            <w:sz w:val="18"/>
            <w:szCs w:val="18"/>
            <w:u w:val="single" w:color="auto"/>
            <w:color w:val="0000EE"/>
          </w:rPr>
          <w:t>Description of American Depositary Shares of the Registrant (incorporated herein by reference to Exhibit 2.11 to the annual report on Form</w:t>
        </w:r>
      </w:hyperlink>
      <w:r>
        <w:rPr>
          <w:rFonts w:ascii="Times New Roman" w:cs="Times New Roman" w:eastAsia="Times New Roman" w:hAnsi="Times New Roman"/>
          <w:sz w:val="18"/>
          <w:szCs w:val="18"/>
          <w:u w:val="single" w:color="auto"/>
          <w:color w:val="0000EE"/>
        </w:rPr>
        <w:t xml:space="preserve"> </w:t>
      </w:r>
      <w:hyperlink r:id="rId236">
        <w:r>
          <w:rPr>
            <w:rFonts w:ascii="Times New Roman" w:cs="Times New Roman" w:eastAsia="Times New Roman" w:hAnsi="Times New Roman"/>
            <w:sz w:val="18"/>
            <w:szCs w:val="18"/>
            <w:u w:val="single" w:color="auto"/>
            <w:color w:val="0000EE"/>
          </w:rPr>
          <w:t>20-F filed by the Registrant with the Securities and Exchange Commission on April 15, 2020)</w:t>
        </w:r>
      </w:hyperlink>
    </w:p>
    <w:p>
      <w:pPr>
        <w:spacing w:after="0" w:line="63" w:lineRule="exact"/>
        <w:rPr>
          <w:rFonts w:ascii="Times New Roman" w:cs="Times New Roman" w:eastAsia="Times New Roman" w:hAnsi="Times New Roman"/>
          <w:sz w:val="18"/>
          <w:szCs w:val="18"/>
          <w:u w:val="single" w:color="auto"/>
          <w:color w:val="0000EE"/>
        </w:rPr>
      </w:pPr>
    </w:p>
    <w:p>
      <w:pPr>
        <w:ind w:left="320" w:hanging="90"/>
        <w:spacing w:after="0"/>
        <w:tabs>
          <w:tab w:leader="none" w:pos="320" w:val="left"/>
        </w:tabs>
        <w:numPr>
          <w:ilvl w:val="0"/>
          <w:numId w:val="130"/>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2.11</w:t>
      </w:r>
      <w:hyperlink r:id="rId237">
        <w:r>
          <w:rPr>
            <w:rFonts w:ascii="Times New Roman" w:cs="Times New Roman" w:eastAsia="Times New Roman" w:hAnsi="Times New Roman"/>
            <w:sz w:val="17"/>
            <w:szCs w:val="17"/>
            <w:u w:val="single" w:color="auto"/>
            <w:color w:val="0000EE"/>
          </w:rPr>
          <w:t>Description of Class A Ordinary Shares of the Registrant (incorporated herein by reference to Exhibit 2.12 to the annual report on Form</w:t>
        </w:r>
      </w:hyperlink>
    </w:p>
    <w:p>
      <w:pPr>
        <w:spacing w:after="0" w:line="34" w:lineRule="exact"/>
        <w:rPr>
          <w:rFonts w:ascii="Times New Roman" w:cs="Times New Roman" w:eastAsia="Times New Roman" w:hAnsi="Times New Roman"/>
          <w:sz w:val="18"/>
          <w:szCs w:val="18"/>
          <w:u w:val="single" w:color="auto"/>
          <w:color w:val="0000EE"/>
        </w:rPr>
      </w:pPr>
    </w:p>
    <w:p>
      <w:pPr>
        <w:ind w:left="1100"/>
        <w:spacing w:after="0"/>
        <w:rPr>
          <w:rFonts w:ascii="Times New Roman" w:cs="Times New Roman" w:eastAsia="Times New Roman" w:hAnsi="Times New Roman"/>
          <w:sz w:val="18"/>
          <w:szCs w:val="18"/>
          <w:u w:val="single" w:color="auto"/>
          <w:color w:val="0000EE"/>
        </w:rPr>
      </w:pPr>
      <w:hyperlink r:id="rId237">
        <w:r>
          <w:rPr>
            <w:rFonts w:ascii="Times New Roman" w:cs="Times New Roman" w:eastAsia="Times New Roman" w:hAnsi="Times New Roman"/>
            <w:sz w:val="18"/>
            <w:szCs w:val="18"/>
            <w:u w:val="single" w:color="auto"/>
            <w:color w:val="0000EE"/>
          </w:rPr>
          <w:t>20-F filed by the Registrant with the Securities and Exchange Commission on April 15, 2020)</w:t>
        </w:r>
      </w:hyperlink>
    </w:p>
    <w:p>
      <w:pPr>
        <w:spacing w:after="0" w:line="93" w:lineRule="exact"/>
        <w:rPr>
          <w:rFonts w:ascii="Times New Roman" w:cs="Times New Roman" w:eastAsia="Times New Roman" w:hAnsi="Times New Roman"/>
          <w:sz w:val="18"/>
          <w:szCs w:val="18"/>
          <w:u w:val="single" w:color="auto"/>
          <w:color w:val="0000EE"/>
        </w:rPr>
      </w:pPr>
    </w:p>
    <w:p>
      <w:pPr>
        <w:ind w:left="1100" w:hanging="870"/>
        <w:spacing w:after="0" w:line="251" w:lineRule="auto"/>
        <w:tabs>
          <w:tab w:leader="none" w:pos="3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2.12Description of the Registrant’s US$500,000,000 3.875% Notes Due 2026 (incorporated herein by reference to (i) the section titled “Description of Debt Securities” in the Registrants’ registration statement on </w:t>
      </w:r>
      <w:hyperlink r:id="rId238">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333-210795) filed with the Securities and Exchange Commission on April 18, 2016 and (ii) the section titled “Description of the Notes” in the prospectus supplement, in the form filed by the Registrant with the Securities and Exchange Commission on April 22, 2016 pursuant to </w:t>
      </w:r>
      <w:hyperlink r:id="rId239">
        <w:r>
          <w:rPr>
            <w:rFonts w:ascii="Times New Roman" w:cs="Times New Roman" w:eastAsia="Times New Roman" w:hAnsi="Times New Roman"/>
            <w:sz w:val="18"/>
            <w:szCs w:val="18"/>
            <w:u w:val="single" w:color="auto"/>
            <w:color w:val="0000EE"/>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Act of 1933, as amended)</w:t>
      </w:r>
    </w:p>
    <w:p>
      <w:pPr>
        <w:spacing w:after="0" w:line="80" w:lineRule="exact"/>
        <w:rPr>
          <w:rFonts w:ascii="Times New Roman" w:cs="Times New Roman" w:eastAsia="Times New Roman" w:hAnsi="Times New Roman"/>
          <w:sz w:val="18"/>
          <w:szCs w:val="18"/>
          <w:color w:val="auto"/>
        </w:rPr>
      </w:pPr>
    </w:p>
    <w:p>
      <w:pPr>
        <w:ind w:left="1100" w:hanging="870"/>
        <w:spacing w:after="0" w:line="251" w:lineRule="auto"/>
        <w:tabs>
          <w:tab w:leader="none" w:pos="3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2.13Description of the Registrant’s US$700,000,000 3.375% Notes due 2030 (incorporated herein by reference to (i) the section titled “Description of Debt Securities” in the Registrants’ registration statement on </w:t>
      </w:r>
      <w:hyperlink r:id="rId240">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333-235338) filed with the Securities and Exchange Commission on December 3, 2019 and (ii) the section titled “Description of the Notes” in the prospectus supplement, in the form filed by the Registrant with the Securities and Exchange Commission on January 8, 2020 pursuant to </w:t>
      </w:r>
      <w:hyperlink r:id="rId241">
        <w:r>
          <w:rPr>
            <w:rFonts w:ascii="Times New Roman" w:cs="Times New Roman" w:eastAsia="Times New Roman" w:hAnsi="Times New Roman"/>
            <w:sz w:val="18"/>
            <w:szCs w:val="18"/>
            <w:u w:val="single" w:color="auto"/>
            <w:color w:val="0000EE"/>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Act of 1933, as amended)</w:t>
      </w:r>
    </w:p>
    <w:p>
      <w:pPr>
        <w:spacing w:after="0" w:line="80" w:lineRule="exact"/>
        <w:rPr>
          <w:rFonts w:ascii="Times New Roman" w:cs="Times New Roman" w:eastAsia="Times New Roman" w:hAnsi="Times New Roman"/>
          <w:sz w:val="18"/>
          <w:szCs w:val="18"/>
          <w:color w:val="auto"/>
        </w:rPr>
      </w:pPr>
    </w:p>
    <w:p>
      <w:pPr>
        <w:ind w:left="1100" w:hanging="870"/>
        <w:spacing w:after="0" w:line="251" w:lineRule="auto"/>
        <w:tabs>
          <w:tab w:leader="none" w:pos="31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2.14Description of the Registrant’s US$300,000,000 4.125% Notes due 2050 (incorporated herein by reference to (i) the section titled “Description of Debt Securities” in the Registrants’ registration statement on </w:t>
      </w:r>
      <w:hyperlink r:id="rId240">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333-235338) filed with the Securities and Exchange Commission on December 3, 2019 and (ii) the section titled “Description of the Notes” in the prospectus supplement, in the form filed by the Registrant with the Securities and Exchange Commission on January 8, 2020 pursuant to </w:t>
      </w:r>
      <w:hyperlink r:id="rId241">
        <w:r>
          <w:rPr>
            <w:rFonts w:ascii="Times New Roman" w:cs="Times New Roman" w:eastAsia="Times New Roman" w:hAnsi="Times New Roman"/>
            <w:sz w:val="18"/>
            <w:szCs w:val="18"/>
            <w:u w:val="single" w:color="auto"/>
            <w:color w:val="0000EE"/>
          </w:rPr>
          <w:t>Rule 424(b)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the Securities Act of 1933, as amended)</w:t>
      </w:r>
    </w:p>
    <w:p>
      <w:pPr>
        <w:spacing w:after="0" w:line="121" w:lineRule="exact"/>
        <w:rPr>
          <w:rFonts w:ascii="Times New Roman" w:cs="Times New Roman" w:eastAsia="Times New Roman" w:hAnsi="Times New Roman"/>
          <w:sz w:val="18"/>
          <w:szCs w:val="18"/>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960"/>
          </w:cols>
          <w:pgMar w:left="320" w:top="476" w:right="61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00"/>
          </w:cols>
          <w:pgMar w:left="320" w:top="476" w:right="579" w:bottom="1440" w:gutter="0" w:footer="0" w:header="0"/>
        </w:sect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Exhibit</w:t>
      </w:r>
    </w:p>
    <w:p>
      <w:pPr>
        <w:jc w:val="right"/>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2.15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20"/>
        <w:spacing w:after="0" w:line="258" w:lineRule="auto"/>
        <w:rPr>
          <w:rFonts w:ascii="Times New Roman" w:cs="Times New Roman" w:eastAsia="Times New Roman" w:hAnsi="Times New Roman"/>
          <w:sz w:val="18"/>
          <w:szCs w:val="18"/>
          <w:u w:val="single" w:color="auto"/>
          <w:color w:val="0000EE"/>
        </w:rPr>
      </w:pPr>
      <w:hyperlink r:id="rId243">
        <w:r>
          <w:rPr>
            <w:rFonts w:ascii="Times New Roman" w:cs="Times New Roman" w:eastAsia="Times New Roman" w:hAnsi="Times New Roman"/>
            <w:sz w:val="18"/>
            <w:szCs w:val="18"/>
            <w:u w:val="single" w:color="auto"/>
            <w:color w:val="0000EE"/>
          </w:rPr>
          <w:t>Indenture, dated as of May 23, 2024 for the Registrant’s US$2,000,000,000 0.25% Convertible Senior Notes Due 2029 (incorporated herein</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by reference to Exhibit 2.15 to the annual report on Form 20-F filed by the Registrant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April 17, 2025)</w:t>
        </w:r>
      </w:hyperlink>
    </w:p>
    <w:p>
      <w:pPr>
        <w:spacing w:after="0" w:line="7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760" w:space="360"/>
            <w:col w:w="9880"/>
          </w:cols>
          <w:pgMar w:left="320" w:top="476" w:right="579" w:bottom="1440" w:gutter="0" w:footer="0" w:header="0"/>
          <w:type w:val="continuous"/>
        </w:sectPr>
      </w:pPr>
    </w:p>
    <w:p>
      <w:pPr>
        <w:ind w:left="320" w:hanging="90"/>
        <w:spacing w:after="0"/>
        <w:tabs>
          <w:tab w:leader="none" w:pos="320" w:val="left"/>
        </w:tabs>
        <w:numPr>
          <w:ilvl w:val="0"/>
          <w:numId w:val="13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2.16</w:t>
      </w:r>
      <w:hyperlink r:id="rId243">
        <w:r>
          <w:rPr>
            <w:rFonts w:ascii="Times New Roman" w:cs="Times New Roman" w:eastAsia="Times New Roman" w:hAnsi="Times New Roman"/>
            <w:sz w:val="17"/>
            <w:szCs w:val="17"/>
            <w:u w:val="single" w:color="auto"/>
            <w:color w:val="0000EE"/>
          </w:rPr>
          <w:t>Form of US$2,000,000,000 0.25% Convertible Senior Notes Due 2029 (included in Exhibit 2.15)</w:t>
        </w:r>
      </w:hyperlink>
    </w:p>
    <w:p>
      <w:pPr>
        <w:spacing w:after="0" w:line="121" w:lineRule="exact"/>
        <w:rPr>
          <w:rFonts w:ascii="Times New Roman" w:cs="Times New Roman" w:eastAsia="Times New Roman" w:hAnsi="Times New Roman"/>
          <w:sz w:val="17"/>
          <w:szCs w:val="17"/>
          <w:u w:val="single" w:color="auto"/>
          <w:color w:val="0000EE"/>
        </w:rPr>
      </w:pPr>
    </w:p>
    <w:p>
      <w:pPr>
        <w:ind w:left="320" w:hanging="90"/>
        <w:spacing w:after="0"/>
        <w:tabs>
          <w:tab w:leader="none" w:pos="3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2.17*    </w:t>
      </w:r>
      <w:r>
        <w:rPr>
          <w:rFonts w:ascii="Times New Roman" w:cs="Times New Roman" w:eastAsia="Times New Roman" w:hAnsi="Times New Roman"/>
          <w:sz w:val="17"/>
          <w:szCs w:val="17"/>
          <w:u w:val="single" w:color="auto"/>
          <w:color w:val="0000EE"/>
        </w:rPr>
        <w:t>Third Supplemental Indenture, dated April 10, 2026, between the Registrant and The Bank of New York Mellon, as trustee</w:t>
      </w:r>
    </w:p>
    <w:p>
      <w:pPr>
        <w:spacing w:after="0" w:line="121" w:lineRule="exact"/>
        <w:rPr>
          <w:rFonts w:ascii="Times New Roman" w:cs="Times New Roman" w:eastAsia="Times New Roman" w:hAnsi="Times New Roman"/>
          <w:sz w:val="17"/>
          <w:szCs w:val="17"/>
          <w:color w:val="auto"/>
        </w:rPr>
      </w:pPr>
    </w:p>
    <w:p>
      <w:pPr>
        <w:ind w:left="320" w:hanging="90"/>
        <w:spacing w:after="0"/>
        <w:tabs>
          <w:tab w:leader="none" w:pos="3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2.18*    </w:t>
      </w:r>
      <w:r>
        <w:rPr>
          <w:rFonts w:ascii="Times New Roman" w:cs="Times New Roman" w:eastAsia="Times New Roman" w:hAnsi="Times New Roman"/>
          <w:sz w:val="17"/>
          <w:szCs w:val="17"/>
          <w:u w:val="single" w:color="auto"/>
          <w:color w:val="0000EE"/>
        </w:rPr>
        <w:t>Form of RMB7,500,000,000 2.05% Notes Due 2031 (included in Exhibit 2.17)</w:t>
      </w:r>
    </w:p>
    <w:p>
      <w:pPr>
        <w:spacing w:after="0" w:line="121" w:lineRule="exact"/>
        <w:rPr>
          <w:rFonts w:ascii="Times New Roman" w:cs="Times New Roman" w:eastAsia="Times New Roman" w:hAnsi="Times New Roman"/>
          <w:sz w:val="17"/>
          <w:szCs w:val="17"/>
          <w:color w:val="auto"/>
        </w:rPr>
      </w:pPr>
    </w:p>
    <w:p>
      <w:pPr>
        <w:ind w:left="320" w:hanging="90"/>
        <w:spacing w:after="0"/>
        <w:tabs>
          <w:tab w:leader="none" w:pos="3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2.19*    </w:t>
      </w:r>
      <w:r>
        <w:rPr>
          <w:rFonts w:ascii="Times New Roman" w:cs="Times New Roman" w:eastAsia="Times New Roman" w:hAnsi="Times New Roman"/>
          <w:sz w:val="17"/>
          <w:szCs w:val="17"/>
          <w:u w:val="single" w:color="auto"/>
          <w:color w:val="0000EE"/>
        </w:rPr>
        <w:t>Form of RMB2,500,000,000 2.75% Notes Due 2036 (included in Exhibit 2.17)</w:t>
      </w:r>
    </w:p>
    <w:p>
      <w:pPr>
        <w:spacing w:after="0" w:line="121" w:lineRule="exact"/>
        <w:rPr>
          <w:rFonts w:ascii="Times New Roman" w:cs="Times New Roman" w:eastAsia="Times New Roman" w:hAnsi="Times New Roman"/>
          <w:sz w:val="17"/>
          <w:szCs w:val="17"/>
          <w:color w:val="auto"/>
        </w:rPr>
      </w:pPr>
    </w:p>
    <w:p>
      <w:pPr>
        <w:ind w:left="1120" w:right="120" w:hanging="890"/>
        <w:spacing w:after="0" w:line="258" w:lineRule="auto"/>
        <w:tabs>
          <w:tab w:leader="none" w:pos="322" w:val="left"/>
        </w:tabs>
        <w:numPr>
          <w:ilvl w:val="0"/>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44">
        <w:r>
          <w:rPr>
            <w:rFonts w:ascii="Times New Roman" w:cs="Times New Roman" w:eastAsia="Times New Roman" w:hAnsi="Times New Roman"/>
            <w:sz w:val="18"/>
            <w:szCs w:val="18"/>
            <w:u w:val="single" w:color="auto"/>
            <w:color w:val="0000EE"/>
          </w:rPr>
          <w:t>Amended and Restated Share Incentive Plan (incorporated herein by reference to Exhibit 10.2 to the Post-Effective Amendment No. 1 to</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the registration statement on Form S-8 (File No. 333-198578) and the registration statement on Form S-8 (File No. 333-229957) filed with</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the Securities and Exchange Commission on December 22, 2023)</w:t>
        </w:r>
      </w:hyperlink>
    </w:p>
    <w:p>
      <w:pPr>
        <w:spacing w:after="0" w:line="72" w:lineRule="exact"/>
        <w:rPr>
          <w:rFonts w:ascii="Times New Roman" w:cs="Times New Roman" w:eastAsia="Times New Roman" w:hAnsi="Times New Roman"/>
          <w:sz w:val="18"/>
          <w:szCs w:val="18"/>
          <w:u w:val="single" w:color="auto"/>
          <w:color w:val="0000EE"/>
        </w:rPr>
      </w:pPr>
    </w:p>
    <w:p>
      <w:pPr>
        <w:ind w:left="1120" w:right="120" w:hanging="890"/>
        <w:spacing w:after="0" w:line="258" w:lineRule="auto"/>
        <w:tabs>
          <w:tab w:leader="none" w:pos="322" w:val="left"/>
        </w:tabs>
        <w:numPr>
          <w:ilvl w:val="0"/>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45">
        <w:r>
          <w:rPr>
            <w:rFonts w:ascii="Times New Roman" w:cs="Times New Roman" w:eastAsia="Times New Roman" w:hAnsi="Times New Roman"/>
            <w:sz w:val="18"/>
            <w:szCs w:val="18"/>
            <w:u w:val="single" w:color="auto"/>
            <w:color w:val="0000EE"/>
          </w:rPr>
          <w:t>Form of Indemnification Agreement between the Registrant and its directors and executive officers (incorporated herein by reference to</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Exhibit 10.2 to the registration statement on Form F-1 (File No. 333-193650), as amended, initially filed with the Securities and Exchange</w:t>
        </w:r>
      </w:hyperlink>
      <w:r>
        <w:rPr>
          <w:rFonts w:ascii="Times New Roman" w:cs="Times New Roman" w:eastAsia="Times New Roman" w:hAnsi="Times New Roman"/>
          <w:sz w:val="18"/>
          <w:szCs w:val="18"/>
          <w:u w:val="single" w:color="auto"/>
          <w:color w:val="0000EE"/>
        </w:rPr>
        <w:t xml:space="preserve"> </w:t>
      </w:r>
      <w:hyperlink r:id="rId245">
        <w:r>
          <w:rPr>
            <w:rFonts w:ascii="Times New Roman" w:cs="Times New Roman" w:eastAsia="Times New Roman" w:hAnsi="Times New Roman"/>
            <w:sz w:val="18"/>
            <w:szCs w:val="18"/>
            <w:u w:val="single" w:color="auto"/>
            <w:color w:val="0000EE"/>
          </w:rPr>
          <w:t>Commission on January 30, 2014)</w:t>
        </w:r>
      </w:hyperlink>
    </w:p>
    <w:p>
      <w:pPr>
        <w:spacing w:after="0" w:line="72" w:lineRule="exact"/>
        <w:rPr>
          <w:rFonts w:ascii="Times New Roman" w:cs="Times New Roman" w:eastAsia="Times New Roman" w:hAnsi="Times New Roman"/>
          <w:sz w:val="18"/>
          <w:szCs w:val="18"/>
          <w:u w:val="single" w:color="auto"/>
          <w:color w:val="0000EE"/>
        </w:rPr>
      </w:pPr>
    </w:p>
    <w:p>
      <w:pPr>
        <w:ind w:left="1120" w:right="140" w:hanging="890"/>
        <w:spacing w:after="0" w:line="258" w:lineRule="auto"/>
        <w:tabs>
          <w:tab w:leader="none" w:pos="322" w:val="left"/>
        </w:tabs>
        <w:numPr>
          <w:ilvl w:val="0"/>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246">
        <w:r>
          <w:rPr>
            <w:rFonts w:ascii="Times New Roman" w:cs="Times New Roman" w:eastAsia="Times New Roman" w:hAnsi="Times New Roman"/>
            <w:sz w:val="18"/>
            <w:szCs w:val="18"/>
            <w:u w:val="single" w:color="auto"/>
            <w:color w:val="0000EE"/>
          </w:rPr>
          <w:t>Form of Employment Agreement between the Registrant and its executive officers (incorporated herein by reference to Exhibit 10.3 to the</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registration statement on Form F-1 (File No. 333-193650), as amended, initially filed with the Securities and Exchange Commission on</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January 30, 2014)</w:t>
        </w:r>
      </w:hyperlink>
    </w:p>
    <w:p>
      <w:pPr>
        <w:spacing w:after="0" w:line="72" w:lineRule="exact"/>
        <w:rPr>
          <w:rFonts w:ascii="Times New Roman" w:cs="Times New Roman" w:eastAsia="Times New Roman" w:hAnsi="Times New Roman"/>
          <w:sz w:val="18"/>
          <w:szCs w:val="18"/>
          <w:u w:val="single" w:color="auto"/>
          <w:color w:val="0000EE"/>
        </w:rPr>
      </w:pPr>
    </w:p>
    <w:p>
      <w:pPr>
        <w:ind w:left="1120" w:hanging="890"/>
        <w:spacing w:after="0" w:line="258" w:lineRule="auto"/>
        <w:tabs>
          <w:tab w:leader="none" w:pos="322" w:val="left"/>
        </w:tabs>
        <w:numPr>
          <w:ilvl w:val="0"/>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4.4</w:t>
      </w:r>
      <w:hyperlink r:id="rId247">
        <w:r>
          <w:rPr>
            <w:rFonts w:ascii="Times New Roman" w:cs="Times New Roman" w:eastAsia="Times New Roman" w:hAnsi="Times New Roman"/>
            <w:sz w:val="18"/>
            <w:szCs w:val="18"/>
            <w:u w:val="single" w:color="auto"/>
            <w:color w:val="0000EE"/>
          </w:rPr>
          <w:t>English translation of the Loan Agreement between Beijing Jingdong Century Trade Co., Ltd. and the shareholders of Beijing Jingdong 360</w:t>
        </w:r>
      </w:hyperlink>
      <w:r>
        <w:rPr>
          <w:rFonts w:ascii="Times New Roman" w:cs="Times New Roman" w:eastAsia="Times New Roman" w:hAnsi="Times New Roman"/>
          <w:sz w:val="18"/>
          <w:szCs w:val="18"/>
          <w:u w:val="single" w:color="auto"/>
          <w:color w:val="0000EE"/>
        </w:rPr>
        <w:t xml:space="preserve"> </w:t>
      </w:r>
      <w:hyperlink r:id="rId247">
        <w:r>
          <w:rPr>
            <w:rFonts w:ascii="Times New Roman" w:cs="Times New Roman" w:eastAsia="Times New Roman" w:hAnsi="Times New Roman"/>
            <w:sz w:val="18"/>
            <w:szCs w:val="18"/>
            <w:u w:val="single" w:color="auto"/>
            <w:color w:val="0000EE"/>
          </w:rPr>
          <w:t>Degree E-Commerce Co., Ltd. dated September 16, 2022 (incorporated herein by reference to Exhibit 4.4 to the annual report on Form 20-F</w:t>
        </w:r>
      </w:hyperlink>
      <w:r>
        <w:rPr>
          <w:rFonts w:ascii="Times New Roman" w:cs="Times New Roman" w:eastAsia="Times New Roman" w:hAnsi="Times New Roman"/>
          <w:sz w:val="18"/>
          <w:szCs w:val="18"/>
          <w:u w:val="single" w:color="auto"/>
          <w:color w:val="0000EE"/>
        </w:rPr>
        <w:t xml:space="preserve"> </w:t>
      </w:r>
      <w:hyperlink r:id="rId247">
        <w:r>
          <w:rPr>
            <w:rFonts w:ascii="Times New Roman" w:cs="Times New Roman" w:eastAsia="Times New Roman" w:hAnsi="Times New Roman"/>
            <w:sz w:val="18"/>
            <w:szCs w:val="18"/>
            <w:u w:val="single" w:color="auto"/>
            <w:color w:val="0000EE"/>
          </w:rPr>
          <w:t>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right="20" w:hanging="890"/>
        <w:spacing w:after="0" w:line="258" w:lineRule="auto"/>
        <w:tabs>
          <w:tab w:leader="none" w:pos="322" w:val="left"/>
        </w:tabs>
        <w:numPr>
          <w:ilvl w:val="0"/>
          <w:numId w:val="13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4.5</w:t>
      </w:r>
      <w:hyperlink r:id="rId248">
        <w:r>
          <w:rPr>
            <w:rFonts w:ascii="Times New Roman" w:cs="Times New Roman" w:eastAsia="Times New Roman" w:hAnsi="Times New Roman"/>
            <w:sz w:val="18"/>
            <w:szCs w:val="18"/>
            <w:u w:val="single" w:color="auto"/>
            <w:color w:val="0000EE"/>
          </w:rPr>
          <w:t>English translation of Equity Pledge Agreement between Beijing Jingdong Century Trade Co., Ltd. and the shareholders of Beijing</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Jingdong 360 Degree E-Commerce Co., Ltd. dated September 16, 2022 (incorporated herein by reference to Exhibit 4.5 to the annual report</w:t>
        </w:r>
      </w:hyperlink>
      <w:r>
        <w:rPr>
          <w:rFonts w:ascii="Times New Roman" w:cs="Times New Roman" w:eastAsia="Times New Roman" w:hAnsi="Times New Roman"/>
          <w:sz w:val="18"/>
          <w:szCs w:val="18"/>
          <w:u w:val="single" w:color="auto"/>
          <w:color w:val="0000EE"/>
        </w:rPr>
        <w:t xml:space="preserve"> </w:t>
      </w:r>
      <w:hyperlink r:id="rId248">
        <w:r>
          <w:rPr>
            <w:rFonts w:ascii="Times New Roman" w:cs="Times New Roman" w:eastAsia="Times New Roman" w:hAnsi="Times New Roman"/>
            <w:sz w:val="18"/>
            <w:szCs w:val="18"/>
            <w:u w:val="single" w:color="auto"/>
            <w:color w:val="0000EE"/>
          </w:rPr>
          <w:t>on Form 20-F 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320" w:hanging="90"/>
        <w:spacing w:after="0"/>
        <w:tabs>
          <w:tab w:leader="none" w:pos="320" w:val="left"/>
        </w:tabs>
        <w:numPr>
          <w:ilvl w:val="0"/>
          <w:numId w:val="13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4.6</w:t>
      </w:r>
      <w:hyperlink r:id="rId249">
        <w:r>
          <w:rPr>
            <w:rFonts w:ascii="Times New Roman" w:cs="Times New Roman" w:eastAsia="Times New Roman" w:hAnsi="Times New Roman"/>
            <w:sz w:val="17"/>
            <w:szCs w:val="17"/>
            <w:u w:val="single" w:color="auto"/>
            <w:color w:val="0000EE"/>
          </w:rPr>
          <w:t>English translation of the Power of Attorney by the shareholders of Beijing Jingdong 360 Degree E-Commerce Co., Ltd. dated</w:t>
        </w:r>
      </w:hyperlink>
    </w:p>
    <w:p>
      <w:pPr>
        <w:spacing w:after="0" w:line="34" w:lineRule="exact"/>
        <w:rPr>
          <w:rFonts w:ascii="Times New Roman" w:cs="Times New Roman" w:eastAsia="Times New Roman" w:hAnsi="Times New Roman"/>
          <w:sz w:val="18"/>
          <w:szCs w:val="18"/>
          <w:u w:val="single" w:color="auto"/>
          <w:color w:val="0000EE"/>
        </w:rPr>
      </w:pPr>
    </w:p>
    <w:p>
      <w:pPr>
        <w:ind w:left="1120" w:right="400"/>
        <w:spacing w:after="0" w:line="250" w:lineRule="auto"/>
        <w:rPr>
          <w:rFonts w:ascii="Times New Roman" w:cs="Times New Roman" w:eastAsia="Times New Roman" w:hAnsi="Times New Roman"/>
          <w:sz w:val="18"/>
          <w:szCs w:val="18"/>
          <w:u w:val="single" w:color="auto"/>
          <w:color w:val="0000EE"/>
        </w:rPr>
      </w:pPr>
      <w:hyperlink r:id="rId249">
        <w:r>
          <w:rPr>
            <w:rFonts w:ascii="Times New Roman" w:cs="Times New Roman" w:eastAsia="Times New Roman" w:hAnsi="Times New Roman"/>
            <w:sz w:val="18"/>
            <w:szCs w:val="18"/>
            <w:u w:val="single" w:color="auto"/>
            <w:color w:val="0000EE"/>
          </w:rPr>
          <w:t>September 16, 2022 (incorporated herein by reference to Exhibit 4.6 to the annual report on Form 20-F filed by the Registrant with the</w:t>
        </w:r>
      </w:hyperlink>
      <w:r>
        <w:rPr>
          <w:rFonts w:ascii="Times New Roman" w:cs="Times New Roman" w:eastAsia="Times New Roman" w:hAnsi="Times New Roman"/>
          <w:sz w:val="18"/>
          <w:szCs w:val="18"/>
          <w:u w:val="single" w:color="auto"/>
          <w:color w:val="0000EE"/>
        </w:rPr>
        <w:t xml:space="preserve"> </w:t>
      </w:r>
      <w:hyperlink r:id="rId249">
        <w:r>
          <w:rPr>
            <w:rFonts w:ascii="Times New Roman" w:cs="Times New Roman" w:eastAsia="Times New Roman" w:hAnsi="Times New Roman"/>
            <w:sz w:val="18"/>
            <w:szCs w:val="18"/>
            <w:u w:val="single" w:color="auto"/>
            <w:color w:val="0000EE"/>
          </w:rPr>
          <w:t>Securities and Exchange Commission on April 20, 2023)</w:t>
        </w:r>
      </w:hyperlink>
    </w:p>
    <w:p>
      <w:pPr>
        <w:spacing w:after="0" w:line="80" w:lineRule="exact"/>
        <w:rPr>
          <w:sz w:val="20"/>
          <w:szCs w:val="20"/>
          <w:color w:val="auto"/>
        </w:rPr>
      </w:pPr>
    </w:p>
    <w:p>
      <w:pPr>
        <w:ind w:left="1120" w:right="60" w:hanging="890"/>
        <w:spacing w:after="0" w:line="258" w:lineRule="auto"/>
        <w:tabs>
          <w:tab w:leader="none" w:pos="322" w:val="left"/>
        </w:tabs>
        <w:numPr>
          <w:ilvl w:val="0"/>
          <w:numId w:val="13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4.7</w:t>
      </w:r>
      <w:hyperlink r:id="rId250">
        <w:r>
          <w:rPr>
            <w:rFonts w:ascii="Times New Roman" w:cs="Times New Roman" w:eastAsia="Times New Roman" w:hAnsi="Times New Roman"/>
            <w:sz w:val="18"/>
            <w:szCs w:val="18"/>
            <w:u w:val="single" w:color="auto"/>
            <w:color w:val="0000EE"/>
          </w:rPr>
          <w:t>English translation of the Exclusive Technology Consulting and Service Agreement between Beijing Jingdong Century Trade Co., Ltd. and</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Beijing Jingdong 360 Degree E-Commerce Co., Ltd., dated September 16, 2022 (incorporated herein by reference to Exhibit 4.7 to the</w:t>
        </w:r>
      </w:hyperlink>
      <w:r>
        <w:rPr>
          <w:rFonts w:ascii="Times New Roman" w:cs="Times New Roman" w:eastAsia="Times New Roman" w:hAnsi="Times New Roman"/>
          <w:sz w:val="18"/>
          <w:szCs w:val="18"/>
          <w:u w:val="single" w:color="auto"/>
          <w:color w:val="0000EE"/>
        </w:rPr>
        <w:t xml:space="preserve"> </w:t>
      </w:r>
      <w:hyperlink r:id="rId250">
        <w:r>
          <w:rPr>
            <w:rFonts w:ascii="Times New Roman" w:cs="Times New Roman" w:eastAsia="Times New Roman" w:hAnsi="Times New Roman"/>
            <w:sz w:val="18"/>
            <w:szCs w:val="18"/>
            <w:u w:val="single" w:color="auto"/>
            <w:color w:val="0000EE"/>
          </w:rPr>
          <w:t>annual report on Form 20-F 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right="80" w:hanging="890"/>
        <w:spacing w:after="0" w:line="253" w:lineRule="auto"/>
        <w:tabs>
          <w:tab w:leader="none" w:pos="322" w:val="left"/>
        </w:tabs>
        <w:numPr>
          <w:ilvl w:val="0"/>
          <w:numId w:val="13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4.8</w:t>
      </w:r>
      <w:hyperlink r:id="rId251">
        <w:r>
          <w:rPr>
            <w:rFonts w:ascii="Times New Roman" w:cs="Times New Roman" w:eastAsia="Times New Roman" w:hAnsi="Times New Roman"/>
            <w:sz w:val="18"/>
            <w:szCs w:val="18"/>
            <w:u w:val="single" w:color="auto"/>
            <w:color w:val="0000EE"/>
          </w:rPr>
          <w:t>English translation of the Exclusive Purchase Option Agreement between Beijing Jingdong Century Trade Co., Ltd., Beijing Jingdong 360</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Degree E-Commerce Co., Ltd. and the shareholders of Beijing Jingdong 360 Degree E-Commerce Co., Ltd. dated September 16, 2022</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(incorporated herein by reference to Exhibit 4.8 to the annual report on Form 20-F filed by the Registrant with the Securities and Exchange</w:t>
        </w:r>
      </w:hyperlink>
      <w:r>
        <w:rPr>
          <w:rFonts w:ascii="Times New Roman" w:cs="Times New Roman" w:eastAsia="Times New Roman" w:hAnsi="Times New Roman"/>
          <w:sz w:val="18"/>
          <w:szCs w:val="18"/>
          <w:u w:val="single" w:color="auto"/>
          <w:color w:val="0000EE"/>
        </w:rPr>
        <w:t xml:space="preserve"> </w:t>
      </w:r>
      <w:hyperlink r:id="rId251">
        <w:r>
          <w:rPr>
            <w:rFonts w:ascii="Times New Roman" w:cs="Times New Roman" w:eastAsia="Times New Roman" w:hAnsi="Times New Roman"/>
            <w:sz w:val="18"/>
            <w:szCs w:val="18"/>
            <w:u w:val="single" w:color="auto"/>
            <w:color w:val="0000EE"/>
          </w:rPr>
          <w:t>Commission on April 20, 2023)</w:t>
        </w:r>
      </w:hyperlink>
    </w:p>
    <w:p>
      <w:pPr>
        <w:spacing w:after="0" w:line="79" w:lineRule="exact"/>
        <w:rPr>
          <w:rFonts w:ascii="Times New Roman" w:cs="Times New Roman" w:eastAsia="Times New Roman" w:hAnsi="Times New Roman"/>
          <w:sz w:val="18"/>
          <w:szCs w:val="18"/>
          <w:u w:val="single" w:color="auto"/>
          <w:color w:val="0000EE"/>
        </w:rPr>
      </w:pPr>
    </w:p>
    <w:p>
      <w:pPr>
        <w:ind w:left="1120" w:right="20" w:hanging="890"/>
        <w:spacing w:after="0" w:line="253" w:lineRule="auto"/>
        <w:tabs>
          <w:tab w:leader="none" w:pos="322" w:val="left"/>
        </w:tabs>
        <w:numPr>
          <w:ilvl w:val="0"/>
          <w:numId w:val="13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4.9</w:t>
      </w:r>
      <w:hyperlink r:id="rId252">
        <w:r>
          <w:rPr>
            <w:rFonts w:ascii="Times New Roman" w:cs="Times New Roman" w:eastAsia="Times New Roman" w:hAnsi="Times New Roman"/>
            <w:sz w:val="18"/>
            <w:szCs w:val="18"/>
            <w:u w:val="single" w:color="auto"/>
            <w:color w:val="0000EE"/>
          </w:rPr>
          <w:t>English translation of the Business Operations Agreement between Beijing Jingdong Century Trade Co., Ltd., Beijing Jingdong 360 Degree</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E-Commerce Co., Ltd. and the shareholders of Beijing Jingdong 360 Degree E-Commerce Co., Ltd. dated September 16, 2022</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(incorporated herein by reference to Exhibit 4.9 to the annual report on Form 20-F filed by the Registrant with the Securities and Exchange</w:t>
        </w:r>
      </w:hyperlink>
      <w:r>
        <w:rPr>
          <w:rFonts w:ascii="Times New Roman" w:cs="Times New Roman" w:eastAsia="Times New Roman" w:hAnsi="Times New Roman"/>
          <w:sz w:val="18"/>
          <w:szCs w:val="18"/>
          <w:u w:val="single" w:color="auto"/>
          <w:color w:val="0000EE"/>
        </w:rPr>
        <w:t xml:space="preserve"> </w:t>
      </w:r>
      <w:hyperlink r:id="rId252">
        <w:r>
          <w:rPr>
            <w:rFonts w:ascii="Times New Roman" w:cs="Times New Roman" w:eastAsia="Times New Roman" w:hAnsi="Times New Roman"/>
            <w:sz w:val="18"/>
            <w:szCs w:val="18"/>
            <w:u w:val="single" w:color="auto"/>
            <w:color w:val="0000EE"/>
          </w:rPr>
          <w:t>Commission on April 20, 2023)</w:t>
        </w:r>
      </w:hyperlink>
    </w:p>
    <w:p>
      <w:pPr>
        <w:spacing w:after="0" w:line="119"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320" w:top="476" w:right="579" w:bottom="144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6" w:right="559" w:bottom="1440" w:gutter="0" w:footer="0" w:header="0"/>
        </w:sect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Exhibit</w:t>
      </w:r>
    </w:p>
    <w:p>
      <w:pPr>
        <w:ind w:left="30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3"/>
          <w:szCs w:val="13"/>
          <w:u w:val="single" w:color="auto"/>
          <w:color w:val="auto"/>
        </w:rPr>
        <w:t>Description of Document</w:t>
      </w:r>
    </w:p>
    <w:p>
      <w:pPr>
        <w:spacing w:after="0" w:line="119" w:lineRule="exact"/>
        <w:rPr>
          <w:sz w:val="20"/>
          <w:szCs w:val="20"/>
          <w:color w:val="auto"/>
        </w:rPr>
      </w:pPr>
    </w:p>
    <w:p>
      <w:pPr>
        <w:sectPr>
          <w:pgSz w:w="11900" w:h="16838" w:orient="portrait"/>
          <w:cols w:equalWidth="0" w:num="2">
            <w:col w:w="4640" w:space="720"/>
            <w:col w:w="5660"/>
          </w:cols>
          <w:pgMar w:left="320" w:top="476" w:right="559" w:bottom="1440" w:gutter="0" w:footer="0" w:header="0"/>
          <w:type w:val="continuous"/>
        </w:sectPr>
      </w:pPr>
    </w:p>
    <w:p>
      <w:pPr>
        <w:ind w:left="1120" w:right="180" w:hanging="890"/>
        <w:spacing w:after="0" w:line="258"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4.10</w:t>
      </w:r>
      <w:hyperlink r:id="rId254">
        <w:r>
          <w:rPr>
            <w:rFonts w:ascii="Times New Roman" w:cs="Times New Roman" w:eastAsia="Times New Roman" w:hAnsi="Times New Roman"/>
            <w:sz w:val="18"/>
            <w:szCs w:val="18"/>
            <w:u w:val="single" w:color="auto"/>
            <w:color w:val="0000EE"/>
          </w:rPr>
          <w:t>English translation of the Loan Agreement between Shanghai Shengdayuan Information Technology Co., Ltd. and the shareholders of</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Jiangsu Yuanzhou E-Commerce Co., Ltd. dated September 30, 2022 (incorporated herein by reference to Exhibit 4.10 to the annual report</w:t>
        </w:r>
      </w:hyperlink>
      <w:r>
        <w:rPr>
          <w:rFonts w:ascii="Times New Roman" w:cs="Times New Roman" w:eastAsia="Times New Roman" w:hAnsi="Times New Roman"/>
          <w:sz w:val="18"/>
          <w:szCs w:val="18"/>
          <w:u w:val="single" w:color="auto"/>
          <w:color w:val="0000EE"/>
        </w:rPr>
        <w:t xml:space="preserve"> </w:t>
      </w:r>
      <w:hyperlink r:id="rId254">
        <w:r>
          <w:rPr>
            <w:rFonts w:ascii="Times New Roman" w:cs="Times New Roman" w:eastAsia="Times New Roman" w:hAnsi="Times New Roman"/>
            <w:sz w:val="18"/>
            <w:szCs w:val="18"/>
            <w:u w:val="single" w:color="auto"/>
            <w:color w:val="0000EE"/>
          </w:rPr>
          <w:t>on Form 20-F 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right="20" w:hanging="890"/>
        <w:spacing w:after="0" w:line="258"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4.11</w:t>
      </w:r>
      <w:hyperlink r:id="rId255">
        <w:r>
          <w:rPr>
            <w:rFonts w:ascii="Times New Roman" w:cs="Times New Roman" w:eastAsia="Times New Roman" w:hAnsi="Times New Roman"/>
            <w:sz w:val="18"/>
            <w:szCs w:val="18"/>
            <w:u w:val="single" w:color="auto"/>
            <w:color w:val="0000EE"/>
          </w:rPr>
          <w:t>English translation of the Equity Pledge Agreement between Shanghai Shengdayuan Information Technology Co., Ltd. and the shareholders</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of Jiangsu Yuanzhou E-Commerce Co., Ltd. dated September 30, 2022 (incorporated herein by reference to Exhibit 4.11 to the annual</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report on Form 20-F 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hanging="890"/>
        <w:spacing w:after="0" w:line="258"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4.12</w:t>
      </w:r>
      <w:hyperlink r:id="rId256">
        <w:r>
          <w:rPr>
            <w:rFonts w:ascii="Times New Roman" w:cs="Times New Roman" w:eastAsia="Times New Roman" w:hAnsi="Times New Roman"/>
            <w:sz w:val="18"/>
            <w:szCs w:val="18"/>
            <w:u w:val="single" w:color="auto"/>
            <w:color w:val="0000EE"/>
          </w:rPr>
          <w:t>English translation of the Power of Attorney by the shareholders of Jiangsu Yuanzhou E-Commerce Co., Ltd. dated September 30, 2022</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(incorporated herein by reference to Exhibit 4.12 to the annual report on Form 20-F filed by the Registrant with the Securities and Exchange</w:t>
        </w:r>
      </w:hyperlink>
      <w:r>
        <w:rPr>
          <w:rFonts w:ascii="Times New Roman" w:cs="Times New Roman" w:eastAsia="Times New Roman" w:hAnsi="Times New Roman"/>
          <w:sz w:val="18"/>
          <w:szCs w:val="18"/>
          <w:u w:val="single" w:color="auto"/>
          <w:color w:val="0000EE"/>
        </w:rPr>
        <w:t xml:space="preserve"> </w:t>
      </w:r>
      <w:hyperlink r:id="rId256">
        <w:r>
          <w:rPr>
            <w:rFonts w:ascii="Times New Roman" w:cs="Times New Roman" w:eastAsia="Times New Roman" w:hAnsi="Times New Roman"/>
            <w:sz w:val="18"/>
            <w:szCs w:val="18"/>
            <w:u w:val="single" w:color="auto"/>
            <w:color w:val="0000EE"/>
          </w:rPr>
          <w:t>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right="60" w:hanging="890"/>
        <w:spacing w:after="0" w:line="258"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4.13</w:t>
      </w:r>
      <w:hyperlink r:id="rId257">
        <w:r>
          <w:rPr>
            <w:rFonts w:ascii="Times New Roman" w:cs="Times New Roman" w:eastAsia="Times New Roman" w:hAnsi="Times New Roman"/>
            <w:sz w:val="18"/>
            <w:szCs w:val="18"/>
            <w:u w:val="single" w:color="auto"/>
            <w:color w:val="0000EE"/>
          </w:rPr>
          <w:t>English translation of the Exclusive Technology Consulting and Service Agreement between Shanghai Shengdayuan Information</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Technology Co., Ltd. and Jiangsu Yuanzhou E-Commerce Co., Ltd., dated September 30, 2022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257">
        <w:r>
          <w:rPr>
            <w:rFonts w:ascii="Times New Roman" w:cs="Times New Roman" w:eastAsia="Times New Roman" w:hAnsi="Times New Roman"/>
            <w:sz w:val="18"/>
            <w:szCs w:val="18"/>
            <w:u w:val="single" w:color="auto"/>
            <w:color w:val="0000EE"/>
          </w:rPr>
          <w:t>4.13 to the annual report on Form 20-F filed by the Registrant with the Securities and Exchange Commission on April 20, 2023)</w:t>
        </w:r>
      </w:hyperlink>
    </w:p>
    <w:p>
      <w:pPr>
        <w:spacing w:after="0" w:line="72" w:lineRule="exact"/>
        <w:rPr>
          <w:rFonts w:ascii="Times New Roman" w:cs="Times New Roman" w:eastAsia="Times New Roman" w:hAnsi="Times New Roman"/>
          <w:sz w:val="18"/>
          <w:szCs w:val="18"/>
          <w:u w:val="single" w:color="auto"/>
          <w:color w:val="0000EE"/>
        </w:rPr>
      </w:pPr>
    </w:p>
    <w:p>
      <w:pPr>
        <w:ind w:left="1120" w:hanging="890"/>
        <w:spacing w:after="0" w:line="253"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4.14</w:t>
      </w:r>
      <w:hyperlink r:id="rId258">
        <w:r>
          <w:rPr>
            <w:rFonts w:ascii="Times New Roman" w:cs="Times New Roman" w:eastAsia="Times New Roman" w:hAnsi="Times New Roman"/>
            <w:sz w:val="18"/>
            <w:szCs w:val="18"/>
            <w:u w:val="single" w:color="auto"/>
            <w:color w:val="0000EE"/>
          </w:rPr>
          <w:t>English translation of the Exclusive Purchase Option Agreement between Shanghai Shengdayuan Information Technology Co., Ltd.,</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Jiangsu Yuanzhou E-Commerce Co., Ltd. and the shareholders of Jiangsu Yuanzhou E-Commerce Co., Ltd. dated September 30, 2022</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(incorporated herein by reference to Exhibit 4.14 to the annual report on Form 20-F filed by the Registrant with the Securities and Exchange</w:t>
        </w:r>
      </w:hyperlink>
      <w:r>
        <w:rPr>
          <w:rFonts w:ascii="Times New Roman" w:cs="Times New Roman" w:eastAsia="Times New Roman" w:hAnsi="Times New Roman"/>
          <w:sz w:val="18"/>
          <w:szCs w:val="18"/>
          <w:u w:val="single" w:color="auto"/>
          <w:color w:val="0000EE"/>
        </w:rPr>
        <w:t xml:space="preserve"> </w:t>
      </w:r>
      <w:hyperlink r:id="rId258">
        <w:r>
          <w:rPr>
            <w:rFonts w:ascii="Times New Roman" w:cs="Times New Roman" w:eastAsia="Times New Roman" w:hAnsi="Times New Roman"/>
            <w:sz w:val="18"/>
            <w:szCs w:val="18"/>
            <w:u w:val="single" w:color="auto"/>
            <w:color w:val="0000EE"/>
          </w:rPr>
          <w:t>Commission on April 20, 2023)</w:t>
        </w:r>
      </w:hyperlink>
    </w:p>
    <w:p>
      <w:pPr>
        <w:spacing w:after="0" w:line="79" w:lineRule="exact"/>
        <w:rPr>
          <w:rFonts w:ascii="Times New Roman" w:cs="Times New Roman" w:eastAsia="Times New Roman" w:hAnsi="Times New Roman"/>
          <w:sz w:val="18"/>
          <w:szCs w:val="18"/>
          <w:u w:val="single" w:color="auto"/>
          <w:color w:val="0000EE"/>
        </w:rPr>
      </w:pPr>
    </w:p>
    <w:p>
      <w:pPr>
        <w:jc w:val="both"/>
        <w:ind w:left="1120" w:right="20" w:hanging="890"/>
        <w:spacing w:after="0" w:line="253" w:lineRule="auto"/>
        <w:tabs>
          <w:tab w:leader="none" w:pos="322" w:val="left"/>
        </w:tabs>
        <w:numPr>
          <w:ilvl w:val="0"/>
          <w:numId w:val="1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4.15</w:t>
      </w:r>
      <w:hyperlink r:id="rId259">
        <w:r>
          <w:rPr>
            <w:rFonts w:ascii="Times New Roman" w:cs="Times New Roman" w:eastAsia="Times New Roman" w:hAnsi="Times New Roman"/>
            <w:sz w:val="18"/>
            <w:szCs w:val="18"/>
            <w:u w:val="single" w:color="auto"/>
            <w:color w:val="0000EE"/>
          </w:rPr>
          <w:t>English translation of the Business Operations Agreement between Shanghai Shengdayuan Information Technology Co., Ltd., Jiangsu</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Yuanzhou E-Commerce Co., Ltd. and the shareholders of Jiangsu Yuanzhou E-Commerce Co., Ltd. dated September 30, 2022 (incorporated</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herein by reference to Exhibit 4.15 to the annual report on Form 20-F filed by the Registrant with the Securities and Exchange Commission</w:t>
        </w:r>
      </w:hyperlink>
      <w:r>
        <w:rPr>
          <w:rFonts w:ascii="Times New Roman" w:cs="Times New Roman" w:eastAsia="Times New Roman" w:hAnsi="Times New Roman"/>
          <w:sz w:val="18"/>
          <w:szCs w:val="18"/>
          <w:u w:val="single" w:color="auto"/>
          <w:color w:val="0000EE"/>
        </w:rPr>
        <w:t xml:space="preserve"> </w:t>
      </w:r>
      <w:hyperlink r:id="rId259">
        <w:r>
          <w:rPr>
            <w:rFonts w:ascii="Times New Roman" w:cs="Times New Roman" w:eastAsia="Times New Roman" w:hAnsi="Times New Roman"/>
            <w:sz w:val="18"/>
            <w:szCs w:val="18"/>
            <w:u w:val="single" w:color="auto"/>
            <w:color w:val="0000EE"/>
          </w:rPr>
          <w:t>on April 20, 2023)</w:t>
        </w:r>
      </w:hyperlink>
    </w:p>
    <w:p>
      <w:pPr>
        <w:spacing w:after="0" w:line="79" w:lineRule="exact"/>
        <w:rPr>
          <w:rFonts w:ascii="Times New Roman" w:cs="Times New Roman" w:eastAsia="Times New Roman" w:hAnsi="Times New Roman"/>
          <w:sz w:val="18"/>
          <w:szCs w:val="18"/>
          <w:u w:val="single" w:color="auto"/>
          <w:color w:val="0000EE"/>
        </w:rPr>
      </w:pPr>
    </w:p>
    <w:p>
      <w:pPr>
        <w:ind w:left="1120" w:right="20" w:hanging="890"/>
        <w:spacing w:after="0" w:line="258" w:lineRule="auto"/>
        <w:tabs>
          <w:tab w:leader="none" w:pos="3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4.16* </w:t>
      </w:r>
      <w:r>
        <w:rPr>
          <w:rFonts w:ascii="Times New Roman" w:cs="Times New Roman" w:eastAsia="Times New Roman" w:hAnsi="Times New Roman"/>
          <w:sz w:val="18"/>
          <w:szCs w:val="18"/>
          <w:u w:val="single" w:color="auto"/>
          <w:color w:val="0000EE"/>
        </w:rPr>
        <w:t>English translation of the Business Cooperation Agreement between Xi’an Jingxundi Supply Chain Technology Co., Ltd. (which later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changed its name to Jiangsu Xinchuan Hailian Supply Chain Management Co., Ltd.) and Xi’an Jingdong Xincheng Information Technology Co., Ltd. dated September 16, 2022</w:t>
      </w:r>
    </w:p>
    <w:p>
      <w:pPr>
        <w:spacing w:after="0" w:line="72" w:lineRule="exact"/>
        <w:rPr>
          <w:rFonts w:ascii="Times New Roman" w:cs="Times New Roman" w:eastAsia="Times New Roman" w:hAnsi="Times New Roman"/>
          <w:sz w:val="18"/>
          <w:szCs w:val="18"/>
          <w:color w:val="auto"/>
        </w:rPr>
      </w:pPr>
    </w:p>
    <w:p>
      <w:pPr>
        <w:ind w:left="1480" w:right="40" w:hanging="276"/>
        <w:spacing w:after="0" w:line="270" w:lineRule="auto"/>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business cooperation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120" w:hanging="890"/>
        <w:spacing w:after="0" w:line="258" w:lineRule="auto"/>
        <w:tabs>
          <w:tab w:leader="none" w:pos="32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4.17* </w:t>
      </w:r>
      <w:r>
        <w:rPr>
          <w:rFonts w:ascii="Times New Roman" w:cs="Times New Roman" w:eastAsia="Times New Roman" w:hAnsi="Times New Roman"/>
          <w:sz w:val="18"/>
          <w:szCs w:val="18"/>
          <w:u w:val="single" w:color="auto"/>
          <w:color w:val="0000EE"/>
        </w:rPr>
        <w:t>English translation of the Exclusive Purchase Option Agreement between Xi’an Jingxundi Supply Chain Technology Co., Ltd., Xi’an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Jingdong Xincheng Information Technology Co., Ltd. and the shareholders of Xi’an Jingdong Xincheng Information Technology Co., Ltd. dated September 16, 2022</w:t>
      </w:r>
    </w:p>
    <w:p>
      <w:pPr>
        <w:spacing w:after="0" w:line="72" w:lineRule="exact"/>
        <w:rPr>
          <w:rFonts w:ascii="Times New Roman" w:cs="Times New Roman" w:eastAsia="Times New Roman" w:hAnsi="Times New Roman"/>
          <w:sz w:val="18"/>
          <w:szCs w:val="18"/>
          <w:color w:val="auto"/>
        </w:rPr>
      </w:pPr>
    </w:p>
    <w:p>
      <w:pPr>
        <w:ind w:left="1480" w:right="360" w:hanging="276"/>
        <w:spacing w:after="0" w:line="270" w:lineRule="auto"/>
        <w:tabs>
          <w:tab w:leader="none" w:pos="1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exclusive option agreements substantially in form as this exhibit that the Registrant entered into with certain other variable interest entities of the Registrant</w:t>
      </w:r>
    </w:p>
    <w:p>
      <w:pPr>
        <w:spacing w:after="0" w:line="103" w:lineRule="exact"/>
        <w:rPr>
          <w:rFonts w:ascii="Times New Roman" w:cs="Times New Roman" w:eastAsia="Times New Roman" w:hAnsi="Times New Roman"/>
          <w:sz w:val="18"/>
          <w:szCs w:val="18"/>
          <w:u w:val="single" w:color="auto"/>
          <w:color w:val="0000EE"/>
        </w:rPr>
      </w:pPr>
    </w:p>
    <w:p>
      <w:pPr>
        <w:jc w:val="center"/>
        <w:ind w:right="-2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20"/>
          </w:cols>
          <w:pgMar w:left="320" w:top="476" w:right="559" w:bottom="144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00"/>
          </w:cols>
          <w:pgMar w:left="320" w:top="476" w:right="579" w:bottom="1440" w:gutter="0" w:footer="0" w:header="0"/>
        </w:sect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Exhibit</w:t>
      </w:r>
    </w:p>
    <w:p>
      <w:pPr>
        <w:ind w:left="30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    4.18*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u w:val="single" w:color="auto"/>
          <w:color w:val="0000EE"/>
        </w:rPr>
        <w:t>English translation of the Loan Agreement between Xi’an Jingxundi Supply Chain Technology Co., Ltd. and the shareholders of Xi’an Jingdong Xincheng Information Technology Co., Ltd. dated September 16, 2022</w:t>
      </w:r>
    </w:p>
    <w:p>
      <w:pPr>
        <w:spacing w:after="0" w:line="63" w:lineRule="exact"/>
        <w:rPr>
          <w:sz w:val="20"/>
          <w:szCs w:val="20"/>
          <w:color w:val="auto"/>
        </w:rPr>
      </w:pPr>
    </w:p>
    <w:p>
      <w:pPr>
        <w:sectPr>
          <w:pgSz w:w="11900" w:h="16838" w:orient="portrait"/>
          <w:cols w:equalWidth="0" w:num="2">
            <w:col w:w="800" w:space="320"/>
            <w:col w:w="9880"/>
          </w:cols>
          <w:pgMar w:left="320" w:top="476" w:right="579" w:bottom="1440" w:gutter="0" w:footer="0" w:header="0"/>
          <w:type w:val="continuous"/>
        </w:sectPr>
      </w:pPr>
    </w:p>
    <w:p>
      <w:pPr>
        <w:ind w:left="1480" w:right="42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loan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hanging="890"/>
        <w:spacing w:after="0" w:line="258"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4.19* </w:t>
      </w:r>
      <w:r>
        <w:rPr>
          <w:rFonts w:ascii="Times New Roman" w:cs="Times New Roman" w:eastAsia="Times New Roman" w:hAnsi="Times New Roman"/>
          <w:sz w:val="18"/>
          <w:szCs w:val="18"/>
          <w:u w:val="single" w:color="auto"/>
          <w:color w:val="0000EE"/>
        </w:rPr>
        <w:t>English translation of the Shareholders’ Rights Entrustment Agreement between Xi’an Jingxundi Supply Chain Technology Co., Ltd., Xi’an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Jingdong Xincheng Information Technology Co., Ltd. and the shareholders of Xi’an Jingdong Xincheng Information Technology Co., Ltd. dated September 16, 2022</w:t>
      </w:r>
    </w:p>
    <w:p>
      <w:pPr>
        <w:spacing w:after="0" w:line="72" w:lineRule="exact"/>
        <w:rPr>
          <w:rFonts w:ascii="Times New Roman" w:cs="Times New Roman" w:eastAsia="Times New Roman" w:hAnsi="Times New Roman"/>
          <w:sz w:val="18"/>
          <w:szCs w:val="18"/>
          <w:color w:val="auto"/>
        </w:rPr>
      </w:pPr>
    </w:p>
    <w:p>
      <w:pPr>
        <w:ind w:left="1480" w:right="32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shareholders’ rights entrustment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420" w:hanging="890"/>
        <w:spacing w:after="0" w:line="270"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4.20* </w:t>
      </w:r>
      <w:r>
        <w:rPr>
          <w:rFonts w:ascii="Times New Roman" w:cs="Times New Roman" w:eastAsia="Times New Roman" w:hAnsi="Times New Roman"/>
          <w:sz w:val="18"/>
          <w:szCs w:val="18"/>
          <w:u w:val="single" w:color="auto"/>
          <w:color w:val="0000EE"/>
        </w:rPr>
        <w:t>English translation of the Power of Attorney by the shareholders of Xi’an Jingdong Xincheng Information Technology Co., Ltd. 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16, 2022</w:t>
      </w:r>
    </w:p>
    <w:p>
      <w:pPr>
        <w:spacing w:after="0" w:line="63" w:lineRule="exact"/>
        <w:rPr>
          <w:rFonts w:ascii="Times New Roman" w:cs="Times New Roman" w:eastAsia="Times New Roman" w:hAnsi="Times New Roman"/>
          <w:sz w:val="18"/>
          <w:szCs w:val="18"/>
          <w:color w:val="auto"/>
        </w:rPr>
      </w:pPr>
    </w:p>
    <w:p>
      <w:pPr>
        <w:ind w:left="1480" w:right="32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power of attorney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360" w:hanging="890"/>
        <w:spacing w:after="0" w:line="258"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4.21* </w:t>
      </w:r>
      <w:r>
        <w:rPr>
          <w:rFonts w:ascii="Times New Roman" w:cs="Times New Roman" w:eastAsia="Times New Roman" w:hAnsi="Times New Roman"/>
          <w:sz w:val="18"/>
          <w:szCs w:val="18"/>
          <w:u w:val="single" w:color="auto"/>
          <w:color w:val="0000EE"/>
        </w:rPr>
        <w:t>English translation of the Equity Pledge Agreement between Xi’an Jingxundi Supply Chain Technology Co., Ltd., Xi’an Jingdong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Xincheng Information Technology Co., Ltd. and the shareholders of Xi’an Jingdong Xincheng Information Technology Co., Ltd. dated September 16, 2022</w:t>
      </w:r>
    </w:p>
    <w:p>
      <w:pPr>
        <w:spacing w:after="0" w:line="72" w:lineRule="exact"/>
        <w:rPr>
          <w:rFonts w:ascii="Times New Roman" w:cs="Times New Roman" w:eastAsia="Times New Roman" w:hAnsi="Times New Roman"/>
          <w:sz w:val="18"/>
          <w:szCs w:val="18"/>
          <w:color w:val="auto"/>
        </w:rPr>
      </w:pPr>
    </w:p>
    <w:p>
      <w:pPr>
        <w:ind w:left="1480" w:right="54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equity pledge agreements substantially in form as this exhibit that the Registrant entered into with certain other variable interest entities of the Registrant Exhibit</w:t>
      </w:r>
    </w:p>
    <w:p>
      <w:pPr>
        <w:spacing w:after="0" w:line="63" w:lineRule="exact"/>
        <w:rPr>
          <w:rFonts w:ascii="Times New Roman" w:cs="Times New Roman" w:eastAsia="Times New Roman" w:hAnsi="Times New Roman"/>
          <w:sz w:val="18"/>
          <w:szCs w:val="18"/>
          <w:color w:val="auto"/>
        </w:rPr>
      </w:pPr>
    </w:p>
    <w:p>
      <w:pPr>
        <w:ind w:left="1120" w:right="540" w:hanging="890"/>
        <w:spacing w:after="0" w:line="270"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4.22* </w:t>
      </w:r>
      <w:r>
        <w:rPr>
          <w:rFonts w:ascii="Times New Roman" w:cs="Times New Roman" w:eastAsia="Times New Roman" w:hAnsi="Times New Roman"/>
          <w:sz w:val="18"/>
          <w:szCs w:val="18"/>
          <w:u w:val="single" w:color="auto"/>
          <w:color w:val="0000EE"/>
        </w:rPr>
        <w:t>English translation of the Equity Pledge Agreement between Beijing Jingdong Century Trade Co., Ltd., Beijing Jiasheng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Management Co., Ltd. and the shareholders of Beijing Jiasheng Investment Management Co., Ltd. dated October 17, 2022</w:t>
      </w:r>
    </w:p>
    <w:p>
      <w:pPr>
        <w:spacing w:after="0" w:line="63" w:lineRule="exact"/>
        <w:rPr>
          <w:rFonts w:ascii="Times New Roman" w:cs="Times New Roman" w:eastAsia="Times New Roman" w:hAnsi="Times New Roman"/>
          <w:sz w:val="18"/>
          <w:szCs w:val="18"/>
          <w:color w:val="auto"/>
        </w:rPr>
      </w:pPr>
    </w:p>
    <w:p>
      <w:pPr>
        <w:ind w:left="1480" w:right="54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equity pledge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180" w:hanging="890"/>
        <w:spacing w:after="0" w:line="270" w:lineRule="auto"/>
        <w:tabs>
          <w:tab w:leader="none" w:pos="32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4.23* </w:t>
      </w:r>
      <w:r>
        <w:rPr>
          <w:rFonts w:ascii="Times New Roman" w:cs="Times New Roman" w:eastAsia="Times New Roman" w:hAnsi="Times New Roman"/>
          <w:sz w:val="18"/>
          <w:szCs w:val="18"/>
          <w:u w:val="single" w:color="auto"/>
          <w:color w:val="0000EE"/>
        </w:rPr>
        <w:t>English translation of the Power of Attorney by the shareholders of Beijing Jiasheng Investment Management Co., Ltd. dated October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2022</w:t>
      </w:r>
    </w:p>
    <w:p>
      <w:pPr>
        <w:spacing w:after="0" w:line="63" w:lineRule="exact"/>
        <w:rPr>
          <w:rFonts w:ascii="Times New Roman" w:cs="Times New Roman" w:eastAsia="Times New Roman" w:hAnsi="Times New Roman"/>
          <w:sz w:val="18"/>
          <w:szCs w:val="18"/>
          <w:color w:val="auto"/>
        </w:rPr>
      </w:pPr>
    </w:p>
    <w:p>
      <w:pPr>
        <w:ind w:left="1480" w:right="320" w:hanging="276"/>
        <w:spacing w:after="0" w:line="270" w:lineRule="auto"/>
        <w:tabs>
          <w:tab w:leader="none" w:pos="14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power of attorney substantially in form as this exhibit that the Registrant entered into with certain other variable interest entities of the Registrant</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320" w:top="476" w:right="57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00"/>
          </w:cols>
          <w:pgMar w:left="320" w:top="476" w:right="579" w:bottom="1440" w:gutter="0" w:footer="0" w:header="0"/>
        </w:sectPr>
      </w:pP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Exhibit</w:t>
      </w:r>
    </w:p>
    <w:p>
      <w:pPr>
        <w:ind w:left="300"/>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    4.24*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u w:val="single" w:color="auto"/>
          <w:color w:val="0000EE"/>
        </w:rPr>
        <w:t>English translation of the Exclusive Technology Consulting and Service Agreement between Beijing Jingdong Century Trade Co., Ltd. and Beijing Jiasheng Investment Management Co., Ltd. dated October 17, 2022</w:t>
      </w:r>
    </w:p>
    <w:p>
      <w:pPr>
        <w:spacing w:after="0" w:line="63" w:lineRule="exact"/>
        <w:rPr>
          <w:sz w:val="20"/>
          <w:szCs w:val="20"/>
          <w:color w:val="auto"/>
        </w:rPr>
      </w:pPr>
    </w:p>
    <w:p>
      <w:pPr>
        <w:sectPr>
          <w:pgSz w:w="11900" w:h="16838" w:orient="portrait"/>
          <w:cols w:equalWidth="0" w:num="2">
            <w:col w:w="800" w:space="320"/>
            <w:col w:w="9880"/>
          </w:cols>
          <w:pgMar w:left="320" w:top="476" w:right="579" w:bottom="1440" w:gutter="0" w:footer="0" w:header="0"/>
          <w:type w:val="continuous"/>
        </w:sectPr>
      </w:pPr>
    </w:p>
    <w:p>
      <w:pPr>
        <w:ind w:left="1480" w:right="360" w:hanging="276"/>
        <w:spacing w:after="0" w:line="270"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exclusive technology consulting and service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100" w:hanging="890"/>
        <w:spacing w:after="0" w:line="270" w:lineRule="auto"/>
        <w:tabs>
          <w:tab w:leader="none" w:pos="32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4.25* </w:t>
      </w:r>
      <w:r>
        <w:rPr>
          <w:rFonts w:ascii="Times New Roman" w:cs="Times New Roman" w:eastAsia="Times New Roman" w:hAnsi="Times New Roman"/>
          <w:sz w:val="18"/>
          <w:szCs w:val="18"/>
          <w:u w:val="single" w:color="auto"/>
          <w:color w:val="0000EE"/>
        </w:rPr>
        <w:t>English translation of the Business Operations Agreement between Beijing Jingdong Century Trade Co., Ltd., Beijing Jiasheng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Management Co., Ltd. and the shareholders of Beijing Jiasheng Investment Management Co., Ltd. dated October 17, 2022</w:t>
      </w:r>
    </w:p>
    <w:p>
      <w:pPr>
        <w:spacing w:after="0" w:line="63" w:lineRule="exact"/>
        <w:rPr>
          <w:rFonts w:ascii="Times New Roman" w:cs="Times New Roman" w:eastAsia="Times New Roman" w:hAnsi="Times New Roman"/>
          <w:sz w:val="18"/>
          <w:szCs w:val="18"/>
          <w:color w:val="auto"/>
        </w:rPr>
      </w:pPr>
    </w:p>
    <w:p>
      <w:pPr>
        <w:ind w:left="1480" w:right="120" w:hanging="276"/>
        <w:spacing w:after="0" w:line="270"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business operations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jc w:val="right"/>
        <w:ind w:left="1120" w:right="420" w:hanging="890"/>
        <w:spacing w:after="0" w:line="300" w:lineRule="auto"/>
        <w:tabs>
          <w:tab w:leader="none" w:pos="322"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4.26*    </w:t>
      </w:r>
      <w:r>
        <w:rPr>
          <w:rFonts w:ascii="Times New Roman" w:cs="Times New Roman" w:eastAsia="Times New Roman" w:hAnsi="Times New Roman"/>
          <w:sz w:val="17"/>
          <w:szCs w:val="17"/>
          <w:u w:val="single" w:color="auto"/>
          <w:color w:val="0000EE"/>
        </w:rPr>
        <w:t>English translation of the Exclusive Purchase Option Agreement between Beijing Jingdong Century Trade Co., Ltd., Beijing Jiasheng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Investment Management Co., Ltd. and the shareholders of Beijing Jiasheng Investment Management Co., Ltd. dated October 17, 2022</w:t>
      </w:r>
    </w:p>
    <w:p>
      <w:pPr>
        <w:spacing w:after="0" w:line="40" w:lineRule="exact"/>
        <w:rPr>
          <w:rFonts w:ascii="Times New Roman" w:cs="Times New Roman" w:eastAsia="Times New Roman" w:hAnsi="Times New Roman"/>
          <w:sz w:val="17"/>
          <w:szCs w:val="17"/>
          <w:color w:val="auto"/>
        </w:rPr>
      </w:pPr>
    </w:p>
    <w:p>
      <w:pPr>
        <w:ind w:left="1480" w:right="240" w:hanging="276"/>
        <w:spacing w:after="0" w:line="270"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exclusive purchase option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right="360" w:hanging="890"/>
        <w:spacing w:after="0" w:line="270" w:lineRule="auto"/>
        <w:tabs>
          <w:tab w:leader="none" w:pos="32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4.27* </w:t>
      </w:r>
      <w:r>
        <w:rPr>
          <w:rFonts w:ascii="Times New Roman" w:cs="Times New Roman" w:eastAsia="Times New Roman" w:hAnsi="Times New Roman"/>
          <w:sz w:val="18"/>
          <w:szCs w:val="18"/>
          <w:u w:val="single" w:color="auto"/>
          <w:color w:val="0000EE"/>
        </w:rPr>
        <w:t>English translation of the Loan Agreement between Beijing Jingdong Century Trade Co., Ltd. and the shareholders of Beijing Jiasheng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Investment Management Co., Ltd. dated October 17, 2022</w:t>
      </w:r>
    </w:p>
    <w:p>
      <w:pPr>
        <w:spacing w:after="0" w:line="63" w:lineRule="exact"/>
        <w:rPr>
          <w:rFonts w:ascii="Times New Roman" w:cs="Times New Roman" w:eastAsia="Times New Roman" w:hAnsi="Times New Roman"/>
          <w:sz w:val="18"/>
          <w:szCs w:val="18"/>
          <w:color w:val="auto"/>
        </w:rPr>
      </w:pPr>
    </w:p>
    <w:p>
      <w:pPr>
        <w:ind w:left="1480" w:right="420" w:hanging="276"/>
        <w:spacing w:after="0" w:line="270" w:lineRule="auto"/>
        <w:tabs>
          <w:tab w:leader="none" w:pos="1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this exhibit includes information about the loan agreements substantially in form as this exhibit that the Registrant entered into with certain other variable interest entities of the Registrant</w:t>
      </w:r>
    </w:p>
    <w:p>
      <w:pPr>
        <w:spacing w:after="0" w:line="63" w:lineRule="exact"/>
        <w:rPr>
          <w:rFonts w:ascii="Times New Roman" w:cs="Times New Roman" w:eastAsia="Times New Roman" w:hAnsi="Times New Roman"/>
          <w:sz w:val="18"/>
          <w:szCs w:val="18"/>
          <w:color w:val="auto"/>
        </w:rPr>
      </w:pPr>
    </w:p>
    <w:p>
      <w:pPr>
        <w:ind w:left="1120" w:hanging="890"/>
        <w:spacing w:after="0" w:line="258" w:lineRule="auto"/>
        <w:tabs>
          <w:tab w:leader="none" w:pos="322" w:val="left"/>
        </w:tabs>
        <w:numPr>
          <w:ilvl w:val="0"/>
          <w:numId w:val="1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4.28</w:t>
      </w:r>
      <w:hyperlink r:id="rId262">
        <w:r>
          <w:rPr>
            <w:rFonts w:ascii="Times New Roman" w:cs="Times New Roman" w:eastAsia="Times New Roman" w:hAnsi="Times New Roman"/>
            <w:sz w:val="18"/>
            <w:szCs w:val="18"/>
            <w:u w:val="single" w:color="auto"/>
            <w:color w:val="0000EE"/>
          </w:rPr>
          <w:t>Investor Rights Agreement by and among Vipshop Holdings Limited, Windcreek Limited, Tencent Mobility Limited and other parties listed</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therein, dated December 29, 2017 (incorporated herein by reference to Exhibit 99.4 to our report on Schedule 13D filed with the Securities</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and Exchange Commission with respect to Vipshop Holdings Limited on January 8, 2018)</w:t>
        </w:r>
      </w:hyperlink>
    </w:p>
    <w:p>
      <w:pPr>
        <w:spacing w:after="0" w:line="72" w:lineRule="exact"/>
        <w:rPr>
          <w:rFonts w:ascii="Times New Roman" w:cs="Times New Roman" w:eastAsia="Times New Roman" w:hAnsi="Times New Roman"/>
          <w:sz w:val="18"/>
          <w:szCs w:val="18"/>
          <w:u w:val="single" w:color="auto"/>
          <w:color w:val="0000EE"/>
        </w:rPr>
      </w:pPr>
    </w:p>
    <w:p>
      <w:pPr>
        <w:ind w:left="1120" w:right="20" w:hanging="890"/>
        <w:spacing w:after="0" w:line="253" w:lineRule="auto"/>
        <w:tabs>
          <w:tab w:leader="none" w:pos="322" w:val="left"/>
        </w:tabs>
        <w:numPr>
          <w:ilvl w:val="0"/>
          <w:numId w:val="1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4.29</w:t>
      </w:r>
      <w:hyperlink r:id="rId263">
        <w:r>
          <w:rPr>
            <w:rFonts w:ascii="Times New Roman" w:cs="Times New Roman" w:eastAsia="Times New Roman" w:hAnsi="Times New Roman"/>
            <w:sz w:val="18"/>
            <w:szCs w:val="18"/>
            <w:u w:val="single" w:color="auto"/>
            <w:color w:val="0000EE"/>
          </w:rPr>
          <w:t>English summary of Strategic Cooperation Agreement regarding Dalian Wanda Commercial Properties Co., Ltd. by and among Dalian</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Wanda Group Co., Ltd., Dalian Wanda Commercial Properties Co., Ltd., Tencent Technology (Shenzhen) Co., Ltd. and Beijing Jingdong</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Century Trading Co., Ltd., dated January 27, 2018 (incorporated herein by reference to Exhibit 4.41 to the annual report on Form 20-F filed</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by the Registrant with the Securities and Exchange Commission on April 27, 2018)</w:t>
        </w:r>
      </w:hyperlink>
    </w:p>
    <w:p>
      <w:pPr>
        <w:spacing w:after="0" w:line="79" w:lineRule="exact"/>
        <w:rPr>
          <w:rFonts w:ascii="Times New Roman" w:cs="Times New Roman" w:eastAsia="Times New Roman" w:hAnsi="Times New Roman"/>
          <w:sz w:val="18"/>
          <w:szCs w:val="18"/>
          <w:u w:val="single" w:color="auto"/>
          <w:color w:val="0000EE"/>
        </w:rPr>
      </w:pPr>
    </w:p>
    <w:p>
      <w:pPr>
        <w:ind w:left="1120" w:right="40" w:hanging="890"/>
        <w:spacing w:after="0" w:line="270" w:lineRule="auto"/>
        <w:tabs>
          <w:tab w:leader="none" w:pos="322" w:val="left"/>
        </w:tabs>
        <w:numPr>
          <w:ilvl w:val="0"/>
          <w:numId w:val="1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4.30</w:t>
      </w:r>
      <w:hyperlink r:id="rId264">
        <w:r>
          <w:rPr>
            <w:rFonts w:ascii="Times New Roman" w:cs="Times New Roman" w:eastAsia="Times New Roman" w:hAnsi="Times New Roman"/>
            <w:sz w:val="18"/>
            <w:szCs w:val="18"/>
            <w:u w:val="single" w:color="auto"/>
            <w:color w:val="0000EE"/>
          </w:rPr>
          <w:t>Shareholders Agreement of Jingdong Express Group Corporation, dated March 7, 2018 (incorporated herein by reference to Exhibit 4.43 to</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the annual report on Form 20-F filed by the Registrant with the Securities and Exchange Commission on April 27, 2018)</w:t>
        </w:r>
      </w:hyperlink>
    </w:p>
    <w:p>
      <w:pPr>
        <w:spacing w:after="0" w:line="63" w:lineRule="exact"/>
        <w:rPr>
          <w:rFonts w:ascii="Times New Roman" w:cs="Times New Roman" w:eastAsia="Times New Roman" w:hAnsi="Times New Roman"/>
          <w:sz w:val="18"/>
          <w:szCs w:val="18"/>
          <w:u w:val="single" w:color="auto"/>
          <w:color w:val="0000EE"/>
        </w:rPr>
      </w:pPr>
    </w:p>
    <w:p>
      <w:pPr>
        <w:ind w:left="1120" w:right="160" w:hanging="890"/>
        <w:spacing w:after="0" w:line="258" w:lineRule="auto"/>
        <w:tabs>
          <w:tab w:leader="none" w:pos="322" w:val="left"/>
        </w:tabs>
        <w:numPr>
          <w:ilvl w:val="0"/>
          <w:numId w:val="13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4.31</w:t>
      </w:r>
      <w:hyperlink r:id="rId265">
        <w:r>
          <w:rPr>
            <w:rFonts w:ascii="Times New Roman" w:cs="Times New Roman" w:eastAsia="Times New Roman" w:hAnsi="Times New Roman"/>
            <w:sz w:val="18"/>
            <w:szCs w:val="18"/>
            <w:u w:val="single" w:color="auto"/>
            <w:color w:val="0000EE"/>
          </w:rPr>
          <w:t>US$1,000,000,000 Term and Revolving Credit Facilities Agreement between the Registrant and other parties thereto, dated December 21,</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2017 (incorporated herein by reference to Exhibit 4.44 to the annual report on Form 20-F filed by the Registrant with the Securities and</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Exchange Commission on April 27, 2018)</w:t>
        </w:r>
      </w:hyperlink>
    </w:p>
    <w:p>
      <w:pPr>
        <w:spacing w:after="0" w:line="112" w:lineRule="exact"/>
        <w:rPr>
          <w:rFonts w:ascii="Times New Roman" w:cs="Times New Roman" w:eastAsia="Times New Roman" w:hAnsi="Times New Roman"/>
          <w:sz w:val="18"/>
          <w:szCs w:val="18"/>
          <w:u w:val="single" w:color="auto"/>
          <w:color w:val="0000EE"/>
        </w:rPr>
      </w:pPr>
    </w:p>
    <w:p>
      <w:pPr>
        <w:jc w:val="center"/>
        <w:ind w:right="-2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320" w:top="476" w:right="57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0920"/>
          </w:cols>
          <w:pgMar w:left="320" w:top="476" w:right="659" w:bottom="1440" w:gutter="0" w:footer="0" w:header="0"/>
        </w:sectPr>
      </w:pPr>
    </w:p>
    <w:p>
      <w:pPr>
        <w:spacing w:after="0" w:line="3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Exhibit</w:t>
      </w:r>
    </w:p>
    <w:p>
      <w:pPr>
        <w:jc w:val="right"/>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320" w:hanging="90"/>
        <w:spacing w:after="0"/>
        <w:tabs>
          <w:tab w:leader="none" w:pos="3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4.32</w:t>
      </w:r>
    </w:p>
    <w:p>
      <w:pPr>
        <w:spacing w:after="0" w:line="200" w:lineRule="exact"/>
        <w:rPr>
          <w:rFonts w:ascii="Times New Roman" w:cs="Times New Roman" w:eastAsia="Times New Roman" w:hAnsi="Times New Roman"/>
          <w:sz w:val="17"/>
          <w:szCs w:val="17"/>
          <w:color w:val="auto"/>
        </w:rPr>
      </w:pPr>
    </w:p>
    <w:p>
      <w:pPr>
        <w:spacing w:after="0" w:line="344" w:lineRule="exact"/>
        <w:rPr>
          <w:rFonts w:ascii="Times New Roman" w:cs="Times New Roman" w:eastAsia="Times New Roman" w:hAnsi="Times New Roman"/>
          <w:sz w:val="17"/>
          <w:szCs w:val="17"/>
          <w:color w:val="auto"/>
        </w:rPr>
      </w:pPr>
    </w:p>
    <w:p>
      <w:pPr>
        <w:ind w:left="320" w:hanging="90"/>
        <w:spacing w:after="0"/>
        <w:tabs>
          <w:tab w:leader="none" w:pos="3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40"/>
        <w:spacing w:after="0" w:line="258" w:lineRule="auto"/>
        <w:rPr>
          <w:rFonts w:ascii="Times New Roman" w:cs="Times New Roman" w:eastAsia="Times New Roman" w:hAnsi="Times New Roman"/>
          <w:sz w:val="18"/>
          <w:szCs w:val="18"/>
          <w:u w:val="single" w:color="auto"/>
          <w:color w:val="0000EE"/>
        </w:rPr>
      </w:pPr>
      <w:hyperlink r:id="rId267">
        <w:r>
          <w:rPr>
            <w:rFonts w:ascii="Times New Roman" w:cs="Times New Roman" w:eastAsia="Times New Roman" w:hAnsi="Times New Roman"/>
            <w:sz w:val="18"/>
            <w:szCs w:val="18"/>
            <w:u w:val="single" w:color="auto"/>
            <w:color w:val="0000EE"/>
          </w:rPr>
          <w:t>Amended and Restated Agreement, dated as of November 9, 2020, between the Registrant and Jingdong Technology Holding Co., Ltd.</w:t>
        </w:r>
      </w:hyperlink>
      <w:r>
        <w:rPr>
          <w:rFonts w:ascii="Times New Roman" w:cs="Times New Roman" w:eastAsia="Times New Roman" w:hAnsi="Times New Roman"/>
          <w:sz w:val="18"/>
          <w:szCs w:val="18"/>
          <w:u w:val="single" w:color="auto"/>
          <w:color w:val="0000EE"/>
        </w:rPr>
        <w:t xml:space="preserve"> </w:t>
      </w:r>
      <w:hyperlink r:id="rId267">
        <w:r>
          <w:rPr>
            <w:rFonts w:ascii="Times New Roman" w:cs="Times New Roman" w:eastAsia="Times New Roman" w:hAnsi="Times New Roman"/>
            <w:sz w:val="18"/>
            <w:szCs w:val="18"/>
            <w:u w:val="single" w:color="auto"/>
            <w:color w:val="0000EE"/>
          </w:rPr>
          <w:t>regarding certain non-compete arrangements (incorporated herein by reference to Exhibit 4.45 to the annual report on Form 20-F filed by</w:t>
        </w:r>
      </w:hyperlink>
      <w:r>
        <w:rPr>
          <w:rFonts w:ascii="Times New Roman" w:cs="Times New Roman" w:eastAsia="Times New Roman" w:hAnsi="Times New Roman"/>
          <w:sz w:val="18"/>
          <w:szCs w:val="18"/>
          <w:u w:val="single" w:color="auto"/>
          <w:color w:val="0000EE"/>
        </w:rPr>
        <w:t xml:space="preserve"> </w:t>
      </w:r>
      <w:hyperlink r:id="rId267">
        <w:r>
          <w:rPr>
            <w:rFonts w:ascii="Times New Roman" w:cs="Times New Roman" w:eastAsia="Times New Roman" w:hAnsi="Times New Roman"/>
            <w:sz w:val="18"/>
            <w:szCs w:val="18"/>
            <w:u w:val="single" w:color="auto"/>
            <w:color w:val="0000EE"/>
          </w:rPr>
          <w:t>the Registrant with the Securities and Exchange Commission on April 16, 2021)</w:t>
        </w:r>
      </w:hyperlink>
    </w:p>
    <w:p>
      <w:pPr>
        <w:spacing w:after="0" w:line="73" w:lineRule="exact"/>
        <w:rPr>
          <w:rFonts w:ascii="Times New Roman" w:cs="Times New Roman" w:eastAsia="Times New Roman" w:hAnsi="Times New Roman"/>
          <w:sz w:val="18"/>
          <w:szCs w:val="18"/>
          <w:u w:val="single" w:color="auto"/>
          <w:color w:val="0000EE"/>
        </w:rPr>
      </w:pPr>
    </w:p>
    <w:p>
      <w:pPr>
        <w:jc w:val="both"/>
        <w:spacing w:after="0" w:line="258" w:lineRule="auto"/>
        <w:rPr>
          <w:rFonts w:ascii="Times New Roman" w:cs="Times New Roman" w:eastAsia="Times New Roman" w:hAnsi="Times New Roman"/>
          <w:sz w:val="18"/>
          <w:szCs w:val="18"/>
          <w:u w:val="single" w:color="auto"/>
          <w:color w:val="0000EE"/>
        </w:rPr>
      </w:pPr>
      <w:hyperlink r:id="rId268">
        <w:r>
          <w:rPr>
            <w:rFonts w:ascii="Times New Roman" w:cs="Times New Roman" w:eastAsia="Times New Roman" w:hAnsi="Times New Roman"/>
            <w:sz w:val="18"/>
            <w:szCs w:val="18"/>
            <w:u w:val="single" w:color="auto"/>
            <w:color w:val="0000EE"/>
          </w:rPr>
          <w:t>Investment Agreement, dated as of June 25, 2020, among the Registrant, Jingdong Technology Holding Co., Ltd. and other parties named</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therein (incorporated herein by reference to Exhibit 4.46 to the annual report on Form 20-F filed by the Registrant with the Securities and</w:t>
        </w:r>
      </w:hyperlink>
      <w:r>
        <w:rPr>
          <w:rFonts w:ascii="Times New Roman" w:cs="Times New Roman" w:eastAsia="Times New Roman" w:hAnsi="Times New Roman"/>
          <w:sz w:val="18"/>
          <w:szCs w:val="18"/>
          <w:u w:val="single" w:color="auto"/>
          <w:color w:val="0000EE"/>
        </w:rPr>
        <w:t xml:space="preserve"> </w:t>
      </w:r>
      <w:hyperlink r:id="rId268">
        <w:r>
          <w:rPr>
            <w:rFonts w:ascii="Times New Roman" w:cs="Times New Roman" w:eastAsia="Times New Roman" w:hAnsi="Times New Roman"/>
            <w:sz w:val="18"/>
            <w:szCs w:val="18"/>
            <w:u w:val="single" w:color="auto"/>
            <w:color w:val="0000EE"/>
          </w:rPr>
          <w:t>Exchange Commission on April 16, 2021)</w:t>
        </w:r>
      </w:hyperlink>
    </w:p>
    <w:p>
      <w:pPr>
        <w:spacing w:after="0" w:line="7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800" w:space="400"/>
            <w:col w:w="9720"/>
          </w:cols>
          <w:pgMar w:left="320" w:top="476" w:right="659" w:bottom="1440" w:gutter="0" w:footer="0" w:header="0"/>
          <w:type w:val="continuous"/>
        </w:sectPr>
      </w:pPr>
    </w:p>
    <w:p>
      <w:pPr>
        <w:ind w:left="1200" w:right="120" w:hanging="970"/>
        <w:spacing w:after="0" w:line="280" w:lineRule="auto"/>
        <w:tabs>
          <w:tab w:leader="none" w:pos="310" w:val="left"/>
        </w:tabs>
        <w:numPr>
          <w:ilvl w:val="0"/>
          <w:numId w:val="138"/>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4.34</w:t>
      </w:r>
      <w:hyperlink r:id="rId269">
        <w:r>
          <w:rPr>
            <w:rFonts w:ascii="Times New Roman" w:cs="Times New Roman" w:eastAsia="Times New Roman" w:hAnsi="Times New Roman"/>
            <w:sz w:val="17"/>
            <w:szCs w:val="17"/>
            <w:u w:val="single" w:color="auto"/>
            <w:color w:val="0000EE"/>
          </w:rPr>
          <w:t>English Summary of Equity Transfer and Capital Increase Agreement, dated August 12, 2020, among Kuayue-Express Group Co., Ltd.,</w:t>
        </w:r>
      </w:hyperlink>
      <w:r>
        <w:rPr>
          <w:rFonts w:ascii="Times New Roman" w:cs="Times New Roman" w:eastAsia="Times New Roman" w:hAnsi="Times New Roman"/>
          <w:sz w:val="17"/>
          <w:szCs w:val="17"/>
          <w:u w:val="single" w:color="auto"/>
          <w:color w:val="0000EE"/>
        </w:rPr>
        <w:t xml:space="preserve"> </w:t>
      </w:r>
      <w:hyperlink r:id="rId269">
        <w:r>
          <w:rPr>
            <w:rFonts w:ascii="Times New Roman" w:cs="Times New Roman" w:eastAsia="Times New Roman" w:hAnsi="Times New Roman"/>
            <w:sz w:val="17"/>
            <w:szCs w:val="17"/>
            <w:u w:val="single" w:color="auto"/>
            <w:color w:val="0000EE"/>
          </w:rPr>
          <w:t>Suqian JD Bohai Enterprise Management Co., Ltd. and other parties named thereto. (incorporated herein by reference to Exhibit 4.50 to</w:t>
        </w:r>
      </w:hyperlink>
      <w:r>
        <w:rPr>
          <w:rFonts w:ascii="Times New Roman" w:cs="Times New Roman" w:eastAsia="Times New Roman" w:hAnsi="Times New Roman"/>
          <w:sz w:val="17"/>
          <w:szCs w:val="17"/>
          <w:u w:val="single" w:color="auto"/>
          <w:color w:val="0000EE"/>
        </w:rPr>
        <w:t xml:space="preserve"> </w:t>
      </w:r>
      <w:hyperlink r:id="rId269">
        <w:r>
          <w:rPr>
            <w:rFonts w:ascii="Times New Roman" w:cs="Times New Roman" w:eastAsia="Times New Roman" w:hAnsi="Times New Roman"/>
            <w:sz w:val="17"/>
            <w:szCs w:val="17"/>
            <w:u w:val="single" w:color="auto"/>
            <w:color w:val="0000EE"/>
          </w:rPr>
          <w:t>the annual report on Form 20-F filed by the Registrant with the Securities and Exchange Commission on April 16, 2021)</w:t>
        </w:r>
      </w:hyperlink>
    </w:p>
    <w:p>
      <w:pPr>
        <w:spacing w:after="0" w:line="56" w:lineRule="exact"/>
        <w:rPr>
          <w:rFonts w:ascii="Times New Roman" w:cs="Times New Roman" w:eastAsia="Times New Roman" w:hAnsi="Times New Roman"/>
          <w:sz w:val="17"/>
          <w:szCs w:val="17"/>
          <w:u w:val="single" w:color="auto"/>
          <w:color w:val="0000EE"/>
        </w:rPr>
      </w:pPr>
    </w:p>
    <w:p>
      <w:pPr>
        <w:ind w:left="1200" w:right="140" w:hanging="970"/>
        <w:spacing w:after="0" w:line="258" w:lineRule="auto"/>
        <w:tabs>
          <w:tab w:leader="none" w:pos="310" w:val="left"/>
        </w:tabs>
        <w:numPr>
          <w:ilvl w:val="0"/>
          <w:numId w:val="13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4.35†</w:t>
      </w:r>
      <w:hyperlink r:id="rId270">
        <w:r>
          <w:rPr>
            <w:rFonts w:ascii="Times New Roman" w:cs="Times New Roman" w:eastAsia="Times New Roman" w:hAnsi="Times New Roman"/>
            <w:sz w:val="18"/>
            <w:szCs w:val="18"/>
            <w:u w:val="single" w:color="auto"/>
            <w:color w:val="0000EE"/>
          </w:rPr>
          <w:t>Facilities Agreement, US$2,000,000,000 Term and Revolving Credit Facilities, dated December 29, 2021, between the Registrant and</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other parties thereto (incorporated herein by reference to Exhibit 4.47 to the annual report on Form 20-F filed by the Registrant with the</w:t>
        </w:r>
      </w:hyperlink>
      <w:r>
        <w:rPr>
          <w:rFonts w:ascii="Times New Roman" w:cs="Times New Roman" w:eastAsia="Times New Roman" w:hAnsi="Times New Roman"/>
          <w:sz w:val="18"/>
          <w:szCs w:val="18"/>
          <w:u w:val="single" w:color="auto"/>
          <w:color w:val="0000EE"/>
        </w:rPr>
        <w:t xml:space="preserve"> </w:t>
      </w:r>
      <w:hyperlink r:id="rId270">
        <w:r>
          <w:rPr>
            <w:rFonts w:ascii="Times New Roman" w:cs="Times New Roman" w:eastAsia="Times New Roman" w:hAnsi="Times New Roman"/>
            <w:sz w:val="18"/>
            <w:szCs w:val="18"/>
            <w:u w:val="single" w:color="auto"/>
            <w:color w:val="0000EE"/>
          </w:rPr>
          <w:t>Securities and Exchange Commission on April 28, 2022)</w:t>
        </w:r>
      </w:hyperlink>
    </w:p>
    <w:p>
      <w:pPr>
        <w:spacing w:after="0" w:line="112" w:lineRule="exact"/>
        <w:rPr>
          <w:rFonts w:ascii="Times New Roman" w:cs="Times New Roman" w:eastAsia="Times New Roman" w:hAnsi="Times New Roman"/>
          <w:sz w:val="18"/>
          <w:szCs w:val="18"/>
          <w:u w:val="single" w:color="auto"/>
          <w:color w:val="0000EE"/>
        </w:rPr>
      </w:pPr>
    </w:p>
    <w:p>
      <w:pPr>
        <w:jc w:val="center"/>
        <w:ind w:right="-3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20"/>
          </w:cols>
          <w:pgMar w:left="320" w:top="476" w:right="65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00"/>
          </w:cols>
          <w:pgMar w:left="320" w:top="476" w:right="579" w:bottom="1440" w:gutter="0" w:footer="0" w:header="0"/>
        </w:sect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Exhibit</w:t>
      </w:r>
    </w:p>
    <w:p>
      <w:pPr>
        <w:jc w:val="right"/>
        <w:spacing w:after="0"/>
        <w:rPr>
          <w:sz w:val="20"/>
          <w:szCs w:val="20"/>
          <w:color w:val="auto"/>
        </w:rPr>
      </w:pPr>
      <w:r>
        <w:rPr>
          <w:rFonts w:ascii="Times New Roman" w:cs="Times New Roman" w:eastAsia="Times New Roman" w:hAnsi="Times New Roman"/>
          <w:sz w:val="14"/>
          <w:szCs w:val="14"/>
          <w:u w:val="single" w:color="auto"/>
          <w:color w:val="auto"/>
        </w:rPr>
        <w:t>Number</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4.36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Description of Document</w:t>
      </w:r>
    </w:p>
    <w:p>
      <w:pPr>
        <w:spacing w:after="0" w:line="108" w:lineRule="exact"/>
        <w:rPr>
          <w:sz w:val="20"/>
          <w:szCs w:val="20"/>
          <w:color w:val="auto"/>
        </w:rPr>
      </w:pPr>
    </w:p>
    <w:p>
      <w:pPr>
        <w:ind w:right="220"/>
        <w:spacing w:after="0" w:line="270" w:lineRule="auto"/>
        <w:rPr>
          <w:rFonts w:ascii="Times New Roman" w:cs="Times New Roman" w:eastAsia="Times New Roman" w:hAnsi="Times New Roman"/>
          <w:sz w:val="18"/>
          <w:szCs w:val="18"/>
          <w:u w:val="single" w:color="auto"/>
          <w:color w:val="0000EE"/>
        </w:rPr>
      </w:pPr>
      <w:hyperlink r:id="rId272">
        <w:r>
          <w:rPr>
            <w:rFonts w:ascii="Times New Roman" w:cs="Times New Roman" w:eastAsia="Times New Roman" w:hAnsi="Times New Roman"/>
            <w:sz w:val="18"/>
            <w:szCs w:val="18"/>
            <w:u w:val="single" w:color="auto"/>
            <w:color w:val="0000EE"/>
          </w:rPr>
          <w:t>2023 Share Incentive Plan (incorporated herein by reference to Exhibit 4.43 to the annual report on Form 20-F filed by the Registrant</w:t>
        </w:r>
      </w:hyperlink>
      <w:r>
        <w:rPr>
          <w:rFonts w:ascii="Times New Roman" w:cs="Times New Roman" w:eastAsia="Times New Roman" w:hAnsi="Times New Roman"/>
          <w:sz w:val="18"/>
          <w:szCs w:val="18"/>
          <w:u w:val="single" w:color="auto"/>
          <w:color w:val="0000EE"/>
        </w:rPr>
        <w:t xml:space="preserve"> </w:t>
      </w:r>
      <w:hyperlink r:id="rId272">
        <w:r>
          <w:rPr>
            <w:rFonts w:ascii="Times New Roman" w:cs="Times New Roman" w:eastAsia="Times New Roman" w:hAnsi="Times New Roman"/>
            <w:sz w:val="18"/>
            <w:szCs w:val="18"/>
            <w:u w:val="single" w:color="auto"/>
            <w:color w:val="0000EE"/>
          </w:rPr>
          <w:t>with the Securities and Exchange Commission on April 17, 2025)</w:t>
        </w:r>
      </w:hyperlink>
    </w:p>
    <w:p>
      <w:pPr>
        <w:spacing w:after="0" w:line="63" w:lineRule="exact"/>
        <w:rPr>
          <w:sz w:val="20"/>
          <w:szCs w:val="20"/>
          <w:color w:val="auto"/>
        </w:rPr>
      </w:pPr>
    </w:p>
    <w:p>
      <w:pPr>
        <w:sectPr>
          <w:pgSz w:w="11900" w:h="16838" w:orient="portrait"/>
          <w:cols w:equalWidth="0" w:num="2">
            <w:col w:w="840" w:space="540"/>
            <w:col w:w="9620"/>
          </w:cols>
          <w:pgMar w:left="320" w:top="476" w:right="579" w:bottom="1440" w:gutter="0" w:footer="0" w:header="0"/>
          <w:type w:val="continuous"/>
        </w:sectPr>
      </w:pPr>
    </w:p>
    <w:p>
      <w:pPr>
        <w:ind w:left="1380" w:right="460" w:hanging="1150"/>
        <w:spacing w:after="0" w:line="270" w:lineRule="auto"/>
        <w:tabs>
          <w:tab w:leader="none" w:pos="3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4.37*†</w:t>
      </w:r>
      <w:r>
        <w:rPr>
          <w:rFonts w:ascii="Times New Roman" w:cs="Times New Roman" w:eastAsia="Times New Roman" w:hAnsi="Times New Roman"/>
          <w:sz w:val="18"/>
          <w:szCs w:val="18"/>
          <w:u w:val="single" w:color="auto"/>
          <w:color w:val="0000EE"/>
        </w:rPr>
        <w:t>Facility agreement (Facility A) between JINGDONG HOLDING GERMANY GMBH, the Registrant, certain banks and financial institutions and other parties dated July 30, 2025</w:t>
      </w:r>
    </w:p>
    <w:p>
      <w:pPr>
        <w:spacing w:after="0" w:line="63" w:lineRule="exact"/>
        <w:rPr>
          <w:rFonts w:ascii="Times New Roman" w:cs="Times New Roman" w:eastAsia="Times New Roman" w:hAnsi="Times New Roman"/>
          <w:sz w:val="18"/>
          <w:szCs w:val="18"/>
          <w:color w:val="auto"/>
        </w:rPr>
      </w:pPr>
    </w:p>
    <w:p>
      <w:pPr>
        <w:ind w:left="1380" w:right="460" w:hanging="1150"/>
        <w:spacing w:after="0" w:line="270" w:lineRule="auto"/>
        <w:tabs>
          <w:tab w:leader="none" w:pos="3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4.38*†</w:t>
      </w:r>
      <w:r>
        <w:rPr>
          <w:rFonts w:ascii="Times New Roman" w:cs="Times New Roman" w:eastAsia="Times New Roman" w:hAnsi="Times New Roman"/>
          <w:sz w:val="18"/>
          <w:szCs w:val="18"/>
          <w:u w:val="single" w:color="auto"/>
          <w:color w:val="0000EE"/>
        </w:rPr>
        <w:t>Facility agreement (Facility B) between JINGDONG HOLDING GERMANY GMBH, the Registrant, certain banks and financial institutions and other parties dated July 30, 2025</w:t>
      </w:r>
    </w:p>
    <w:p>
      <w:pPr>
        <w:spacing w:after="0" w:line="63" w:lineRule="exact"/>
        <w:rPr>
          <w:rFonts w:ascii="Times New Roman" w:cs="Times New Roman" w:eastAsia="Times New Roman" w:hAnsi="Times New Roman"/>
          <w:sz w:val="18"/>
          <w:szCs w:val="18"/>
          <w:color w:val="auto"/>
        </w:rPr>
      </w:pPr>
    </w:p>
    <w:p>
      <w:pPr>
        <w:ind w:left="320" w:hanging="90"/>
        <w:spacing w:after="0"/>
        <w:tabs>
          <w:tab w:leader="none" w:pos="32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4.39*†</w:t>
      </w:r>
      <w:r>
        <w:rPr>
          <w:rFonts w:ascii="Times New Roman" w:cs="Times New Roman" w:eastAsia="Times New Roman" w:hAnsi="Times New Roman"/>
          <w:sz w:val="17"/>
          <w:szCs w:val="17"/>
          <w:u w:val="single" w:color="auto"/>
          <w:color w:val="0000EE"/>
        </w:rPr>
        <w:t>Investment Agreement between CECONOMY AG and JINGDONG HOLDING GERMANY GMBH and JD.com International Limited</w:t>
      </w:r>
    </w:p>
    <w:p>
      <w:pPr>
        <w:spacing w:after="0" w:line="105"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8.1*</w:t>
            </w: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List of Principal Subsidiaries and Consolidated Variable Interest Entities</w:t>
            </w:r>
          </w:p>
        </w:tc>
      </w:tr>
      <w:tr>
        <w:trPr>
          <w:trHeight w:val="20"/>
        </w:trPr>
        <w:tc>
          <w:tcPr>
            <w:tcW w:w="11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11.1</w:t>
            </w:r>
          </w:p>
        </w:tc>
        <w:tc>
          <w:tcPr>
            <w:tcW w:w="9600" w:type="dxa"/>
            <w:vAlign w:val="bottom"/>
            <w:gridSpan w:val="13"/>
          </w:tcPr>
          <w:p>
            <w:pPr>
              <w:spacing w:after="0"/>
              <w:rPr>
                <w:rFonts w:ascii="Times New Roman" w:cs="Times New Roman" w:eastAsia="Times New Roman" w:hAnsi="Times New Roman"/>
                <w:sz w:val="18"/>
                <w:szCs w:val="18"/>
                <w:color w:val="0000EE"/>
                <w:w w:val="99"/>
              </w:rPr>
            </w:pPr>
            <w:hyperlink r:id="rId273">
              <w:r>
                <w:rPr>
                  <w:rFonts w:ascii="Times New Roman" w:cs="Times New Roman" w:eastAsia="Times New Roman" w:hAnsi="Times New Roman"/>
                  <w:sz w:val="18"/>
                  <w:szCs w:val="18"/>
                  <w:color w:val="0000EE"/>
                  <w:w w:val="99"/>
                </w:rPr>
                <w:t>Code of Business Conduct and Ethics of the Registrant (incorporated herein by reference to Exhibit 11.1 to the annual report on Form</w:t>
              </w:r>
            </w:hyperlink>
          </w:p>
        </w:tc>
      </w:tr>
      <w:tr>
        <w:trPr>
          <w:trHeight w:val="192"/>
        </w:trPr>
        <w:tc>
          <w:tcPr>
            <w:tcW w:w="1140" w:type="dxa"/>
            <w:vAlign w:val="bottom"/>
          </w:tcPr>
          <w:p>
            <w:pPr>
              <w:spacing w:after="0"/>
              <w:rPr>
                <w:sz w:val="16"/>
                <w:szCs w:val="16"/>
                <w:color w:val="auto"/>
              </w:rPr>
            </w:pPr>
          </w:p>
        </w:tc>
        <w:tc>
          <w:tcPr>
            <w:tcW w:w="664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273">
              <w:r>
                <w:rPr>
                  <w:rFonts w:ascii="Times New Roman" w:cs="Times New Roman" w:eastAsia="Times New Roman" w:hAnsi="Times New Roman"/>
                  <w:sz w:val="18"/>
                  <w:szCs w:val="18"/>
                  <w:color w:val="0000EE"/>
                  <w:w w:val="97"/>
                </w:rPr>
                <w:t>20-F filed by the Registrant with the Securities and Exchange Commission on April 20, 2023)</w:t>
              </w:r>
            </w:hyperlink>
          </w:p>
        </w:tc>
        <w:tc>
          <w:tcPr>
            <w:tcW w:w="2780" w:type="dxa"/>
            <w:vAlign w:val="bottom"/>
            <w:tcBorders>
              <w:top w:val="single" w:sz="8" w:color="0000EE"/>
            </w:tcBorders>
            <w:gridSpan w:val="7"/>
          </w:tcPr>
          <w:p>
            <w:pPr>
              <w:spacing w:after="0"/>
              <w:rPr>
                <w:sz w:val="16"/>
                <w:szCs w:val="16"/>
                <w:color w:val="auto"/>
              </w:rPr>
            </w:pPr>
          </w:p>
        </w:tc>
        <w:tc>
          <w:tcPr>
            <w:tcW w:w="180" w:type="dxa"/>
            <w:vAlign w:val="bottom"/>
          </w:tcPr>
          <w:p>
            <w:pPr>
              <w:spacing w:after="0"/>
              <w:rPr>
                <w:sz w:val="16"/>
                <w:szCs w:val="16"/>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11.2</w:t>
            </w:r>
          </w:p>
        </w:tc>
        <w:tc>
          <w:tcPr>
            <w:tcW w:w="96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274">
              <w:r>
                <w:rPr>
                  <w:rFonts w:ascii="Times New Roman" w:cs="Times New Roman" w:eastAsia="Times New Roman" w:hAnsi="Times New Roman"/>
                  <w:sz w:val="18"/>
                  <w:szCs w:val="18"/>
                  <w:color w:val="0000EE"/>
                  <w:w w:val="97"/>
                </w:rPr>
                <w:t>Amended and Restated Insider Trading Policy of the Registrant (incorporated herein by reference to Exhibit 11.2 to the annual report on</w:t>
              </w:r>
            </w:hyperlink>
          </w:p>
        </w:tc>
      </w:tr>
      <w:tr>
        <w:trPr>
          <w:trHeight w:val="192"/>
        </w:trPr>
        <w:tc>
          <w:tcPr>
            <w:tcW w:w="1140" w:type="dxa"/>
            <w:vAlign w:val="bottom"/>
          </w:tcPr>
          <w:p>
            <w:pPr>
              <w:spacing w:after="0"/>
              <w:rPr>
                <w:sz w:val="16"/>
                <w:szCs w:val="16"/>
                <w:color w:val="auto"/>
              </w:rPr>
            </w:pPr>
          </w:p>
        </w:tc>
        <w:tc>
          <w:tcPr>
            <w:tcW w:w="70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r:id="rId274">
              <w:r>
                <w:rPr>
                  <w:rFonts w:ascii="Times New Roman" w:cs="Times New Roman" w:eastAsia="Times New Roman" w:hAnsi="Times New Roman"/>
                  <w:sz w:val="18"/>
                  <w:szCs w:val="18"/>
                  <w:color w:val="0000EE"/>
                  <w:w w:val="97"/>
                </w:rPr>
                <w:t>Form 20-F filed by the Registrant with the Securities and Exchange Commission on April 17, 2025)</w:t>
              </w:r>
            </w:hyperlink>
          </w:p>
        </w:tc>
        <w:tc>
          <w:tcPr>
            <w:tcW w:w="2540" w:type="dxa"/>
            <w:vAlign w:val="bottom"/>
            <w:gridSpan w:val="7"/>
          </w:tcPr>
          <w:p>
            <w:pPr>
              <w:spacing w:after="0"/>
              <w:rPr>
                <w:sz w:val="16"/>
                <w:szCs w:val="16"/>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12.1*</w:t>
            </w:r>
          </w:p>
        </w:tc>
        <w:tc>
          <w:tcPr>
            <w:tcW w:w="7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Certification by Principal Executive Officer Pursuant to Section 302 of the Sarbanes-Oxley Act of 2002</w:t>
            </w:r>
          </w:p>
        </w:tc>
        <w:tc>
          <w:tcPr>
            <w:tcW w:w="2260" w:type="dxa"/>
            <w:vAlign w:val="bottom"/>
            <w:gridSpan w:val="3"/>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12.2*</w:t>
            </w:r>
          </w:p>
        </w:tc>
        <w:tc>
          <w:tcPr>
            <w:tcW w:w="7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Certification by Principal Financial Officer Pursuant to Section 302 of the Sarbanes-Oxley Act of 2002</w:t>
            </w:r>
          </w:p>
        </w:tc>
        <w:tc>
          <w:tcPr>
            <w:tcW w:w="2320" w:type="dxa"/>
            <w:vAlign w:val="bottom"/>
            <w:gridSpan w:val="5"/>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13.1**</w:t>
            </w:r>
          </w:p>
        </w:tc>
        <w:tc>
          <w:tcPr>
            <w:tcW w:w="7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Certification by Principal Executive Officer Pursuant to Section 906 of the Sarbanes-Oxley Act of 2002</w:t>
            </w:r>
          </w:p>
        </w:tc>
        <w:tc>
          <w:tcPr>
            <w:tcW w:w="2280" w:type="dxa"/>
            <w:vAlign w:val="bottom"/>
            <w:gridSpan w:val="4"/>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13.2**</w:t>
            </w: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by Principal Financial Officer Pursuant to Section 906 of the Sarbanes-Oxley Act of 2002</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72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Deloitte Touche Tohmatsu Certified Public Accountants LLP</w:t>
            </w:r>
          </w:p>
        </w:tc>
        <w:tc>
          <w:tcPr>
            <w:tcW w:w="2340" w:type="dxa"/>
            <w:vAlign w:val="bottom"/>
            <w:gridSpan w:val="6"/>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15.2*</w:t>
            </w:r>
          </w:p>
        </w:tc>
        <w:tc>
          <w:tcPr>
            <w:tcW w:w="1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Consent of Shihui Partners</w:t>
            </w:r>
          </w:p>
        </w:tc>
        <w:tc>
          <w:tcPr>
            <w:tcW w:w="3220" w:type="dxa"/>
            <w:vAlign w:val="bottom"/>
            <w:tcBorders>
              <w:top w:val="single" w:sz="8" w:color="0000EE"/>
            </w:tcBorders>
            <w:gridSpan w:val="3"/>
          </w:tcPr>
          <w:p>
            <w:pPr>
              <w:spacing w:after="0"/>
              <w:rPr>
                <w:sz w:val="24"/>
                <w:szCs w:val="24"/>
                <w:color w:val="auto"/>
              </w:rPr>
            </w:pPr>
          </w:p>
        </w:tc>
        <w:tc>
          <w:tcPr>
            <w:tcW w:w="4480" w:type="dxa"/>
            <w:vAlign w:val="bottom"/>
            <w:gridSpan w:val="9"/>
          </w:tcPr>
          <w:p>
            <w:pPr>
              <w:spacing w:after="0"/>
              <w:rPr>
                <w:sz w:val="24"/>
                <w:szCs w:val="24"/>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97</w:t>
            </w:r>
          </w:p>
        </w:tc>
        <w:tc>
          <w:tcPr>
            <w:tcW w:w="9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r:id="rId275">
              <w:r>
                <w:rPr>
                  <w:rFonts w:ascii="Times New Roman" w:cs="Times New Roman" w:eastAsia="Times New Roman" w:hAnsi="Times New Roman"/>
                  <w:sz w:val="18"/>
                  <w:szCs w:val="18"/>
                  <w:color w:val="0000EE"/>
                  <w:w w:val="97"/>
                </w:rPr>
                <w:t>Clawback Policy (incorporated herein by reference to Exhibit 97 to the annual report on Form 20-F filed by the Registrant with the</w:t>
              </w:r>
            </w:hyperlink>
          </w:p>
        </w:tc>
        <w:tc>
          <w:tcPr>
            <w:tcW w:w="360" w:type="dxa"/>
            <w:vAlign w:val="bottom"/>
            <w:gridSpan w:val="2"/>
          </w:tcPr>
          <w:p>
            <w:pPr>
              <w:spacing w:after="0"/>
              <w:rPr>
                <w:sz w:val="24"/>
                <w:szCs w:val="24"/>
                <w:color w:val="auto"/>
              </w:rPr>
            </w:pPr>
          </w:p>
        </w:tc>
      </w:tr>
      <w:tr>
        <w:trPr>
          <w:trHeight w:val="192"/>
        </w:trPr>
        <w:tc>
          <w:tcPr>
            <w:tcW w:w="1140" w:type="dxa"/>
            <w:vAlign w:val="bottom"/>
          </w:tcPr>
          <w:p>
            <w:pPr>
              <w:spacing w:after="0"/>
              <w:rPr>
                <w:sz w:val="16"/>
                <w:szCs w:val="16"/>
                <w:color w:val="auto"/>
              </w:rPr>
            </w:pPr>
          </w:p>
        </w:tc>
        <w:tc>
          <w:tcPr>
            <w:tcW w:w="9600" w:type="dxa"/>
            <w:vAlign w:val="bottom"/>
            <w:gridSpan w:val="13"/>
          </w:tcPr>
          <w:p>
            <w:pPr>
              <w:spacing w:after="0" w:line="192"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Securities and Exchange Commission on April 18, 2024)</w:t>
              </w:r>
            </w:hyperlink>
          </w:p>
        </w:tc>
      </w:tr>
      <w:tr>
        <w:trPr>
          <w:trHeight w:val="20"/>
        </w:trPr>
        <w:tc>
          <w:tcPr>
            <w:tcW w:w="1140" w:type="dxa"/>
            <w:vAlign w:val="bottom"/>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r>
      <w:tr>
        <w:trPr>
          <w:trHeight w:val="31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 in the Interactive Data File as its XBRL tags are embedded</w:t>
            </w:r>
          </w:p>
        </w:tc>
      </w:tr>
      <w:tr>
        <w:trPr>
          <w:trHeight w:val="229"/>
        </w:trPr>
        <w:tc>
          <w:tcPr>
            <w:tcW w:w="1140" w:type="dxa"/>
            <w:vAlign w:val="bottom"/>
          </w:tcPr>
          <w:p>
            <w:pPr>
              <w:spacing w:after="0"/>
              <w:rPr>
                <w:sz w:val="19"/>
                <w:szCs w:val="19"/>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84455</wp:posOffset>
            </wp:positionV>
            <wp:extent cx="7556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148" w:lineRule="exact"/>
        <w:rPr>
          <w:sz w:val="20"/>
          <w:szCs w:val="20"/>
          <w:color w:val="auto"/>
        </w:rPr>
      </w:pPr>
    </w:p>
    <w:p>
      <w:pPr>
        <w:ind w:left="660" w:hanging="430"/>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sz w:val="20"/>
          <w:szCs w:val="20"/>
          <w:color w:val="auto"/>
        </w:rPr>
      </w:pPr>
    </w:p>
    <w:p>
      <w:pPr>
        <w:ind w:left="660" w:hanging="430"/>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5" w:lineRule="exact"/>
        <w:rPr>
          <w:sz w:val="20"/>
          <w:szCs w:val="20"/>
          <w:color w:val="auto"/>
        </w:rPr>
      </w:pPr>
    </w:p>
    <w:p>
      <w:pPr>
        <w:ind w:left="5500" w:right="4100" w:hanging="5270"/>
        <w:spacing w:after="0" w:line="419" w:lineRule="auto"/>
        <w:tabs>
          <w:tab w:leader="none" w:pos="66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406 under the Securities Act. 201</w:t>
      </w:r>
    </w:p>
    <w:p>
      <w:pPr>
        <w:sectPr>
          <w:pgSz w:w="11900" w:h="16838" w:orient="portrait"/>
          <w:cols w:equalWidth="0" w:num="1">
            <w:col w:w="11000"/>
          </w:cols>
          <w:pgMar w:left="320" w:top="476" w:right="579" w:bottom="144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8"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9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JD.com, Inc.</w:t>
      </w:r>
    </w:p>
    <w:p>
      <w:pPr>
        <w:spacing w:after="0" w:line="216" w:lineRule="exact"/>
        <w:rPr>
          <w:sz w:val="20"/>
          <w:szCs w:val="20"/>
          <w:color w:val="auto"/>
        </w:rPr>
      </w:pPr>
    </w:p>
    <w:p>
      <w:pPr>
        <w:ind w:left="670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Sandy Ran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14605</wp:posOffset>
            </wp:positionV>
            <wp:extent cx="23755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Sandy Ran Xu</w:t>
      </w:r>
    </w:p>
    <w:p>
      <w:pPr>
        <w:spacing w:after="0" w:line="22" w:lineRule="exact"/>
        <w:rPr>
          <w:sz w:val="20"/>
          <w:szCs w:val="20"/>
          <w:color w:val="auto"/>
        </w:rPr>
      </w:pPr>
    </w:p>
    <w:p>
      <w:pPr>
        <w:ind w:left="670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15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420"/>
          </w:cols>
          <w:pgMar w:left="320" w:top="476" w:right="11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5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7"/>
              </w:rPr>
              <w:t>Reports of Independent Registered Public Accounting Firm (PCAOB ID: 1113)</w:t>
            </w:r>
          </w:p>
        </w:tc>
        <w:tc>
          <w:tcPr>
            <w:tcW w:w="3980" w:type="dxa"/>
            <w:vAlign w:val="bottom"/>
            <w:gridSpan w:val="4"/>
            <w:vMerge w:val="restart"/>
          </w:tcPr>
          <w:p>
            <w:pPr>
              <w:spacing w:after="0"/>
              <w:rPr>
                <w:sz w:val="14"/>
                <w:szCs w:val="1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Page(s)</w:t>
            </w:r>
          </w:p>
        </w:tc>
        <w:tc>
          <w:tcPr>
            <w:tcW w:w="0" w:type="dxa"/>
            <w:vAlign w:val="bottom"/>
          </w:tcPr>
          <w:p>
            <w:pPr>
              <w:spacing w:after="0"/>
              <w:rPr>
                <w:sz w:val="1"/>
                <w:szCs w:val="1"/>
                <w:color w:val="auto"/>
              </w:rPr>
            </w:pPr>
          </w:p>
        </w:tc>
      </w:tr>
      <w:tr>
        <w:trPr>
          <w:trHeight w:val="170"/>
        </w:trPr>
        <w:tc>
          <w:tcPr>
            <w:tcW w:w="5600" w:type="dxa"/>
            <w:vAlign w:val="bottom"/>
            <w:tcBorders>
              <w:bottom w:val="single" w:sz="8" w:color="0000EE"/>
            </w:tcBorders>
            <w:gridSpan w:val="3"/>
            <w:vMerge w:val="continue"/>
          </w:tcPr>
          <w:p>
            <w:pPr>
              <w:spacing w:after="0"/>
              <w:rPr>
                <w:sz w:val="14"/>
                <w:szCs w:val="14"/>
                <w:color w:val="auto"/>
              </w:rPr>
            </w:pPr>
          </w:p>
        </w:tc>
        <w:tc>
          <w:tcPr>
            <w:tcW w:w="3980" w:type="dxa"/>
            <w:vAlign w:val="bottom"/>
            <w:gridSpan w:val="4"/>
            <w:vMerge w:val="continue"/>
          </w:tcPr>
          <w:p>
            <w:pPr>
              <w:spacing w:after="0"/>
              <w:rPr>
                <w:sz w:val="14"/>
                <w:szCs w:val="14"/>
                <w:color w:val="auto"/>
              </w:rPr>
            </w:pPr>
          </w:p>
        </w:tc>
        <w:tc>
          <w:tcPr>
            <w:tcW w:w="54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color w:val="auto"/>
              </w:rPr>
              <w:t>F-2</w:t>
            </w:r>
          </w:p>
        </w:tc>
        <w:tc>
          <w:tcPr>
            <w:tcW w:w="660" w:type="dxa"/>
            <w:vAlign w:val="bottom"/>
          </w:tcPr>
          <w:p>
            <w:pPr>
              <w:ind w:left="20"/>
              <w:spacing w:after="0" w:line="165" w:lineRule="exact"/>
              <w:rPr>
                <w:sz w:val="20"/>
                <w:szCs w:val="20"/>
                <w:color w:val="auto"/>
              </w:rPr>
            </w:pPr>
            <w:r>
              <w:rPr>
                <w:rFonts w:ascii="Times New Roman" w:cs="Times New Roman" w:eastAsia="Times New Roman" w:hAnsi="Times New Roman"/>
                <w:sz w:val="18"/>
                <w:szCs w:val="18"/>
                <w:color w:val="auto"/>
              </w:rPr>
              <w:t>~ F-4</w:t>
            </w:r>
          </w:p>
        </w:tc>
        <w:tc>
          <w:tcPr>
            <w:tcW w:w="0" w:type="dxa"/>
            <w:vAlign w:val="bottom"/>
          </w:tcPr>
          <w:p>
            <w:pPr>
              <w:spacing w:after="0"/>
              <w:rPr>
                <w:sz w:val="1"/>
                <w:szCs w:val="1"/>
                <w:color w:val="auto"/>
              </w:rPr>
            </w:pPr>
          </w:p>
        </w:tc>
      </w:tr>
      <w:tr>
        <w:trPr>
          <w:trHeight w:val="192"/>
        </w:trPr>
        <w:tc>
          <w:tcPr>
            <w:tcW w:w="95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F-5</w:t>
            </w:r>
          </w:p>
        </w:tc>
        <w:tc>
          <w:tcPr>
            <w:tcW w:w="6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F-6</w:t>
            </w:r>
          </w:p>
        </w:tc>
        <w:tc>
          <w:tcPr>
            <w:tcW w:w="0" w:type="dxa"/>
            <w:vAlign w:val="bottom"/>
          </w:tcPr>
          <w:p>
            <w:pPr>
              <w:spacing w:after="0"/>
              <w:rPr>
                <w:sz w:val="1"/>
                <w:szCs w:val="1"/>
                <w:color w:val="auto"/>
              </w:rPr>
            </w:pPr>
          </w:p>
        </w:tc>
      </w:tr>
      <w:tr>
        <w:trPr>
          <w:trHeight w:val="20"/>
        </w:trPr>
        <w:tc>
          <w:tcPr>
            <w:tcW w:w="33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780" w:type="dxa"/>
            <w:vAlign w:val="bottom"/>
            <w:tcBorders>
              <w:bottom w:val="single" w:sz="8" w:color="0000EE"/>
            </w:tcBorders>
            <w:gridSpan w:val="6"/>
          </w:tcPr>
          <w:p>
            <w:pPr>
              <w:spacing w:after="0" w:line="192"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Income for the Years Ended December 31, 2023, 2024 and 2025</w:t>
            </w:r>
          </w:p>
        </w:tc>
        <w:tc>
          <w:tcPr>
            <w:tcW w:w="800" w:type="dxa"/>
            <w:vAlign w:val="bottom"/>
          </w:tcPr>
          <w:p>
            <w:pPr>
              <w:spacing w:after="0"/>
              <w:rPr>
                <w:sz w:val="16"/>
                <w:szCs w:val="16"/>
                <w:color w:val="auto"/>
              </w:rPr>
            </w:pPr>
          </w:p>
        </w:tc>
        <w:tc>
          <w:tcPr>
            <w:tcW w:w="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F-7</w:t>
            </w:r>
          </w:p>
        </w:tc>
        <w:tc>
          <w:tcPr>
            <w:tcW w:w="6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F-8</w:t>
            </w:r>
          </w:p>
        </w:tc>
        <w:tc>
          <w:tcPr>
            <w:tcW w:w="0" w:type="dxa"/>
            <w:vAlign w:val="bottom"/>
          </w:tcPr>
          <w:p>
            <w:pPr>
              <w:spacing w:after="0"/>
              <w:rPr>
                <w:sz w:val="1"/>
                <w:szCs w:val="1"/>
                <w:color w:val="auto"/>
              </w:rPr>
            </w:pPr>
          </w:p>
        </w:tc>
      </w:tr>
      <w:tr>
        <w:trPr>
          <w:trHeight w:val="192"/>
        </w:trPr>
        <w:tc>
          <w:tcPr>
            <w:tcW w:w="95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2024 and 2025</w:t>
            </w:r>
          </w:p>
        </w:tc>
        <w:tc>
          <w:tcPr>
            <w:tcW w:w="1200" w:type="dxa"/>
            <w:vAlign w:val="bottom"/>
            <w:gridSpan w:val="2"/>
          </w:tcPr>
          <w:p>
            <w:pPr>
              <w:jc w:val="center"/>
              <w:spacing w:after="0" w:line="192" w:lineRule="exact"/>
              <w:rPr>
                <w:sz w:val="20"/>
                <w:szCs w:val="20"/>
                <w:color w:val="auto"/>
              </w:rPr>
            </w:pPr>
            <w:r>
              <w:rPr>
                <w:rFonts w:ascii="Times New Roman" w:cs="Times New Roman" w:eastAsia="Times New Roman" w:hAnsi="Times New Roman"/>
                <w:sz w:val="18"/>
                <w:szCs w:val="18"/>
                <w:color w:val="auto"/>
                <w:w w:val="97"/>
              </w:rPr>
              <w:t>F-9 ~ F-11</w:t>
            </w:r>
          </w:p>
        </w:tc>
        <w:tc>
          <w:tcPr>
            <w:tcW w:w="0" w:type="dxa"/>
            <w:vAlign w:val="bottom"/>
          </w:tcPr>
          <w:p>
            <w:pPr>
              <w:spacing w:after="0"/>
              <w:rPr>
                <w:sz w:val="1"/>
                <w:szCs w:val="1"/>
                <w:color w:val="auto"/>
              </w:rPr>
            </w:pPr>
          </w:p>
        </w:tc>
      </w:tr>
      <w:tr>
        <w:trPr>
          <w:trHeight w:val="20"/>
        </w:trPr>
        <w:tc>
          <w:tcPr>
            <w:tcW w:w="3340" w:type="dxa"/>
            <w:vAlign w:val="bottom"/>
            <w:shd w:val="clear" w:color="auto" w:fill="0000EE"/>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580" w:type="dxa"/>
            <w:vAlign w:val="bottom"/>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2024 and 2025</w:t>
            </w:r>
          </w:p>
        </w:tc>
        <w:tc>
          <w:tcPr>
            <w:tcW w:w="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F-12</w:t>
            </w:r>
          </w:p>
        </w:tc>
        <w:tc>
          <w:tcPr>
            <w:tcW w:w="6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F-13</w:t>
            </w:r>
          </w:p>
        </w:tc>
        <w:tc>
          <w:tcPr>
            <w:tcW w:w="0" w:type="dxa"/>
            <w:vAlign w:val="bottom"/>
          </w:tcPr>
          <w:p>
            <w:pPr>
              <w:spacing w:after="0"/>
              <w:rPr>
                <w:sz w:val="1"/>
                <w:szCs w:val="1"/>
                <w:color w:val="auto"/>
              </w:rPr>
            </w:pPr>
          </w:p>
        </w:tc>
      </w:tr>
      <w:tr>
        <w:trPr>
          <w:trHeight w:val="192"/>
        </w:trPr>
        <w:tc>
          <w:tcPr>
            <w:tcW w:w="8300" w:type="dxa"/>
            <w:vAlign w:val="bottom"/>
            <w:tcBorders>
              <w:top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80" w:type="dxa"/>
            <w:vAlign w:val="bottom"/>
            <w:gridSpan w:val="2"/>
          </w:tcPr>
          <w:p>
            <w:pPr>
              <w:spacing w:after="0"/>
              <w:rPr>
                <w:sz w:val="16"/>
                <w:szCs w:val="16"/>
                <w:color w:val="auto"/>
              </w:rPr>
            </w:pPr>
          </w:p>
        </w:tc>
        <w:tc>
          <w:tcPr>
            <w:tcW w:w="5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F-14</w:t>
            </w:r>
          </w:p>
        </w:tc>
        <w:tc>
          <w:tcPr>
            <w:tcW w:w="66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 F-78</w:t>
            </w:r>
          </w:p>
        </w:tc>
        <w:tc>
          <w:tcPr>
            <w:tcW w:w="0" w:type="dxa"/>
            <w:vAlign w:val="bottom"/>
          </w:tcPr>
          <w:p>
            <w:pPr>
              <w:spacing w:after="0"/>
              <w:rPr>
                <w:sz w:val="1"/>
                <w:szCs w:val="1"/>
                <w:color w:val="auto"/>
              </w:rPr>
            </w:pPr>
          </w:p>
        </w:tc>
      </w:tr>
      <w:tr>
        <w:trPr>
          <w:trHeight w:val="376"/>
        </w:trPr>
        <w:tc>
          <w:tcPr>
            <w:tcW w:w="334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504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F-1</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ind w:left="240" w:right="2300" w:firstLine="2377"/>
        <w:spacing w:after="0" w:line="39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JD.com, Inc.</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2" w:lineRule="exact"/>
        <w:rPr>
          <w:sz w:val="20"/>
          <w:szCs w:val="20"/>
          <w:color w:val="auto"/>
        </w:rPr>
      </w:pPr>
    </w:p>
    <w:p>
      <w:pPr>
        <w:ind w:left="24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JD.com, Inc. and its subsidiaries (the “Company”) as of December 31, 2025 and 2024, the related consolidated statements of operations and comprehensive income,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ind w:left="240" w:right="60"/>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w:t>
      </w:r>
    </w:p>
    <w:p>
      <w:pPr>
        <w:spacing w:after="0" w:line="1" w:lineRule="exact"/>
        <w:rPr>
          <w:sz w:val="20"/>
          <w:szCs w:val="20"/>
          <w:color w:val="auto"/>
        </w:rPr>
      </w:pPr>
    </w:p>
    <w:p>
      <w:pPr>
        <w:ind w:left="240" w:right="720"/>
        <w:spacing w:after="0" w:line="250" w:lineRule="auto"/>
        <w:rPr>
          <w:sz w:val="20"/>
          <w:szCs w:val="20"/>
          <w:color w:val="auto"/>
        </w:rPr>
      </w:pPr>
      <w:r>
        <w:rPr>
          <w:rFonts w:ascii="Times New Roman" w:cs="Times New Roman" w:eastAsia="Times New Roman" w:hAnsi="Times New Roman"/>
          <w:sz w:val="18"/>
          <w:szCs w:val="18"/>
          <w:color w:val="auto"/>
        </w:rPr>
        <w:t>(2013) issued by the Committee of Sponsoring Organizations of the Treadway Commission and our report dated April 16, 2026, expressed an unqualified opinion on the Company’s internal control over financial reporting.</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ind w:left="240" w:right="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240"/>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12" w:lineRule="exact"/>
        <w:rPr>
          <w:sz w:val="20"/>
          <w:szCs w:val="20"/>
          <w:color w:val="auto"/>
        </w:rPr>
      </w:pPr>
    </w:p>
    <w:p>
      <w:pPr>
        <w:ind w:left="240" w:right="260"/>
        <w:spacing w:after="0" w:line="27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240" w:hanging="10"/>
        <w:spacing w:after="0" w:line="247" w:lineRule="auto"/>
        <w:tabs>
          <w:tab w:leader="none" w:pos="49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1" w:lineRule="exact"/>
        <w:rPr>
          <w:sz w:val="20"/>
          <w:szCs w:val="20"/>
          <w:color w:val="auto"/>
        </w:rPr>
      </w:pPr>
    </w:p>
    <w:p>
      <w:pPr>
        <w:ind w:left="240" w:right="4000"/>
        <w:spacing w:after="0" w:line="3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 net product revenues — Refer to Notes 2.z to the financial statements </w:t>
      </w:r>
      <w:r>
        <w:rPr>
          <w:rFonts w:ascii="Times New Roman" w:cs="Times New Roman" w:eastAsia="Times New Roman" w:hAnsi="Times New Roman"/>
          <w:sz w:val="18"/>
          <w:szCs w:val="18"/>
          <w:i w:val="1"/>
          <w:iCs w:val="1"/>
          <w:color w:val="auto"/>
        </w:rPr>
        <w:t>Critical Audit Matter Description</w:t>
      </w:r>
    </w:p>
    <w:p>
      <w:pPr>
        <w:ind w:left="240" w:right="40"/>
        <w:spacing w:after="0" w:line="253" w:lineRule="auto"/>
        <w:rPr>
          <w:sz w:val="20"/>
          <w:szCs w:val="20"/>
          <w:color w:val="auto"/>
        </w:rPr>
      </w:pPr>
      <w:r>
        <w:rPr>
          <w:rFonts w:ascii="Times New Roman" w:cs="Times New Roman" w:eastAsia="Times New Roman" w:hAnsi="Times New Roman"/>
          <w:sz w:val="18"/>
          <w:szCs w:val="18"/>
          <w:color w:val="auto"/>
        </w:rPr>
        <w:t>The Company’s revenue is primarily derived from the product revenues generated from its online retail business. The Company’s net product revenues recognition process involves multiple IT systems responsible for the initiation, processing and recording of transactions, and the calculation of net product revenues is in accordance with the Company’s accounting policy. The processing and recognition of net product revenues are highly automated and involve capturing and processing significant volumes of transactional data.</w:t>
      </w:r>
    </w:p>
    <w:p>
      <w:pPr>
        <w:spacing w:after="0" w:line="185" w:lineRule="exact"/>
        <w:rPr>
          <w:sz w:val="20"/>
          <w:szCs w:val="20"/>
          <w:color w:val="auto"/>
        </w:rPr>
      </w:pPr>
    </w:p>
    <w:p>
      <w:pPr>
        <w:ind w:left="240" w:right="140"/>
        <w:spacing w:after="0" w:line="258" w:lineRule="auto"/>
        <w:rPr>
          <w:sz w:val="20"/>
          <w:szCs w:val="20"/>
          <w:color w:val="auto"/>
        </w:rPr>
      </w:pPr>
      <w:r>
        <w:rPr>
          <w:rFonts w:ascii="Times New Roman" w:cs="Times New Roman" w:eastAsia="Times New Roman" w:hAnsi="Times New Roman"/>
          <w:sz w:val="18"/>
          <w:szCs w:val="18"/>
          <w:color w:val="auto"/>
        </w:rPr>
        <w:t>We identified a critical audit matter related to net product revenues due to the high volume of individually-low-monetary-value transactions and the reliance on multiple IT systems, most of which are custom-made for the Company’s business. Given the complex, automated systems used to capture, process, and record revenue, performing audit procedures related to net product revenues required a high degree of audit effort.</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audit procedures related to the Company’s net product revenues included the following, among others:</w:t>
      </w:r>
    </w:p>
    <w:p>
      <w:pPr>
        <w:spacing w:after="0" w:line="124" w:lineRule="exact"/>
        <w:rPr>
          <w:sz w:val="20"/>
          <w:szCs w:val="20"/>
          <w:color w:val="auto"/>
        </w:rPr>
      </w:pPr>
    </w:p>
    <w:p>
      <w:pPr>
        <w:ind w:left="1180" w:hanging="421"/>
        <w:spacing w:after="0"/>
        <w:tabs>
          <w:tab w:leader="none" w:pos="1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IT professionals, we:</w:t>
      </w:r>
    </w:p>
    <w:p>
      <w:pPr>
        <w:spacing w:after="0" w:line="123" w:lineRule="exact"/>
        <w:rPr>
          <w:rFonts w:ascii="Times New Roman" w:cs="Times New Roman" w:eastAsia="Times New Roman" w:hAnsi="Times New Roman"/>
          <w:sz w:val="18"/>
          <w:szCs w:val="18"/>
          <w:color w:val="auto"/>
        </w:rPr>
      </w:pPr>
    </w:p>
    <w:p>
      <w:pPr>
        <w:ind w:left="1620" w:right="40" w:hanging="319"/>
        <w:spacing w:after="0" w:line="270" w:lineRule="auto"/>
        <w:tabs>
          <w:tab w:leader="none" w:pos="162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relevant IT systems used to process revenue transactions and tested the general IT controls over each of these IT systems, including testing of user access controls, change management controls, and data center &amp; network operation controls.</w:t>
      </w:r>
    </w:p>
    <w:p>
      <w:pPr>
        <w:spacing w:after="0" w:line="1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0940"/>
          </w:cols>
          <w:pgMar w:left="320" w:top="476" w:right="6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1" w:lineRule="exact"/>
        <w:rPr>
          <w:sz w:val="20"/>
          <w:szCs w:val="20"/>
          <w:color w:val="auto"/>
        </w:rPr>
      </w:pPr>
    </w:p>
    <w:p>
      <w:pPr>
        <w:ind w:left="1620" w:hanging="319"/>
        <w:spacing w:after="0"/>
        <w:tabs>
          <w:tab w:leader="none" w:pos="16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testing of automated controls and interface controls of the relevant IT systems.</w:t>
      </w:r>
    </w:p>
    <w:p>
      <w:pPr>
        <w:spacing w:after="0" w:line="123" w:lineRule="exact"/>
        <w:rPr>
          <w:rFonts w:ascii="Times New Roman" w:cs="Times New Roman" w:eastAsia="Times New Roman" w:hAnsi="Times New Roman"/>
          <w:sz w:val="18"/>
          <w:szCs w:val="18"/>
          <w:color w:val="auto"/>
        </w:rPr>
      </w:pPr>
    </w:p>
    <w:p>
      <w:pPr>
        <w:ind w:left="1180" w:hanging="421"/>
        <w:spacing w:after="0"/>
        <w:tabs>
          <w:tab w:leader="none" w:pos="1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relevant controls relating to the product revenue recognition process.</w:t>
      </w:r>
    </w:p>
    <w:p>
      <w:pPr>
        <w:spacing w:after="0" w:line="123" w:lineRule="exact"/>
        <w:rPr>
          <w:rFonts w:ascii="Times New Roman" w:cs="Times New Roman" w:eastAsia="Times New Roman" w:hAnsi="Times New Roman"/>
          <w:sz w:val="18"/>
          <w:szCs w:val="18"/>
          <w:color w:val="auto"/>
        </w:rPr>
      </w:pPr>
    </w:p>
    <w:p>
      <w:pPr>
        <w:ind w:left="1180" w:hanging="421"/>
        <w:spacing w:after="0" w:line="270" w:lineRule="auto"/>
        <w:tabs>
          <w:tab w:leader="none" w:pos="1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on a sample basis, net product revenues transactions, by agreeing the recorded revenues to supporting documents and testing the mathematical accuracy of the recorded revenue.</w:t>
      </w:r>
    </w:p>
    <w:p>
      <w:pPr>
        <w:spacing w:after="0" w:line="76" w:lineRule="exact"/>
        <w:rPr>
          <w:rFonts w:ascii="Times New Roman" w:cs="Times New Roman" w:eastAsia="Times New Roman" w:hAnsi="Times New Roman"/>
          <w:sz w:val="18"/>
          <w:szCs w:val="18"/>
          <w:color w:val="auto"/>
        </w:rPr>
      </w:pPr>
    </w:p>
    <w:p>
      <w:pPr>
        <w:ind w:left="1180" w:right="40" w:hanging="421"/>
        <w:spacing w:after="0" w:line="270" w:lineRule="auto"/>
        <w:tabs>
          <w:tab w:leader="none" w:pos="11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substantive analytics procedures over net product revenues by developing expected amounts independently based on cost of revenues.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April 16, 2026</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77405" cy="673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7177405" cy="6731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5" w:lineRule="exact"/>
        <w:rPr>
          <w:sz w:val="20"/>
          <w:szCs w:val="20"/>
          <w:color w:val="auto"/>
        </w:rPr>
      </w:pPr>
    </w:p>
    <w:p>
      <w:pPr>
        <w:ind w:left="240" w:right="2360" w:firstLine="2377"/>
        <w:spacing w:after="0" w:line="39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JD.com, Inc.</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2" w:lineRule="exact"/>
        <w:rPr>
          <w:sz w:val="20"/>
          <w:szCs w:val="20"/>
          <w:color w:val="auto"/>
        </w:rPr>
      </w:pPr>
    </w:p>
    <w:p>
      <w:pPr>
        <w:ind w:left="240" w:right="20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JD.com, Inc.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5" w:lineRule="exact"/>
        <w:rPr>
          <w:sz w:val="20"/>
          <w:szCs w:val="20"/>
          <w:color w:val="auto"/>
        </w:rPr>
      </w:pPr>
    </w:p>
    <w:p>
      <w:pPr>
        <w:ind w:left="240" w:right="40"/>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April 16, 2026, expressed an unqualified opinion on those financial statements.</w:t>
      </w:r>
    </w:p>
    <w:p>
      <w:pPr>
        <w:spacing w:after="0" w:line="179" w:lineRule="exact"/>
        <w:rPr>
          <w:sz w:val="20"/>
          <w:szCs w:val="20"/>
          <w:color w:val="auto"/>
        </w:rPr>
      </w:pPr>
    </w:p>
    <w:p>
      <w:pPr>
        <w:ind w:left="240"/>
        <w:spacing w:after="0" w:line="251" w:lineRule="auto"/>
        <w:rPr>
          <w:sz w:val="20"/>
          <w:szCs w:val="20"/>
          <w:color w:val="auto"/>
        </w:rPr>
      </w:pPr>
      <w:r>
        <w:rPr>
          <w:rFonts w:ascii="Times New Roman" w:cs="Times New Roman" w:eastAsia="Times New Roman" w:hAnsi="Times New Roman"/>
          <w:sz w:val="18"/>
          <w:szCs w:val="18"/>
          <w:color w:val="auto"/>
        </w:rPr>
        <w:t>As described in Management’s Annual Report on Internal Control over Financial Reporting, management excluded from its assessment the internal control over financial reporting at two businesses acquired during the year ended December 31, 2025 (the “Acquired Businesses”) as disclosed in Note 5 to the financial statements, whose financial statements constitute less than 1% of total assets, total net revenues, and net income of the consolidated financial statement amounts as of and for the year ended December 31, 2025. Accordingly, our audit did not include the internal control over financial reporting at the Acquired Businesses.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2" w:lineRule="exact"/>
        <w:rPr>
          <w:sz w:val="20"/>
          <w:szCs w:val="20"/>
          <w:color w:val="auto"/>
        </w:rPr>
      </w:pPr>
    </w:p>
    <w:p>
      <w:pPr>
        <w:ind w:left="240" w:right="20"/>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40" w:right="220"/>
        <w:spacing w:after="0" w:line="25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2" w:lineRule="exact"/>
        <w:rPr>
          <w:sz w:val="20"/>
          <w:szCs w:val="20"/>
          <w:color w:val="auto"/>
        </w:rPr>
      </w:pPr>
    </w:p>
    <w:p>
      <w:pPr>
        <w:ind w:left="240" w:right="100"/>
        <w:spacing w:after="0" w:line="24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ind w:left="240" w:right="40"/>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Beijing, the People’s Republic of China</w:t>
      </w:r>
    </w:p>
    <w:p>
      <w:pPr>
        <w:sectPr>
          <w:pgSz w:w="11900" w:h="16838" w:orient="portrait"/>
          <w:cols w:equalWidth="0" w:num="1">
            <w:col w:w="11000"/>
          </w:cols>
          <w:pgMar w:left="320" w:top="476" w:right="579" w:bottom="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15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9899"/>
          </w:cols>
          <w:pgMar w:left="560" w:top="121"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280" w:type="dxa"/>
            <w:vAlign w:val="bottom"/>
            <w:gridSpan w:val="3"/>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top w:val="single" w:sz="8" w:color="auto"/>
            </w:tcBorders>
          </w:tcPr>
          <w:p>
            <w:pPr>
              <w:jc w:val="right"/>
              <w:ind w:right="11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top w:val="single" w:sz="8" w:color="auto"/>
            </w:tcBorders>
            <w:gridSpan w:val="2"/>
          </w:tcPr>
          <w:p>
            <w:pPr>
              <w:jc w:val="center"/>
              <w:ind w:right="28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700" w:type="dxa"/>
            <w:vAlign w:val="bottom"/>
            <w:tcBorders>
              <w:top w:val="single" w:sz="8" w:color="auto"/>
            </w:tcBorders>
          </w:tcPr>
          <w:p>
            <w:pPr>
              <w:jc w:val="right"/>
              <w:ind w:right="134"/>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7,366</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12,137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125,645</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75,744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25,596</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27,333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Advance to suppliers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7,619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 net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89,326</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95,428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15,951</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17,898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Assets held for sale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2,040</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374,421</w:t>
            </w:r>
          </w:p>
        </w:tc>
        <w:tc>
          <w:tcPr>
            <w:tcW w:w="2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82,737</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91,349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6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3"/>
              </w:rPr>
              <w:t>2(o)</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Land use rights, net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36,833</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36,878</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16</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24,532</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31,128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25,709</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26,291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Investments in equity investees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56,850</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51,978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Marketable securities and other investments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59,370</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51,840</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19</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311,536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320,780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698,234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695,201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320" w:top="476" w:right="5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20" w:type="dxa"/>
            <w:vAlign w:val="bottom"/>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9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jc w:val="right"/>
              <w:ind w:right="11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tcPr>
          <w:p>
            <w:pPr>
              <w:spacing w:after="0"/>
              <w:rPr>
                <w:sz w:val="9"/>
                <w:szCs w:val="9"/>
                <w:color w:val="auto"/>
              </w:rPr>
            </w:pPr>
          </w:p>
        </w:tc>
        <w:tc>
          <w:tcPr>
            <w:tcW w:w="980" w:type="dxa"/>
            <w:vAlign w:val="bottom"/>
            <w:tcBorders>
              <w:top w:val="single" w:sz="8" w:color="auto"/>
            </w:tcBorders>
            <w:gridSpan w:val="2"/>
          </w:tcPr>
          <w:p>
            <w:pPr>
              <w:jc w:val="center"/>
              <w:ind w:right="26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680" w:type="dxa"/>
            <w:vAlign w:val="bottom"/>
            <w:tcBorders>
              <w:top w:val="single" w:sz="8" w:color="auto"/>
            </w:tcBorders>
          </w:tcPr>
          <w:p>
            <w:pPr>
              <w:jc w:val="right"/>
              <w:ind w:right="133"/>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18"/>
                <w:szCs w:val="18"/>
                <w:color w:val="auto"/>
              </w:rPr>
              <w:t>(including amounts of the consolidated VIEs without recourse to the primary</w:t>
            </w: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beneficiaries of RMB42,197 million and RMB36,482 million as of December 31, 2024 and 2025,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Short-term debts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7,581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8,014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192,860</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188,379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Advance from customers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32,437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36,408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2,097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2,684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Taxes payable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9,487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1,367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624</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45,985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50,045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7,606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9,399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Unsecured senior notes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3,511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299,521</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306,072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Unsecured senior notes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24,770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20,798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9,498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8,019</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Long-term debts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31,705</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41,675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18,106</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23,708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1,146</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95,346</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384,937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401,418</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57,402</w:t>
            </w:r>
          </w:p>
        </w:tc>
        <w:tc>
          <w:tcPr>
            <w:tcW w:w="0" w:type="dxa"/>
            <w:vAlign w:val="bottom"/>
          </w:tcPr>
          <w:p>
            <w:pPr>
              <w:spacing w:after="0"/>
              <w:rPr>
                <w:sz w:val="1"/>
                <w:szCs w:val="1"/>
                <w:color w:val="auto"/>
              </w:rPr>
            </w:pPr>
          </w:p>
        </w:tc>
      </w:tr>
      <w:tr>
        <w:trPr>
          <w:trHeight w:val="217"/>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484</w:t>
            </w:r>
          </w:p>
        </w:tc>
        <w:tc>
          <w:tcPr>
            <w:tcW w:w="9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JD.com, Inc. shareholders’ equity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tcPr>
          <w:p>
            <w:pPr>
              <w:ind w:left="680"/>
              <w:spacing w:after="0" w:line="193" w:lineRule="exact"/>
              <w:rPr>
                <w:sz w:val="20"/>
                <w:szCs w:val="20"/>
                <w:color w:val="auto"/>
              </w:rPr>
            </w:pPr>
            <w:r>
              <w:rPr>
                <w:rFonts w:ascii="Times New Roman" w:cs="Times New Roman" w:eastAsia="Times New Roman" w:hAnsi="Times New Roman"/>
                <w:sz w:val="18"/>
                <w:szCs w:val="18"/>
                <w:color w:val="auto"/>
              </w:rPr>
              <w:t>Ordinary shares (US$0.00002 par value;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100,000,000,000 shares authorized;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2,865,069,999 Class A ordinary shares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issued and 2,587,296,615 outstanding,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322,483,772 Class B ordinary shares issued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and 316,136,640 outstanding 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December 31, 2024;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2,496,519,005 Class A ordinary shares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issued and 2,426,347,757 outstanding,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321,776,028 Class B ordinary shares issued and 315,499,494 outstanding as of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December 31, 2025.)</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60" w:type="dxa"/>
            <w:vAlign w:val="bottom"/>
          </w:tcPr>
          <w:p>
            <w:pPr>
              <w:spacing w:after="0"/>
              <w:rPr>
                <w:sz w:val="19"/>
                <w:szCs w:val="19"/>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182,404</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141,515</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Statutory reserves</w:t>
            </w: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2(oo)</w:t>
            </w: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6,688</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7,617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(27,739)</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(7,874)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Retained earnings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76,573</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84,957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1,421</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JD.com, Inc. shareholders’ equity</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239,347</w:t>
            </w:r>
          </w:p>
        </w:tc>
        <w:tc>
          <w:tcPr>
            <w:tcW w:w="2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225,040</w:t>
            </w: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73,466</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68,743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2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312,813</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293,783</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698,234</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695,201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20"/>
          </w:cols>
          <w:pgMar w:left="320" w:top="476" w:right="5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60" w:type="dxa"/>
            <w:vAlign w:val="bottom"/>
          </w:tcPr>
          <w:p>
            <w:pPr>
              <w:jc w:val="right"/>
              <w:ind w:right="19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40" w:type="dxa"/>
            <w:vAlign w:val="bottom"/>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top w:val="single" w:sz="8" w:color="auto"/>
            </w:tcBorders>
          </w:tcPr>
          <w:p>
            <w:pPr>
              <w:jc w:val="right"/>
              <w:ind w:right="17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jc w:val="right"/>
              <w:ind w:right="195"/>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9"/>
                <w:szCs w:val="9"/>
                <w:color w:val="auto"/>
              </w:rPr>
            </w:pPr>
          </w:p>
        </w:tc>
        <w:tc>
          <w:tcPr>
            <w:tcW w:w="1140" w:type="dxa"/>
            <w:vAlign w:val="bottom"/>
            <w:tcBorders>
              <w:top w:val="single" w:sz="8" w:color="auto"/>
            </w:tcBorders>
            <w:gridSpan w:val="2"/>
          </w:tcPr>
          <w:p>
            <w:pPr>
              <w:jc w:val="right"/>
              <w:ind w:right="52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tcPr>
          <w:p>
            <w:pPr>
              <w:jc w:val="right"/>
              <w:ind w:right="174"/>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20" w:type="dxa"/>
            <w:vAlign w:val="bottom"/>
            <w:gridSpan w:val="8"/>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product revenues</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2(z)</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871,224</w:t>
            </w:r>
          </w:p>
        </w:tc>
        <w:tc>
          <w:tcPr>
            <w:tcW w:w="1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928,007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1,023,802</w:t>
            </w: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service revenues</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2(z)</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213,438</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230,812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285,283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40,795</w:t>
            </w:r>
          </w:p>
        </w:tc>
        <w:tc>
          <w:tcPr>
            <w:tcW w:w="0" w:type="dxa"/>
            <w:vAlign w:val="bottom"/>
          </w:tcPr>
          <w:p>
            <w:pPr>
              <w:spacing w:after="0"/>
              <w:rPr>
                <w:sz w:val="1"/>
                <w:szCs w:val="1"/>
                <w:color w:val="auto"/>
              </w:rPr>
            </w:pPr>
          </w:p>
        </w:tc>
      </w:tr>
      <w:tr>
        <w:trPr>
          <w:trHeight w:val="2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1,158,819</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1,309,085</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(924,958)</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(974,951)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(1,099,057)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(157,163)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Fulfillment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(64,558)</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(70,426)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(88,176)</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Marketing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(40,133)</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(47,953)</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(83,953)</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(16,393)</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(17,031)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(22,229)</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(9,710)</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(8,888)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(11,980)</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goodwill</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(3,143)</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(2,881)</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(2,896)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Others, net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13,371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17,327</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expenses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(8,393)</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(6,878)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(2,181)</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44,660</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(loss)/income attributable to non-controlling interests shareholders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(910)</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3,301</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Company’s ordinary shareholders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20"/>
          </w:cols>
          <w:pgMar w:left="320" w:top="476" w:right="5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20" w:type="dxa"/>
            <w:vAlign w:val="bottom"/>
          </w:tcPr>
          <w:p>
            <w:pPr>
              <w:jc w:val="right"/>
              <w:ind w:right="39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60" w:type="dxa"/>
            <w:vAlign w:val="bottom"/>
          </w:tcPr>
          <w:p>
            <w:pPr>
              <w:jc w:val="right"/>
              <w:ind w:right="417"/>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20" w:type="dxa"/>
            <w:vAlign w:val="bottom"/>
            <w:gridSpan w:val="3"/>
          </w:tcPr>
          <w:p>
            <w:pPr>
              <w:jc w:val="right"/>
              <w:ind w:right="10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5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top w:val="single" w:sz="8" w:color="auto"/>
            </w:tcBorders>
          </w:tcPr>
          <w:p>
            <w:pPr>
              <w:jc w:val="right"/>
              <w:ind w:right="355"/>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9"/>
                <w:szCs w:val="9"/>
                <w:color w:val="auto"/>
              </w:rPr>
            </w:pPr>
          </w:p>
        </w:tc>
        <w:tc>
          <w:tcPr>
            <w:tcW w:w="1260" w:type="dxa"/>
            <w:vAlign w:val="bottom"/>
            <w:tcBorders>
              <w:top w:val="single" w:sz="8" w:color="auto"/>
            </w:tcBorders>
          </w:tcPr>
          <w:p>
            <w:pPr>
              <w:jc w:val="right"/>
              <w:ind w:right="377"/>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9"/>
                <w:szCs w:val="9"/>
                <w:color w:val="auto"/>
              </w:rPr>
            </w:pPr>
          </w:p>
        </w:tc>
        <w:tc>
          <w:tcPr>
            <w:tcW w:w="1620" w:type="dxa"/>
            <w:vAlign w:val="bottom"/>
            <w:tcBorders>
              <w:top w:val="single" w:sz="8" w:color="auto"/>
            </w:tcBorders>
            <w:gridSpan w:val="3"/>
          </w:tcPr>
          <w:p>
            <w:pPr>
              <w:jc w:val="right"/>
              <w:ind w:right="82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1120" w:type="dxa"/>
            <w:vAlign w:val="bottom"/>
            <w:tcBorders>
              <w:top w:val="single" w:sz="8" w:color="auto"/>
            </w:tcBorders>
          </w:tcPr>
          <w:p>
            <w:pPr>
              <w:jc w:val="right"/>
              <w:ind w:right="415"/>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gridSpan w:val="5"/>
            <w:vMerge w:val="continue"/>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44,660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23,142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12"/>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1,020</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45,680</w:t>
            </w:r>
          </w:p>
        </w:tc>
        <w:tc>
          <w:tcPr>
            <w:tcW w:w="1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Total comprehensive (loss)/income attributable to</w:t>
            </w: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interests shareholders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Total comprehensive income attributable to the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26,029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41,877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17,035</w:t>
            </w:r>
          </w:p>
        </w:tc>
        <w:tc>
          <w:tcPr>
            <w:tcW w:w="14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52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3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12"/>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27.67</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2"/>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26.86</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3,144,233,160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2,989,701,855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2,847,199,686</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2,847,199,686</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3,170,542,396</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3,076,061,616</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2,978,037,127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2,978,037,127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20"/>
          </w:cols>
          <w:pgMar w:left="320" w:top="476" w:right="5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ind w:right="15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720" w:type="dxa"/>
            <w:vAlign w:val="bottom"/>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9"/>
                <w:szCs w:val="9"/>
                <w:color w:val="auto"/>
              </w:rPr>
            </w:pPr>
          </w:p>
        </w:tc>
        <w:tc>
          <w:tcPr>
            <w:tcW w:w="740" w:type="dxa"/>
            <w:vAlign w:val="bottom"/>
          </w:tcPr>
          <w:p>
            <w:pPr>
              <w:jc w:val="right"/>
              <w:ind w:right="13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9"/>
                <w:szCs w:val="9"/>
                <w:color w:val="auto"/>
              </w:rPr>
            </w:pPr>
          </w:p>
        </w:tc>
        <w:tc>
          <w:tcPr>
            <w:tcW w:w="960" w:type="dxa"/>
            <w:vAlign w:val="bottom"/>
            <w:gridSpan w:val="2"/>
          </w:tcPr>
          <w:p>
            <w:pPr>
              <w:jc w:val="right"/>
              <w:ind w:right="42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660" w:type="dxa"/>
            <w:vAlign w:val="bottom"/>
          </w:tcPr>
          <w:p>
            <w:pPr>
              <w:jc w:val="right"/>
              <w:ind w:right="113"/>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23,257</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44,660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8,292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4,804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Losses/(gains) from disposal of property, equipment and software</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long-lived assets and goodwill</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5,168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641</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investments</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3,043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Losses/(gains) from fair value change of long-term investments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Gains from acquirements or disposals of businesses and investments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development properties</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(2,283)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(387)</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(1,010)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(8,025)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income</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portion of other non-operating expense/(income), net</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(2,526)</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Advance to suppliers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1,075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9,891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(20,154)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518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4,614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27,844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(4,909)</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Advance from customers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(2,088)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revenues</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Taxes payable</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1,311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2,149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59,521</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58,095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18,991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0"/>
          </w:cols>
          <w:pgMar w:left="320" w:top="476" w:right="5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For the year ended 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40" w:type="dxa"/>
            <w:vAlign w:val="bottom"/>
            <w:tcBorders>
              <w:bottom w:val="single" w:sz="8" w:color="auto"/>
            </w:tcBorders>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3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180" w:type="dxa"/>
            <w:vAlign w:val="bottom"/>
          </w:tcPr>
          <w:p>
            <w:pPr>
              <w:spacing w:after="0"/>
              <w:rPr>
                <w:sz w:val="9"/>
                <w:szCs w:val="9"/>
                <w:color w:val="auto"/>
              </w:rPr>
            </w:pPr>
          </w:p>
        </w:tc>
        <w:tc>
          <w:tcPr>
            <w:tcW w:w="740" w:type="dxa"/>
            <w:vAlign w:val="bottom"/>
          </w:tcPr>
          <w:p>
            <w:pPr>
              <w:jc w:val="right"/>
              <w:ind w:right="11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tcPr>
          <w:p>
            <w:pPr>
              <w:spacing w:after="0"/>
              <w:rPr>
                <w:sz w:val="9"/>
                <w:szCs w:val="9"/>
                <w:color w:val="auto"/>
              </w:rPr>
            </w:pPr>
          </w:p>
        </w:tc>
        <w:tc>
          <w:tcPr>
            <w:tcW w:w="740" w:type="dxa"/>
            <w:vAlign w:val="bottom"/>
          </w:tcPr>
          <w:p>
            <w:pPr>
              <w:jc w:val="right"/>
              <w:ind w:right="115"/>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9"/>
                <w:szCs w:val="9"/>
                <w:color w:val="auto"/>
              </w:rPr>
            </w:pPr>
          </w:p>
        </w:tc>
        <w:tc>
          <w:tcPr>
            <w:tcW w:w="940" w:type="dxa"/>
            <w:vAlign w:val="bottom"/>
            <w:gridSpan w:val="2"/>
          </w:tcPr>
          <w:p>
            <w:pPr>
              <w:jc w:val="right"/>
              <w:ind w:right="44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620" w:type="dxa"/>
            <w:vAlign w:val="bottom"/>
          </w:tcPr>
          <w:p>
            <w:pPr>
              <w:jc w:val="right"/>
              <w:ind w:right="114"/>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Note 2(g)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time deposits and wealth management products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(268,529)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(148,462)</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(80,193)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of time deposits and wealth management products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217,184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166,517</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133,308</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19,063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investment securities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8,318</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1,388</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investments in equity investees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(1,382)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equity investments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loan originations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(75,761)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(84,578)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(83,617)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loan repayments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75,986</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84,840</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82,915</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equipment and software and intangible assets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(4,028)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(7,823)</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of equipment and other assets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asset acquisitions, net of cash acquired</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(5,468)</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land use rights</w:t>
            </w: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(4,981)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construction in progress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(11,006)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(5,964)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development properties</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6,975</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3,822</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4,887</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business combinations, net of cash acquired</w:t>
            </w:r>
          </w:p>
        </w:tc>
        <w:tc>
          <w:tcPr>
            <w:tcW w:w="9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settled by/(provided to) JD Technology</w:t>
            </w:r>
          </w:p>
        </w:tc>
        <w:tc>
          <w:tcPr>
            <w:tcW w:w="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3,328</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(696)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(1,160)</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(59,543)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w:t>
            </w: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41,832</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0"/>
          </w:cols>
          <w:pgMar w:left="320" w:top="476" w:right="5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5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600" w:type="dxa"/>
            <w:vAlign w:val="bottom"/>
          </w:tcPr>
          <w:p>
            <w:pPr>
              <w:jc w:val="right"/>
              <w:ind w:right="5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tcPr>
          <w:p>
            <w:pPr>
              <w:spacing w:after="0"/>
              <w:rPr>
                <w:sz w:val="9"/>
                <w:szCs w:val="9"/>
                <w:color w:val="auto"/>
              </w:rPr>
            </w:pPr>
          </w:p>
        </w:tc>
        <w:tc>
          <w:tcPr>
            <w:tcW w:w="620" w:type="dxa"/>
            <w:vAlign w:val="bottom"/>
          </w:tcPr>
          <w:p>
            <w:pPr>
              <w:jc w:val="right"/>
              <w:ind w:right="5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Pr>
          <w:p>
            <w:pPr>
              <w:spacing w:after="0"/>
              <w:rPr>
                <w:sz w:val="9"/>
                <w:szCs w:val="9"/>
                <w:color w:val="auto"/>
              </w:rPr>
            </w:pPr>
          </w:p>
        </w:tc>
        <w:tc>
          <w:tcPr>
            <w:tcW w:w="880" w:type="dxa"/>
            <w:vAlign w:val="bottom"/>
            <w:gridSpan w:val="2"/>
          </w:tcPr>
          <w:p>
            <w:pPr>
              <w:jc w:val="right"/>
              <w:ind w:right="40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Pr>
          <w:p>
            <w:pPr>
              <w:ind w:left="140"/>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(in millions)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Note 2(g)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(25,912)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(21,430)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 pursuant to share-based awards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(8,263)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injection from non-controlling interest shareholders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2,650</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additional equity interests in non-wholly owned subsidiaries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(829)</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30,500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13,628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34,271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debts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(27,387)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(13,253)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(24,003)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unsecured senior notes, net of issuance costs</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13,999</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(5,808)</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(26,728)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2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cash equivalents, and restricted cash</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(5,705)</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36,318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33,909</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year, including cash, cash equivalents, and</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classified within assets held for sale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85,156</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79,451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115,716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Less: cash, cash equivalents, and restricted cash classified within assets held for sale at beginning of year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22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85,115</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79,398</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115,716</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w w:val="99"/>
              </w:rPr>
              <w:t>Cash, cash equivalents, and restricted cash at end of year, including cash, cash equivalents and restricted</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classified within assets held for sale</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79,451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149,625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Less: cash, cash equivalents, and restricted cash classified within assets held for sale at end of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year</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79,398</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149,625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(8,807)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(8,697)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paid for interest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(2,808)</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(2,774)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(2,684)</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Right-of-use assets acquired under operating leases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10,890</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11,173</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16,255</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20"/>
          </w:cols>
          <w:pgMar w:left="320" w:top="476" w:right="5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72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68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6"/>
        </w:trPr>
        <w:tc>
          <w:tcPr>
            <w:tcW w:w="1940" w:type="dxa"/>
            <w:vAlign w:val="bottom"/>
          </w:tcPr>
          <w:p>
            <w:pPr>
              <w:spacing w:after="0"/>
              <w:rPr>
                <w:sz w:val="7"/>
                <w:szCs w:val="7"/>
                <w:color w:val="auto"/>
              </w:rPr>
            </w:pPr>
          </w:p>
        </w:tc>
        <w:tc>
          <w:tcPr>
            <w:tcW w:w="1720" w:type="dxa"/>
            <w:vAlign w:val="bottom"/>
            <w:gridSpan w:val="4"/>
            <w:vMerge w:val="continue"/>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98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60" w:type="dxa"/>
            <w:vAlign w:val="bottom"/>
            <w:gridSpan w:val="2"/>
            <w:vMerge w:val="restart"/>
          </w:tcPr>
          <w:p>
            <w:pPr>
              <w:jc w:val="right"/>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Statutory</w:t>
            </w:r>
          </w:p>
        </w:tc>
        <w:tc>
          <w:tcPr>
            <w:tcW w:w="124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8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6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20" w:type="dxa"/>
            <w:vAlign w:val="bottom"/>
            <w:gridSpan w:val="2"/>
            <w:vMerge w:val="restart"/>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1940" w:type="dxa"/>
            <w:vAlign w:val="bottom"/>
          </w:tcPr>
          <w:p>
            <w:pPr>
              <w:spacing w:after="0"/>
              <w:rPr>
                <w:sz w:val="13"/>
                <w:szCs w:val="13"/>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top w:val="single" w:sz="8" w:color="auto"/>
            </w:tcBorders>
          </w:tcPr>
          <w:p>
            <w:pPr>
              <w:ind w:left="60"/>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top w:val="single" w:sz="8" w:color="auto"/>
            </w:tcBorders>
          </w:tcPr>
          <w:p>
            <w:pPr>
              <w:ind w:left="100"/>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00" w:type="dxa"/>
            <w:vAlign w:val="bottom"/>
          </w:tcPr>
          <w:p>
            <w:pPr>
              <w:spacing w:after="0"/>
              <w:rPr>
                <w:sz w:val="9"/>
                <w:szCs w:val="9"/>
                <w:color w:val="auto"/>
              </w:rPr>
            </w:pPr>
          </w:p>
        </w:tc>
        <w:tc>
          <w:tcPr>
            <w:tcW w:w="7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00" w:type="dxa"/>
            <w:vAlign w:val="bottom"/>
          </w:tcPr>
          <w:p>
            <w:pPr>
              <w:spacing w:after="0"/>
              <w:rPr>
                <w:sz w:val="9"/>
                <w:szCs w:val="9"/>
                <w:color w:val="auto"/>
              </w:rPr>
            </w:pPr>
          </w:p>
        </w:tc>
        <w:tc>
          <w:tcPr>
            <w:tcW w:w="500" w:type="dxa"/>
            <w:vAlign w:val="bottom"/>
            <w:tcBorders>
              <w:top w:val="single" w:sz="8" w:color="auto"/>
            </w:tcBorders>
          </w:tcPr>
          <w:p>
            <w:pPr>
              <w:ind w:left="120"/>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160" w:type="dxa"/>
            <w:vAlign w:val="bottom"/>
          </w:tcPr>
          <w:p>
            <w:pPr>
              <w:spacing w:after="0"/>
              <w:rPr>
                <w:sz w:val="9"/>
                <w:szCs w:val="9"/>
                <w:color w:val="auto"/>
              </w:rPr>
            </w:pPr>
          </w:p>
        </w:tc>
        <w:tc>
          <w:tcPr>
            <w:tcW w:w="10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46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RMB</w:t>
            </w:r>
          </w:p>
        </w:tc>
        <w:tc>
          <w:tcPr>
            <w:tcW w:w="220" w:type="dxa"/>
            <w:vAlign w:val="bottom"/>
          </w:tcPr>
          <w:p>
            <w:pPr>
              <w:spacing w:after="0"/>
              <w:rPr>
                <w:sz w:val="9"/>
                <w:szCs w:val="9"/>
                <w:color w:val="auto"/>
              </w:rPr>
            </w:pPr>
          </w:p>
        </w:tc>
        <w:tc>
          <w:tcPr>
            <w:tcW w:w="8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220" w:type="dxa"/>
            <w:vAlign w:val="bottom"/>
          </w:tcPr>
          <w:p>
            <w:pPr>
              <w:spacing w:after="0"/>
              <w:rPr>
                <w:sz w:val="9"/>
                <w:szCs w:val="9"/>
                <w:color w:val="auto"/>
              </w:rPr>
            </w:pPr>
          </w:p>
        </w:tc>
        <w:tc>
          <w:tcPr>
            <w:tcW w:w="7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gridSpan w:val="6"/>
          </w:tcPr>
          <w:p>
            <w:pPr>
              <w:ind w:left="220"/>
              <w:spacing w:after="0"/>
              <w:rPr>
                <w:sz w:val="20"/>
                <w:szCs w:val="20"/>
                <w:color w:val="auto"/>
              </w:rPr>
            </w:pPr>
            <w:r>
              <w:rPr>
                <w:rFonts w:ascii="Times New Roman" w:cs="Times New Roman" w:eastAsia="Times New Roman" w:hAnsi="Times New Roman"/>
                <w:sz w:val="12"/>
                <w:szCs w:val="12"/>
                <w:color w:val="auto"/>
              </w:rPr>
              <w:t>(in millions, except share data)</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9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3,179,673,067</w:t>
            </w:r>
          </w:p>
        </w:tc>
        <w:tc>
          <w:tcPr>
            <w:tcW w:w="2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(43,993,820)</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(2,493)</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184,041</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3,473</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(959)</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29,304</w:t>
            </w: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60,167</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273,533</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ordinary shares</w:t>
            </w: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3,761,270</w:t>
            </w:r>
          </w:p>
        </w:tc>
        <w:tc>
          <w:tcPr>
            <w:tcW w:w="200" w:type="dxa"/>
            <w:vAlign w:val="bottom"/>
          </w:tcPr>
          <w:p>
            <w:pPr>
              <w:spacing w:after="0"/>
              <w:rPr>
                <w:sz w:val="12"/>
                <w:szCs w:val="12"/>
                <w:color w:val="auto"/>
              </w:rPr>
            </w:pP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ind w:left="560"/>
              <w:spacing w:after="0" w:line="145" w:lineRule="exact"/>
              <w:rPr>
                <w:sz w:val="20"/>
                <w:szCs w:val="20"/>
                <w:color w:val="auto"/>
              </w:rPr>
            </w:pPr>
            <w:r>
              <w:rPr>
                <w:rFonts w:ascii="Times New Roman" w:cs="Times New Roman" w:eastAsia="Times New Roman" w:hAnsi="Times New Roman"/>
                <w:sz w:val="14"/>
                <w:szCs w:val="14"/>
                <w:color w:val="auto"/>
                <w:w w:val="95"/>
              </w:rPr>
              <w:t>472</w:t>
            </w:r>
          </w:p>
        </w:tc>
        <w:tc>
          <w:tcPr>
            <w:tcW w:w="200" w:type="dxa"/>
            <w:vAlign w:val="bottom"/>
          </w:tcPr>
          <w:p>
            <w:pPr>
              <w:spacing w:after="0"/>
              <w:rPr>
                <w:sz w:val="12"/>
                <w:szCs w:val="12"/>
                <w:color w:val="auto"/>
              </w:rPr>
            </w:pP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1060" w:type="dxa"/>
            <w:vAlign w:val="bottom"/>
            <w:gridSpan w:val="2"/>
            <w:shd w:val="clear" w:color="auto" w:fill="CCEEFF"/>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(6,784)</w:t>
            </w:r>
          </w:p>
        </w:tc>
        <w:tc>
          <w:tcPr>
            <w:tcW w:w="1060" w:type="dxa"/>
            <w:vAlign w:val="bottom"/>
            <w:gridSpan w:val="2"/>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(6,784)</w:t>
            </w: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06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(22,678,980)</w:t>
            </w:r>
          </w:p>
        </w:tc>
        <w:tc>
          <w:tcPr>
            <w:tcW w:w="6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(2,497)</w:t>
            </w:r>
          </w:p>
        </w:tc>
        <w:tc>
          <w:tcPr>
            <w:tcW w:w="980" w:type="dxa"/>
            <w:vAlign w:val="bottom"/>
            <w:gridSpan w:val="2"/>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1060" w:type="dxa"/>
            <w:vAlign w:val="bottom"/>
            <w:gridSpan w:val="2"/>
            <w:shd w:val="clear" w:color="auto" w:fill="CCEEFF"/>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1,485,726</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w w:val="95"/>
              </w:rPr>
              <w:t>120</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(73)</w:t>
            </w: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Share-based compensation and</w:t>
            </w:r>
          </w:p>
        </w:tc>
        <w:tc>
          <w:tcPr>
            <w:tcW w:w="106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19,416,652</w:t>
            </w:r>
          </w:p>
        </w:tc>
        <w:tc>
          <w:tcPr>
            <w:tcW w:w="220" w:type="dxa"/>
            <w:vAlign w:val="bottom"/>
          </w:tcPr>
          <w:p>
            <w:pPr>
              <w:spacing w:after="0"/>
              <w:rPr>
                <w:sz w:val="10"/>
                <w:szCs w:val="10"/>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1,461</w:t>
            </w:r>
          </w:p>
        </w:tc>
        <w:tc>
          <w:tcPr>
            <w:tcW w:w="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w w:val="95"/>
              </w:rPr>
              <w:t>453</w:t>
            </w:r>
          </w:p>
        </w:tc>
        <w:tc>
          <w:tcPr>
            <w:tcW w:w="200" w:type="dxa"/>
            <w:vAlign w:val="bottom"/>
          </w:tcPr>
          <w:p>
            <w:pPr>
              <w:spacing w:after="0"/>
              <w:rPr>
                <w:sz w:val="10"/>
                <w:szCs w:val="10"/>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2,958</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4,872</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vesting of share-based awards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income/(loss)</w:t>
            </w:r>
          </w:p>
        </w:tc>
        <w:tc>
          <w:tcPr>
            <w:tcW w:w="1060" w:type="dxa"/>
            <w:vAlign w:val="bottom"/>
            <w:gridSpan w:val="2"/>
            <w:shd w:val="clear" w:color="auto" w:fill="CCEEFF"/>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24,167</w:t>
            </w:r>
          </w:p>
        </w:tc>
        <w:tc>
          <w:tcPr>
            <w:tcW w:w="10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(910)</w:t>
            </w:r>
          </w:p>
        </w:tc>
        <w:tc>
          <w:tcPr>
            <w:tcW w:w="8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23,257</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Translation adjustments and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hedge of net investments in</w:t>
            </w:r>
          </w:p>
        </w:tc>
        <w:tc>
          <w:tcPr>
            <w:tcW w:w="106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1,862</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(488)</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operations, net of tax</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Statutory reserves</w:t>
            </w:r>
          </w:p>
        </w:tc>
        <w:tc>
          <w:tcPr>
            <w:tcW w:w="1060" w:type="dxa"/>
            <w:vAlign w:val="bottom"/>
            <w:gridSpan w:val="2"/>
            <w:shd w:val="clear" w:color="auto" w:fill="CCEEFF"/>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2,636</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(2,636)</w:t>
            </w:r>
          </w:p>
        </w:tc>
        <w:tc>
          <w:tcPr>
            <w:tcW w:w="1060" w:type="dxa"/>
            <w:vAlign w:val="bottom"/>
            <w:gridSpan w:val="2"/>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Change of the capital from</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non-controlling interest</w:t>
            </w:r>
          </w:p>
        </w:tc>
        <w:tc>
          <w:tcPr>
            <w:tcW w:w="106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(690)</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2,181</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Others</w:t>
            </w:r>
          </w:p>
        </w:tc>
        <w:tc>
          <w:tcPr>
            <w:tcW w:w="860" w:type="dxa"/>
            <w:vAlign w:val="bottom"/>
            <w:shd w:val="clear" w:color="auto" w:fill="CCEEFF"/>
          </w:tcPr>
          <w:p>
            <w:pPr>
              <w:jc w:val="center"/>
              <w:ind w:left="5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40" w:type="dxa"/>
            <w:vAlign w:val="bottom"/>
            <w:vMerge w:val="continue"/>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3,183,434,337</w:t>
            </w:r>
          </w:p>
        </w:tc>
        <w:tc>
          <w:tcPr>
            <w:tcW w:w="200" w:type="dxa"/>
            <w:vAlign w:val="bottom"/>
          </w:tcPr>
          <w:p>
            <w:pPr>
              <w:spacing w:after="0"/>
              <w:rPr>
                <w:sz w:val="11"/>
                <w:szCs w:val="11"/>
                <w:color w:val="auto"/>
              </w:rPr>
            </w:pP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(45,770,422)</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(3,409)</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184,204</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6,109</w:t>
            </w:r>
          </w:p>
        </w:tc>
        <w:tc>
          <w:tcPr>
            <w:tcW w:w="1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color w:val="auto"/>
                <w:w w:val="85"/>
              </w:rPr>
              <w:t>903</w:t>
            </w:r>
          </w:p>
        </w:tc>
        <w:tc>
          <w:tcPr>
            <w:tcW w:w="220" w:type="dxa"/>
            <w:vAlign w:val="bottom"/>
          </w:tcPr>
          <w:p>
            <w:pPr>
              <w:spacing w:after="0"/>
              <w:rPr>
                <w:sz w:val="11"/>
                <w:szCs w:val="11"/>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44,051</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63,908</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295,766</w:t>
            </w: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94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ordinary shares</w:t>
            </w:r>
          </w:p>
        </w:tc>
        <w:tc>
          <w:tcPr>
            <w:tcW w:w="8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4,119,434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26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780" w:type="dxa"/>
            <w:vAlign w:val="bottom"/>
            <w:shd w:val="clear" w:color="auto" w:fill="CCEEFF"/>
          </w:tcPr>
          <w:p>
            <w:pPr>
              <w:ind w:left="560"/>
              <w:spacing w:after="0" w:line="139" w:lineRule="exact"/>
              <w:rPr>
                <w:sz w:val="20"/>
                <w:szCs w:val="20"/>
                <w:color w:val="auto"/>
              </w:rPr>
            </w:pPr>
            <w:r>
              <w:rPr>
                <w:rFonts w:ascii="Times New Roman" w:cs="Times New Roman" w:eastAsia="Times New Roman" w:hAnsi="Times New Roman"/>
                <w:sz w:val="14"/>
                <w:szCs w:val="14"/>
                <w:color w:val="auto"/>
                <w:w w:val="95"/>
              </w:rPr>
              <w:t>474</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640"/>
              <w:spacing w:after="0" w:line="13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106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(8,258)</w:t>
            </w:r>
          </w:p>
        </w:tc>
        <w:tc>
          <w:tcPr>
            <w:tcW w:w="1060" w:type="dxa"/>
            <w:vAlign w:val="bottom"/>
            <w:gridSpan w:val="2"/>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(8,258)</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060" w:type="dxa"/>
            <w:vAlign w:val="bottom"/>
            <w:gridSpan w:val="2"/>
            <w:shd w:val="clear" w:color="auto" w:fill="CCEEFF"/>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(255,278,178)</w:t>
            </w:r>
          </w:p>
        </w:tc>
        <w:tc>
          <w:tcPr>
            <w:tcW w:w="6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(25,912)</w:t>
            </w:r>
          </w:p>
        </w:tc>
        <w:tc>
          <w:tcPr>
            <w:tcW w:w="980" w:type="dxa"/>
            <w:vAlign w:val="bottom"/>
            <w:gridSpan w:val="2"/>
            <w:shd w:val="clear" w:color="auto" w:fill="CCEEFF"/>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(25,912)</w:t>
            </w: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106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122,670</w:t>
            </w:r>
          </w:p>
        </w:tc>
        <w:tc>
          <w:tcPr>
            <w:tcW w:w="4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2"/>
                <w:szCs w:val="12"/>
                <w:color w:val="auto"/>
              </w:rPr>
            </w:pPr>
          </w:p>
        </w:tc>
        <w:tc>
          <w:tcPr>
            <w:tcW w:w="980" w:type="dxa"/>
            <w:vAlign w:val="bottom"/>
            <w:gridSpan w:val="2"/>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Share-based compensation and</w:t>
            </w:r>
          </w:p>
        </w:tc>
        <w:tc>
          <w:tcPr>
            <w:tcW w:w="1060" w:type="dxa"/>
            <w:vAlign w:val="bottom"/>
            <w:gridSpan w:val="2"/>
            <w:vMerge w:val="restart"/>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16,805,414</w:t>
            </w:r>
          </w:p>
        </w:tc>
        <w:tc>
          <w:tcPr>
            <w:tcW w:w="22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1,570</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(589)</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1,954</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2,935</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share-based awards</w:t>
            </w:r>
          </w:p>
        </w:tc>
        <w:tc>
          <w:tcPr>
            <w:tcW w:w="10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41,359</w:t>
            </w:r>
          </w:p>
        </w:tc>
        <w:tc>
          <w:tcPr>
            <w:tcW w:w="10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3,301</w:t>
            </w:r>
          </w:p>
        </w:tc>
        <w:tc>
          <w:tcPr>
            <w:tcW w:w="82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44,660</w:t>
            </w: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Translation adjustments and</w:t>
            </w: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hedge of net investments in</w:t>
            </w:r>
          </w:p>
        </w:tc>
        <w:tc>
          <w:tcPr>
            <w:tcW w:w="1060" w:type="dxa"/>
            <w:vAlign w:val="bottom"/>
            <w:gridSpan w:val="2"/>
            <w:vMerge w:val="restart"/>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85"/>
              </w:rPr>
              <w:t>518</w:t>
            </w:r>
          </w:p>
        </w:tc>
        <w:tc>
          <w:tcPr>
            <w:tcW w:w="2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502</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operations, net of tax</w:t>
            </w:r>
          </w:p>
        </w:tc>
        <w:tc>
          <w:tcPr>
            <w:tcW w:w="10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Statutory reserves</w:t>
            </w:r>
          </w:p>
        </w:tc>
        <w:tc>
          <w:tcPr>
            <w:tcW w:w="1060" w:type="dxa"/>
            <w:vAlign w:val="bottom"/>
            <w:gridSpan w:val="2"/>
          </w:tcPr>
          <w:p>
            <w:pPr>
              <w:jc w:val="center"/>
              <w:ind w:left="3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ind w:left="5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579</w:t>
            </w:r>
          </w:p>
        </w:tc>
        <w:tc>
          <w:tcPr>
            <w:tcW w:w="1240" w:type="dxa"/>
            <w:vAlign w:val="bottom"/>
            <w:gridSpan w:val="2"/>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(579)</w:t>
            </w:r>
          </w:p>
        </w:tc>
        <w:tc>
          <w:tcPr>
            <w:tcW w:w="1060" w:type="dxa"/>
            <w:vAlign w:val="bottom"/>
            <w:gridSpan w:val="2"/>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Change of the capital from</w:t>
            </w: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non-controlling interest</w:t>
            </w:r>
          </w:p>
        </w:tc>
        <w:tc>
          <w:tcPr>
            <w:tcW w:w="1060" w:type="dxa"/>
            <w:vAlign w:val="bottom"/>
            <w:gridSpan w:val="2"/>
            <w:vMerge w:val="restart"/>
            <w:shd w:val="clear" w:color="auto" w:fill="CCEEFF"/>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(951)</w:t>
            </w: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269</w:t>
            </w: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w:t>
            </w:r>
          </w:p>
        </w:tc>
        <w:tc>
          <w:tcPr>
            <w:tcW w:w="106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Acquisition of subsidiaries and</w:t>
            </w:r>
          </w:p>
        </w:tc>
        <w:tc>
          <w:tcPr>
            <w:tcW w:w="106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3,532</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Others</w:t>
            </w:r>
          </w:p>
        </w:tc>
        <w:tc>
          <w:tcPr>
            <w:tcW w:w="860" w:type="dxa"/>
            <w:vAlign w:val="bottom"/>
            <w:shd w:val="clear" w:color="auto" w:fill="CCEEFF"/>
          </w:tcPr>
          <w:p>
            <w:pPr>
              <w:jc w:val="center"/>
              <w:ind w:left="57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ind w:left="26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(734)</w:t>
            </w: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ind w:left="8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ind w:left="6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40" w:type="dxa"/>
            <w:vAlign w:val="bottom"/>
            <w:vMerge w:val="continue"/>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3,187,553,771</w:t>
            </w:r>
          </w:p>
        </w:tc>
        <w:tc>
          <w:tcPr>
            <w:tcW w:w="200" w:type="dxa"/>
            <w:vAlign w:val="bottom"/>
          </w:tcPr>
          <w:p>
            <w:pPr>
              <w:spacing w:after="0"/>
              <w:rPr>
                <w:sz w:val="11"/>
                <w:szCs w:val="11"/>
                <w:color w:val="auto"/>
              </w:rPr>
            </w:pP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(284,120,516)</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(27,739)</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182,404</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6,688</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1,421</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76,573</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73,466</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312,813</w:t>
            </w: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76" w:right="5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1940" w:type="dxa"/>
            <w:vAlign w:val="bottom"/>
          </w:tcPr>
          <w:p>
            <w:pPr>
              <w:spacing w:after="0"/>
              <w:rPr>
                <w:sz w:val="12"/>
                <w:szCs w:val="12"/>
                <w:color w:val="auto"/>
              </w:rPr>
            </w:pPr>
          </w:p>
        </w:tc>
        <w:tc>
          <w:tcPr>
            <w:tcW w:w="1720" w:type="dxa"/>
            <w:vAlign w:val="bottom"/>
            <w:gridSpan w:val="4"/>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68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73"/>
        </w:trPr>
        <w:tc>
          <w:tcPr>
            <w:tcW w:w="19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60" w:type="dxa"/>
            <w:vAlign w:val="bottom"/>
            <w:gridSpan w:val="2"/>
            <w:vMerge w:val="restart"/>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680" w:type="dxa"/>
            <w:vAlign w:val="bottom"/>
            <w:gridSpan w:val="2"/>
            <w:vMerge w:val="restart"/>
          </w:tcPr>
          <w:p>
            <w:pPr>
              <w:jc w:val="right"/>
              <w:ind w:right="160"/>
              <w:spacing w:after="0" w:line="132" w:lineRule="exact"/>
              <w:rPr>
                <w:sz w:val="20"/>
                <w:szCs w:val="20"/>
                <w:color w:val="auto"/>
              </w:rPr>
            </w:pPr>
            <w:r>
              <w:rPr>
                <w:rFonts w:ascii="Times New Roman" w:cs="Times New Roman" w:eastAsia="Times New Roman" w:hAnsi="Times New Roman"/>
                <w:sz w:val="12"/>
                <w:szCs w:val="12"/>
                <w:b w:val="1"/>
                <w:bCs w:val="1"/>
                <w:color w:val="auto"/>
              </w:rPr>
              <w:t>Statutory</w:t>
            </w:r>
          </w:p>
        </w:tc>
        <w:tc>
          <w:tcPr>
            <w:tcW w:w="124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8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060" w:type="dxa"/>
            <w:vAlign w:val="bottom"/>
            <w:gridSpan w:val="2"/>
            <w:vMerge w:val="restart"/>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20" w:type="dxa"/>
            <w:vAlign w:val="bottom"/>
            <w:gridSpan w:val="2"/>
            <w:vMerge w:val="restart"/>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39"/>
        </w:trPr>
        <w:tc>
          <w:tcPr>
            <w:tcW w:w="194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194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income/(loss)</w:t>
            </w: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top w:val="single" w:sz="8" w:color="auto"/>
            </w:tcBorders>
          </w:tcPr>
          <w:p>
            <w:pPr>
              <w:ind w:left="8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jc w:val="right"/>
              <w:ind w:right="31"/>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7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tcPr>
          <w:p>
            <w:pPr>
              <w:spacing w:after="0"/>
              <w:rPr>
                <w:sz w:val="8"/>
                <w:szCs w:val="8"/>
                <w:color w:val="auto"/>
              </w:rPr>
            </w:pPr>
          </w:p>
        </w:tc>
        <w:tc>
          <w:tcPr>
            <w:tcW w:w="520" w:type="dxa"/>
            <w:vAlign w:val="bottom"/>
            <w:tcBorders>
              <w:top w:val="single" w:sz="8" w:color="auto"/>
            </w:tcBorders>
          </w:tcPr>
          <w:p>
            <w:pPr>
              <w:ind w:left="120"/>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60" w:type="dxa"/>
            <w:vAlign w:val="bottom"/>
          </w:tcPr>
          <w:p>
            <w:pPr>
              <w:spacing w:after="0"/>
              <w:rPr>
                <w:sz w:val="8"/>
                <w:szCs w:val="8"/>
                <w:color w:val="auto"/>
              </w:rPr>
            </w:pPr>
          </w:p>
        </w:tc>
        <w:tc>
          <w:tcPr>
            <w:tcW w:w="102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46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8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8"/>
                <w:szCs w:val="8"/>
                <w:color w:val="auto"/>
              </w:rPr>
            </w:pPr>
          </w:p>
        </w:tc>
        <w:tc>
          <w:tcPr>
            <w:tcW w:w="72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RMB</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6"/>
          </w:tcPr>
          <w:p>
            <w:pPr>
              <w:jc w:val="right"/>
              <w:ind w:right="104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3,187,553,771</w:t>
            </w:r>
          </w:p>
        </w:tc>
        <w:tc>
          <w:tcPr>
            <w:tcW w:w="2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(284,120,516)</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(27,739)</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182,404</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6,688</w:t>
            </w: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1,421</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76,573</w:t>
            </w: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73,466</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312,813</w:t>
            </w: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106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(10,318)</w:t>
            </w:r>
          </w:p>
        </w:tc>
        <w:tc>
          <w:tcPr>
            <w:tcW w:w="10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(10,318)</w:t>
            </w: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10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(183,239,462)</w:t>
            </w:r>
          </w:p>
        </w:tc>
        <w:tc>
          <w:tcPr>
            <w:tcW w:w="70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(21,430)</w:t>
            </w: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(21,430)</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Cancellation of Class A</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(369,258,738)</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369,258,738</w:t>
            </w:r>
          </w:p>
        </w:tc>
        <w:tc>
          <w:tcPr>
            <w:tcW w:w="20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38,877</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(38,877)</w:t>
            </w:r>
          </w:p>
        </w:tc>
        <w:tc>
          <w:tcPr>
            <w:tcW w:w="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Exercise of share-based awards</w:t>
            </w:r>
          </w:p>
        </w:tc>
        <w:tc>
          <w:tcPr>
            <w:tcW w:w="10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352,086</w:t>
            </w: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41</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(9)</w:t>
            </w: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Share-based compensation and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vesting of share-based</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21,301,372</w:t>
            </w:r>
          </w:p>
        </w:tc>
        <w:tc>
          <w:tcPr>
            <w:tcW w:w="20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2,377</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1,060</w:t>
            </w:r>
          </w:p>
        </w:tc>
        <w:tc>
          <w:tcPr>
            <w:tcW w:w="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1,279</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4,716</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19,631</w:t>
            </w: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3,511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23,142</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Translation adjustments and</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hedge of net investments in</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(2,596)</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(712)</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(3,308)</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operations, net of tax</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Statutory reserves</w:t>
            </w:r>
          </w:p>
        </w:tc>
        <w:tc>
          <w:tcPr>
            <w:tcW w:w="106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929</w:t>
            </w:r>
          </w:p>
        </w:tc>
        <w:tc>
          <w:tcPr>
            <w:tcW w:w="1240" w:type="dxa"/>
            <w:vAlign w:val="bottom"/>
            <w:gridSpan w:val="2"/>
            <w:shd w:val="clear" w:color="auto" w:fill="CCEEFF"/>
          </w:tcPr>
          <w:p>
            <w:pPr>
              <w:jc w:val="right"/>
              <w:ind w:right="2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(929)</w:t>
            </w:r>
          </w:p>
        </w:tc>
        <w:tc>
          <w:tcPr>
            <w:tcW w:w="10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3"/>
        </w:trPr>
        <w:tc>
          <w:tcPr>
            <w:tcW w:w="194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Change of the capital from</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94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non-controlling interest</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4,586</w:t>
            </w:r>
          </w:p>
        </w:tc>
        <w:tc>
          <w:tcPr>
            <w:tcW w:w="6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(8,801)</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(4,215)</w:t>
            </w:r>
          </w:p>
        </w:tc>
        <w:tc>
          <w:tcPr>
            <w:tcW w:w="0" w:type="dxa"/>
            <w:vAlign w:val="bottom"/>
          </w:tcPr>
          <w:p>
            <w:pPr>
              <w:spacing w:after="0"/>
              <w:rPr>
                <w:sz w:val="1"/>
                <w:szCs w:val="1"/>
                <w:color w:val="auto"/>
              </w:rPr>
            </w:pPr>
          </w:p>
        </w:tc>
      </w:tr>
      <w:tr>
        <w:trPr>
          <w:trHeight w:val="168"/>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shareholders</w:t>
            </w:r>
          </w:p>
        </w:tc>
        <w:tc>
          <w:tcPr>
            <w:tcW w:w="10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 of changes in the equity</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vMerge w:val="restart"/>
            <w:shd w:val="clear" w:color="auto" w:fill="CCEEFF"/>
          </w:tcPr>
          <w:p>
            <w:pPr>
              <w:spacing w:after="0"/>
              <w:rPr>
                <w:sz w:val="10"/>
                <w:szCs w:val="10"/>
                <w:color w:val="auto"/>
              </w:rPr>
            </w:pPr>
          </w:p>
        </w:tc>
        <w:tc>
          <w:tcPr>
            <w:tcW w:w="4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5"/>
              </w:rPr>
              <w:t>— </w:t>
            </w:r>
          </w:p>
        </w:tc>
        <w:tc>
          <w:tcPr>
            <w:tcW w:w="220" w:type="dxa"/>
            <w:vAlign w:val="bottom"/>
            <w:vMerge w:val="restart"/>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vMerge w:val="restart"/>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vMerge w:val="restart"/>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(7,649)</w:t>
            </w:r>
          </w:p>
        </w:tc>
        <w:tc>
          <w:tcPr>
            <w:tcW w:w="68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(7,649)</w:t>
            </w:r>
          </w:p>
        </w:tc>
        <w:tc>
          <w:tcPr>
            <w:tcW w:w="0" w:type="dxa"/>
            <w:vAlign w:val="bottom"/>
          </w:tcPr>
          <w:p>
            <w:pPr>
              <w:spacing w:after="0"/>
              <w:rPr>
                <w:sz w:val="1"/>
                <w:szCs w:val="1"/>
                <w:color w:val="auto"/>
              </w:rPr>
            </w:pPr>
          </w:p>
        </w:tc>
      </w:tr>
      <w:tr>
        <w:trPr>
          <w:trHeight w:val="168"/>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method investee’s capital</w:t>
            </w:r>
          </w:p>
        </w:tc>
        <w:tc>
          <w:tcPr>
            <w:tcW w:w="8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40" w:type="dxa"/>
            <w:vAlign w:val="bottom"/>
            <w:vMerge w:val="continue"/>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2,818,295,033</w:t>
            </w:r>
          </w:p>
        </w:tc>
        <w:tc>
          <w:tcPr>
            <w:tcW w:w="200" w:type="dxa"/>
            <w:vAlign w:val="bottom"/>
          </w:tcPr>
          <w:p>
            <w:pPr>
              <w:spacing w:after="0"/>
              <w:rPr>
                <w:sz w:val="11"/>
                <w:szCs w:val="11"/>
                <w:color w:val="auto"/>
              </w:rPr>
            </w:pP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(76,447,782)</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(7,874)</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141,515</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7,617</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(1,175)</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84,957</w:t>
            </w: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68,743</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293,783</w:t>
            </w:r>
          </w:p>
        </w:tc>
        <w:tc>
          <w:tcPr>
            <w:tcW w:w="0" w:type="dxa"/>
            <w:vAlign w:val="bottom"/>
          </w:tcPr>
          <w:p>
            <w:pPr>
              <w:spacing w:after="0"/>
              <w:rPr>
                <w:sz w:val="1"/>
                <w:szCs w:val="1"/>
                <w:color w:val="auto"/>
              </w:rPr>
            </w:pPr>
          </w:p>
        </w:tc>
      </w:tr>
      <w:tr>
        <w:trPr>
          <w:trHeight w:val="170"/>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20"/>
          </w:cols>
          <w:pgMar w:left="320" w:top="476" w:right="5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42" w:lineRule="exact"/>
        <w:rPr>
          <w:sz w:val="20"/>
          <w:szCs w:val="20"/>
          <w:color w:val="auto"/>
        </w:rPr>
      </w:pPr>
    </w:p>
    <w:p>
      <w:pPr>
        <w:ind w:left="660" w:hanging="430"/>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activities and organization</w:t>
      </w:r>
    </w:p>
    <w:p>
      <w:pPr>
        <w:spacing w:after="0" w:line="112" w:lineRule="exact"/>
        <w:rPr>
          <w:sz w:val="20"/>
          <w:szCs w:val="20"/>
          <w:color w:val="auto"/>
        </w:rPr>
      </w:pPr>
    </w:p>
    <w:p>
      <w:pPr>
        <w:jc w:val="both"/>
        <w:ind w:left="240" w:right="180" w:firstLine="431"/>
        <w:spacing w:after="0" w:line="258" w:lineRule="auto"/>
        <w:rPr>
          <w:sz w:val="20"/>
          <w:szCs w:val="20"/>
          <w:color w:val="auto"/>
        </w:rPr>
      </w:pPr>
      <w:r>
        <w:rPr>
          <w:rFonts w:ascii="Times New Roman" w:cs="Times New Roman" w:eastAsia="Times New Roman" w:hAnsi="Times New Roman"/>
          <w:sz w:val="18"/>
          <w:szCs w:val="18"/>
          <w:color w:val="auto"/>
        </w:rPr>
        <w:t>JD.com, Inc. (the “Company”) is a leading supply chain-based technology and service provider, providing products and services to consumers, third-party merchants, suppliers and other business partners through its subsidiaries, consolidated variable interest entities (“VIEs”) and consolidated VIEs’ subsidiaries (collectively, the “Group”).</w:t>
      </w:r>
    </w:p>
    <w:p>
      <w:pPr>
        <w:spacing w:after="0" w:line="179" w:lineRule="exact"/>
        <w:rPr>
          <w:sz w:val="20"/>
          <w:szCs w:val="20"/>
          <w:color w:val="auto"/>
        </w:rPr>
      </w:pPr>
    </w:p>
    <w:p>
      <w:pPr>
        <w:ind w:left="240" w:right="60" w:firstLine="431"/>
        <w:spacing w:after="0" w:line="247" w:lineRule="auto"/>
        <w:rPr>
          <w:sz w:val="20"/>
          <w:szCs w:val="20"/>
          <w:color w:val="auto"/>
        </w:rPr>
      </w:pPr>
      <w:r>
        <w:rPr>
          <w:rFonts w:ascii="Times New Roman" w:cs="Times New Roman" w:eastAsia="Times New Roman" w:hAnsi="Times New Roman"/>
          <w:sz w:val="18"/>
          <w:szCs w:val="18"/>
          <w:color w:val="auto"/>
        </w:rPr>
        <w:t>The Group operates e-commerce business, including online retail and online marketplace mainly through its retail mobile apps and www.jd.com website (collectively, “JD Platform”). The Group serves consumers through online retail, focusing on product selection, price and convenience, serves third-party merchants through online marketplace, including on-demand platform services, offering programs that enable the merchants to sell their products on JD Platform and to fulfill the orders either by themselves or through the Group’s logistics services. Leveraging its Artificial Intelligence (AI) capabilities and technologies, the Group provides a variety of marketing services to business partners through its proprietary advertisement technology platform. Leveraging its leading logistics network, the Group provides integrated supply chain solutions and logistics services, primarily including warehousing and distribution services, express and freight services, on-demand delivery services and other value-added services to third parties, including both third-party merchants and suppliers on JD Platform and other business partners, through JD Logistics, Inc. (“JD Logistics”), the Group’s logistics subsidiary. The Group also operates healthcare business through JD Health International Inc. (“JD Health”), establishes platform for developing and managing modern infrastructure through JINGDONG Property, Inc. (“JD Property”, formerly known as JD Property Group Corporation), empowers industrial development by supply chain technology and services through JINGDONG Industrials, Inc. (“JD Industrials”, formerly known as JD Industrial Technology Inc.).</w:t>
      </w:r>
    </w:p>
    <w:p>
      <w:pPr>
        <w:spacing w:after="0" w:line="193"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The Company’s American depositary shares (“ADS”) have been listed on the Nasdaq Global Select Market under the symbol “JD” and the Company’s ordinary shares have been listed on the Main Board of The Stock Exchange of Hong Kong Limited (“HKEX”) under the stock codes “9618 (HKD counter)” and “89618 (RMB counter)”. Each ADS represents two ordinary shares.</w:t>
      </w:r>
    </w:p>
    <w:p>
      <w:pPr>
        <w:spacing w:after="0" w:line="179" w:lineRule="exact"/>
        <w:rPr>
          <w:sz w:val="20"/>
          <w:szCs w:val="20"/>
          <w:color w:val="auto"/>
        </w:rPr>
      </w:pPr>
    </w:p>
    <w:p>
      <w:pPr>
        <w:jc w:val="both"/>
        <w:ind w:left="240" w:right="620" w:firstLine="431"/>
        <w:spacing w:after="0" w:line="258" w:lineRule="auto"/>
        <w:rPr>
          <w:sz w:val="20"/>
          <w:szCs w:val="20"/>
          <w:color w:val="auto"/>
        </w:rPr>
      </w:pPr>
      <w:r>
        <w:rPr>
          <w:rFonts w:ascii="Times New Roman" w:cs="Times New Roman" w:eastAsia="Times New Roman" w:hAnsi="Times New Roman"/>
          <w:sz w:val="18"/>
          <w:szCs w:val="18"/>
          <w:color w:val="auto"/>
        </w:rPr>
        <w:t>The Group’s principal operations and geographic markets are in the People’s Republic of China (“PRC” or “China”). The accompanying consolidated financial statements include the financial statements of the Company, its subsidiaries, consolidated VIEs and consolidated VIEs’ subsidiaries.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Company’s major subsidiaries, consolidated VIEs and consolidated VIEs’ subsidiaries are as follows:</w:t>
      </w:r>
    </w:p>
    <w:p>
      <w:pPr>
        <w:spacing w:after="0" w:line="1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920"/>
          </w:cols>
          <w:pgMar w:left="320" w:top="476" w:right="6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activities and organization (Continued)</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and date of incorporation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 held</w:t>
            </w:r>
          </w:p>
        </w:tc>
        <w:tc>
          <w:tcPr>
            <w:tcW w:w="4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w w:val="98"/>
              </w:rPr>
              <w:t>Subsidiaries</w:t>
            </w:r>
          </w:p>
        </w:tc>
        <w:tc>
          <w:tcPr>
            <w:tcW w:w="420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7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Jingdong Century Trade Co., Ltd. (“Jingdong Century”)</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Beijing, China, April 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Jiangsu Jingdong Information Technology Co., Ltd.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Jiangsu, China, June 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Shanghai Shengdayuan Information Technology Co., Ltd.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Shanghai, China, April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JD Logistics Holding Limited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Hong Kong, China, August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Jingdong Technology Group Corporation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Cayman Islands, November 2011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JINGDONG Property, Inc.</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Cayman Islands, January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Logistics, Inc.</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Cayman Islands, January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Jingdong E-Commerce (Trade) Hong Kong Co., Ltd.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Hong Kong, China, February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JD.com International Limited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Hong Kong, China, February 2012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Beijing Jingdong Shangke Information Technology Co., Ltd.</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(“Beijing Shangke”)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Beijing, China, March 2012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4"/>
          </w:tcPr>
          <w:p>
            <w:pPr>
              <w:spacing w:after="0" w:line="193" w:lineRule="exact"/>
              <w:rPr>
                <w:sz w:val="20"/>
                <w:szCs w:val="20"/>
                <w:color w:val="auto"/>
              </w:rPr>
            </w:pPr>
            <w:r>
              <w:rPr>
                <w:rFonts w:ascii="Times New Roman" w:cs="Times New Roman" w:eastAsia="Times New Roman" w:hAnsi="Times New Roman"/>
                <w:sz w:val="18"/>
                <w:szCs w:val="18"/>
                <w:color w:val="auto"/>
              </w:rPr>
              <w:t>Chongqing Jingdong Haijia E-commerce Co., Ltd. (“Chongqing</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Haijia”)</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Chongqing, China, June 2014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JD.com Investment Limited</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British Virgin Islands (“BVI”),</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7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January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Asia Development Limited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 February 2015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Suqian Hanbang Investment Management Co., Ltd.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Jiangsu, China, January 2016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Jiangsu Xinchuan Hailian Supply Chain Management Co., Ltd.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Jiangsu, China, May 2017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JD Assets Holding Limited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Cayman Islands, March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Property Holding Limited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Cayman Islands, March 2018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4"/>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Beijing Wodong Tianjun Information Technology Co., Ltd. (“Beijing</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Wodong Tianjun”)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Beijing, China, May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Health International Inc.</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Cayman Islands, November 2018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JD Jiankang Limited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British Virgin Islands, April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Industrial Technology Limited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 October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JINGDONG Industrials, Inc.</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Cayman Islands, November 2019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Jingdong Logistics Supply Chain Co., Ltd.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Jiangsu, China, June 2020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Jiangsu Huiji Space Technology Co., Ltd.</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Jiangsu, China, March 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JD Sunflower Investment Limited(“JD Sunflower”)</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 February 2016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4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Consolidated VIEs</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Beijing Jingdong 360 Degree E-commerce Co., Ltd. (“Jingdong 360”)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Beijing, China, April 2007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Jiangsu Yuanzhou E-commerce Co., Ltd. (“Jiangsu Yuanzhou”)</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Jiangsu, China, September 2010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4"/>
          </w:tcPr>
          <w:p>
            <w:pPr>
              <w:spacing w:after="0" w:line="193" w:lineRule="exact"/>
              <w:rPr>
                <w:sz w:val="20"/>
                <w:szCs w:val="20"/>
                <w:color w:val="auto"/>
              </w:rPr>
            </w:pPr>
            <w:r>
              <w:rPr>
                <w:rFonts w:ascii="Times New Roman" w:cs="Times New Roman" w:eastAsia="Times New Roman" w:hAnsi="Times New Roman"/>
                <w:sz w:val="18"/>
                <w:szCs w:val="18"/>
                <w:color w:val="auto"/>
              </w:rPr>
              <w:t>Jiangsu Jingdong Bangneng Investment Management Co., Ltd.</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(“Jingdong Bangneng”)</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Jiangsu, China, August 2015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Xi’an Jingdong Xincheng Information Technology Co., Ltd. (“Xi’an</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Jingdong Xincheng”)</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Shaanxi, China, June 2017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Suqian Hanyu Technology Co., Ltd. (“Suqian Hanyu”)</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Jiangsu, China, December 2024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280" w:type="dxa"/>
            <w:vAlign w:val="bottom"/>
            <w:tcBorders>
              <w:bottom w:val="single" w:sz="8" w:color="auto"/>
            </w:tcBorders>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w w:val="96"/>
              </w:rPr>
              <w:t>Consolidated VIEs’ Subsidiaries</w:t>
            </w:r>
          </w:p>
        </w:tc>
        <w:tc>
          <w:tcPr>
            <w:tcW w:w="27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Beijing Jingbangda Trade Co., Ltd. (“Beijing Jingbangda”)</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Beijing, China, August 2012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Suqian Juhe Digital Enterprise Management Co., Ltd. (“Suqian Juhe”)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Jiangsu, China, June 2020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F-15</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6680" w:hanging="430"/>
        <w:spacing w:after="0" w:line="369" w:lineRule="auto"/>
        <w:tabs>
          <w:tab w:leader="none" w:pos="652"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Principal activities and organization (Continued) </w:t>
      </w:r>
      <w:r>
        <w:rPr>
          <w:rFonts w:ascii="Times New Roman" w:cs="Times New Roman" w:eastAsia="Times New Roman" w:hAnsi="Times New Roman"/>
          <w:sz w:val="18"/>
          <w:szCs w:val="18"/>
          <w:b w:val="1"/>
          <w:bCs w:val="1"/>
          <w:i w:val="1"/>
          <w:iCs w:val="1"/>
          <w:color w:val="auto"/>
        </w:rPr>
        <w:t>Organization</w:t>
      </w:r>
    </w:p>
    <w:p>
      <w:pPr>
        <w:ind w:left="240" w:right="480" w:firstLine="431"/>
        <w:spacing w:after="0" w:line="270" w:lineRule="auto"/>
        <w:rPr>
          <w:sz w:val="20"/>
          <w:szCs w:val="20"/>
          <w:color w:val="auto"/>
        </w:rPr>
      </w:pPr>
      <w:r>
        <w:rPr>
          <w:rFonts w:ascii="Times New Roman" w:cs="Times New Roman" w:eastAsia="Times New Roman" w:hAnsi="Times New Roman"/>
          <w:sz w:val="18"/>
          <w:szCs w:val="18"/>
          <w:color w:val="auto"/>
        </w:rPr>
        <w:t>The Company was incorporated in the BVI in November 2006 and was re-domiciled in the Cayman Islands in January 2014 as an exempted company registered under the laws of the Cayman Islands.</w:t>
      </w:r>
    </w:p>
    <w:p>
      <w:pPr>
        <w:spacing w:after="0" w:line="169"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As of December 31, 2025, the Company effectively controls multiple PRC domestic entities as VIEs through their respective primary beneficiaries who are subsidiaries of the Company. The paid-in capital of each of these PRC domestic entities was funded by the Company, and they were established to facilitate the Group’s operations and business expansion plans and comply with the PRC laws and regulations which prohibit or restrict foreign ownership of the companies where the PRC operating licenses are required. The representative PRC domestic entities and its subsidiaries are Jingdong 360, Jiangsu Yuanzhou, Jingdong Bangneng, Xi’an Jingdong Xincheng, Suqian Jingdong Tianning Jiankang Technology Co., Ltd., Suqian Hanyu, and Beijing Jingbangda.</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220" w:lineRule="exact"/>
        <w:rPr>
          <w:sz w:val="20"/>
          <w:szCs w:val="20"/>
          <w:color w:val="auto"/>
        </w:rPr>
      </w:pPr>
    </w:p>
    <w:p>
      <w:pPr>
        <w:ind w:left="240" w:right="160" w:firstLine="431"/>
        <w:spacing w:after="0" w:line="247" w:lineRule="auto"/>
        <w:rPr>
          <w:sz w:val="20"/>
          <w:szCs w:val="20"/>
          <w:color w:val="auto"/>
        </w:rPr>
      </w:pPr>
      <w:r>
        <w:rPr>
          <w:rFonts w:ascii="Times New Roman" w:cs="Times New Roman" w:eastAsia="Times New Roman" w:hAnsi="Times New Roman"/>
          <w:sz w:val="18"/>
          <w:szCs w:val="18"/>
          <w:color w:val="auto"/>
        </w:rPr>
        <w:t>In order to comply with the PRC laws and regulations which prohibit or restrict foreign control of companies involved in provision of internet content and other restricted businesses, the Group operates its websites and other restricted businesses in the Chinese mainland through certain PRC domestic companies, whose equity interests are held by certain individuals (“Nominee Shareholders”). The Group obtained control over these PRC domestic companies by entering into a series of contractual arrangements with these PRC domestic companies and their respective Nominee Shareholders. These contractual agreements are substantially similar in key aspects governing the contractual arrangements with a variable interest entity of the Group, include loan agreements, exclusive purchase option agreements, exclusive technology consulting and services agreements or exclusive business cooperation agreements, as applicable, intellectual property rights license agreement, equity pledge agreements, powers of attorney, business cooperation agreement and business operation agreements. These contractual agreements can be extended at the Group’s relevant PRC subsidiaries’ options prior to the expiration date. Management concluded that these PRC domestic companies are consolidated VIEs of the Group, of which the Group is the ultimate primary beneficiary. As such, the Group consolidated the financial results of these PRC domestic companies and their subsidiaries in the Group’s consolidated financial statements. Refer to Note 2(b) to the consolidated financial statements for the principles of consolidation.</w:t>
      </w:r>
    </w:p>
    <w:p>
      <w:pPr>
        <w:spacing w:after="0" w:line="193" w:lineRule="exact"/>
        <w:rPr>
          <w:sz w:val="20"/>
          <w:szCs w:val="20"/>
          <w:color w:val="auto"/>
        </w:rPr>
      </w:pPr>
    </w:p>
    <w:p>
      <w:pPr>
        <w:ind w:left="240" w:right="480" w:firstLine="431"/>
        <w:spacing w:after="0" w:line="270" w:lineRule="auto"/>
        <w:rPr>
          <w:sz w:val="20"/>
          <w:szCs w:val="20"/>
          <w:color w:val="auto"/>
        </w:rPr>
      </w:pPr>
      <w:r>
        <w:rPr>
          <w:rFonts w:ascii="Times New Roman" w:cs="Times New Roman" w:eastAsia="Times New Roman" w:hAnsi="Times New Roman"/>
          <w:sz w:val="18"/>
          <w:szCs w:val="18"/>
          <w:color w:val="auto"/>
        </w:rPr>
        <w:t>The following is a summary of the contractual agreements (collectively, “Contractual Agreements”) that the Group, through its subsidiaries, entered into with the consolidated VIEs and their Nominee Shareholders: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Loan agreements</w:t>
      </w:r>
    </w:p>
    <w:p>
      <w:pPr>
        <w:spacing w:after="0" w:line="220" w:lineRule="exact"/>
        <w:rPr>
          <w:sz w:val="20"/>
          <w:szCs w:val="20"/>
          <w:color w:val="auto"/>
        </w:rPr>
      </w:pPr>
    </w:p>
    <w:p>
      <w:pPr>
        <w:ind w:left="240" w:right="100" w:firstLine="431"/>
        <w:spacing w:after="0" w:line="251" w:lineRule="auto"/>
        <w:rPr>
          <w:sz w:val="20"/>
          <w:szCs w:val="20"/>
          <w:color w:val="auto"/>
        </w:rPr>
      </w:pPr>
      <w:r>
        <w:rPr>
          <w:rFonts w:ascii="Times New Roman" w:cs="Times New Roman" w:eastAsia="Times New Roman" w:hAnsi="Times New Roman"/>
          <w:sz w:val="18"/>
          <w:szCs w:val="18"/>
          <w:color w:val="auto"/>
        </w:rPr>
        <w:t>Pursuant to the relevant loan agreements, the Group’s relevant PRC subsidiaries have granted interest-free loans to the relevant Nominee Shareholders of the VIEs with the sole purpose of providing funds necessary for the capital injection to the relevant VIEs. The loans for initial and subsequent capital injections are eliminated with the capital of the relevant VIEs during consolidation. The Group’s relevant PRC subsidiaries can require the Nominee Shareholders to settle the loan amount with the equity interests of the relevant VIEs, subject to any applicable PRC laws, rules and regulations. The loan agreements are renewable upon expiration.</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20"/>
          </w:cols>
          <w:pgMar w:left="320" w:top="476" w:right="5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6680" w:hanging="430"/>
        <w:spacing w:after="0" w:line="390" w:lineRule="auto"/>
        <w:tabs>
          <w:tab w:leader="none" w:pos="652"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Principal activities and organization (Continued) </w:t>
      </w:r>
      <w:r>
        <w:rPr>
          <w:rFonts w:ascii="Times New Roman" w:cs="Times New Roman" w:eastAsia="Times New Roman" w:hAnsi="Times New Roman"/>
          <w:sz w:val="17"/>
          <w:szCs w:val="17"/>
          <w:b w:val="1"/>
          <w:bCs w:val="1"/>
          <w:i w:val="1"/>
          <w:iCs w:val="1"/>
          <w:color w:val="auto"/>
        </w:rPr>
        <w:t>Exclusive purchase option agreements</w:t>
      </w:r>
    </w:p>
    <w:p>
      <w:pPr>
        <w:spacing w:after="0" w:line="1" w:lineRule="exact"/>
        <w:rPr>
          <w:sz w:val="20"/>
          <w:szCs w:val="20"/>
          <w:color w:val="auto"/>
        </w:rPr>
      </w:pPr>
    </w:p>
    <w:p>
      <w:pPr>
        <w:jc w:val="both"/>
        <w:ind w:left="240" w:right="60" w:firstLine="431"/>
        <w:spacing w:after="0" w:line="251" w:lineRule="auto"/>
        <w:rPr>
          <w:sz w:val="20"/>
          <w:szCs w:val="20"/>
          <w:color w:val="auto"/>
        </w:rPr>
      </w:pPr>
      <w:r>
        <w:rPr>
          <w:rFonts w:ascii="Times New Roman" w:cs="Times New Roman" w:eastAsia="Times New Roman" w:hAnsi="Times New Roman"/>
          <w:sz w:val="18"/>
          <w:szCs w:val="18"/>
          <w:color w:val="auto"/>
        </w:rPr>
        <w:t>The Nominee Shareholders of the VIEs have granted the Group’s relevant PRC subsidiaries the exclusive and irrevocable rights to purchase from the Nominee Shareholders, to the extent permitted under the PRC laws and regulations, part or all of the equity interests in these entities for a purchase price equal to the lowest price permitted by the PRC laws and regulations. The Group’s relevant PRC subsidiaries may exercise such option at any time. In addition, the VIEs and their Nominee Shareholders have agreed that without prior written consent of the Group’s relevant PRC subsidiaries, they will not transfer or otherwise dispose the equity interests or declare any dividend.</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technology consulting and services agreements or exclusive business cooperation agreements</w:t>
      </w:r>
    </w:p>
    <w:p>
      <w:pPr>
        <w:spacing w:after="0" w:line="220"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The Group’s relevant PRC subsidiaries and relevant VIEs entered into exclusive technology consulting and services agreements or exclusive business cooperation agreements, as applicable, under which the relevant VIEs engage the Group’s relevant PRC subsidiaries as their exclusive provider of technical platform and technical support, business support, maintenance and other services. The VIEs shall pay to the Group’s relevant PRC subsidiaries service fees determined based on the volume and market price of the service provided. All the benefits and interests generated from the agreements, including but not limited to intellectual property rights, know-how and trade secrets, will be the Group’s relevant PRC subsidiaries’ sole and exclusive rights. During the term of the agreements, the relevant VIEs may not enter into any agreement with third parties for the provision of identical or similar services without prior consent of the Group’s relevant PRC subsidiaries.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pledge agreements</w:t>
      </w:r>
    </w:p>
    <w:p>
      <w:pPr>
        <w:spacing w:after="0" w:line="220" w:lineRule="exact"/>
        <w:rPr>
          <w:sz w:val="20"/>
          <w:szCs w:val="20"/>
          <w:color w:val="auto"/>
        </w:rPr>
      </w:pPr>
    </w:p>
    <w:p>
      <w:pPr>
        <w:ind w:left="240" w:right="20" w:firstLine="431"/>
        <w:spacing w:after="0" w:line="249" w:lineRule="auto"/>
        <w:rPr>
          <w:sz w:val="20"/>
          <w:szCs w:val="20"/>
          <w:color w:val="auto"/>
        </w:rPr>
      </w:pPr>
      <w:r>
        <w:rPr>
          <w:rFonts w:ascii="Times New Roman" w:cs="Times New Roman" w:eastAsia="Times New Roman" w:hAnsi="Times New Roman"/>
          <w:sz w:val="18"/>
          <w:szCs w:val="18"/>
          <w:color w:val="auto"/>
        </w:rPr>
        <w:t>Pursuant to the relevant equity pledge agreements, the Nominee Shareholders of the VIEs have pledged all of their equity interests in the relevant VIEs to the Group’s relevant PRC subsidiaries as collateral for all of their payments due to the Group’s relevant PRC subsidiaries and to secure their obligations under the above agreements. The Nominee Shareholders may not transfer or assign the equity interests, the rights and obligations in the equity pledge agreements or create or permit to create any pledges which may have an adverse effect on the rights or benefits of the Group’s relevant PRC subsidiaries without the Group’s relevant PRC subsidiaries’ preapproval. The Group’s relevant PRC subsidiaries are entitled to transfer or assign in full or in part the equity interests pledged. In the event of default, the Group’s relevant PRC subsidiaries as the pledgee, will be entitled to request immediate repayment of the loans or to dispose of the pledged equity interests through transfer or assignment.</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220" w:lineRule="exact"/>
        <w:rPr>
          <w:sz w:val="20"/>
          <w:szCs w:val="20"/>
          <w:color w:val="auto"/>
        </w:rPr>
      </w:pPr>
    </w:p>
    <w:p>
      <w:pPr>
        <w:ind w:left="240" w:right="160" w:firstLine="431"/>
        <w:spacing w:after="0" w:line="250" w:lineRule="auto"/>
        <w:rPr>
          <w:sz w:val="20"/>
          <w:szCs w:val="20"/>
          <w:color w:val="auto"/>
        </w:rPr>
      </w:pPr>
      <w:r>
        <w:rPr>
          <w:rFonts w:ascii="Times New Roman" w:cs="Times New Roman" w:eastAsia="Times New Roman" w:hAnsi="Times New Roman"/>
          <w:sz w:val="18"/>
          <w:szCs w:val="18"/>
          <w:color w:val="auto"/>
        </w:rPr>
        <w:t>Pursuant to the irrevocable powers of attorney, each of the Nominee Shareholders appointed any person designated by the Group’s relevant PRC subsidiaries as their attorney-in-fact to exercise all shareholder rights under the PRC laws and the relevant articles of association, including but not limited to, voting on their behalf on all matters requiring shareholder approval, disposing of all or part of the Nominee Shareholders’ equity interests, and electing, appointing or removing directors and the general managers of the VIEs. Each power of attorney will remain in force during the period when the Nominee Shareholders continue to be the shareholders of the VIEs. Each of the Nominee Shareholders has waived all the rights which have been authorized to the person designated by the Group’s relevant PRC subsidiaries under each power of attorney.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operation agreements</w:t>
      </w:r>
    </w:p>
    <w:p>
      <w:pPr>
        <w:spacing w:after="0" w:line="220" w:lineRule="exact"/>
        <w:rPr>
          <w:sz w:val="20"/>
          <w:szCs w:val="20"/>
          <w:color w:val="auto"/>
        </w:rPr>
      </w:pPr>
    </w:p>
    <w:p>
      <w:pPr>
        <w:ind w:left="240" w:right="160" w:firstLine="431"/>
        <w:spacing w:after="0" w:line="253" w:lineRule="auto"/>
        <w:rPr>
          <w:sz w:val="20"/>
          <w:szCs w:val="20"/>
          <w:color w:val="auto"/>
        </w:rPr>
      </w:pPr>
      <w:r>
        <w:rPr>
          <w:rFonts w:ascii="Times New Roman" w:cs="Times New Roman" w:eastAsia="Times New Roman" w:hAnsi="Times New Roman"/>
          <w:sz w:val="18"/>
          <w:szCs w:val="18"/>
          <w:color w:val="auto"/>
        </w:rPr>
        <w:t>Pursuant to the business operation agreements, the relevant Nominee Shareholders of the VIEs must appoint the candidates nominated by the Group’s relevant PRC subsidiaries to be the directors on the VIEs’ board of directors in accordance with applicable laws and the articles of association of the VIEs, and must cause the persons recommended by the Group’s relevant PRC subsidiaries to be appointed as the VIEs’ general manager, chief financial officer and other senior executives.</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76" w:right="5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6680" w:hanging="430"/>
        <w:spacing w:after="0" w:line="390" w:lineRule="auto"/>
        <w:tabs>
          <w:tab w:leader="none" w:pos="652"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Principal activities and organization (Continued) </w:t>
      </w:r>
      <w:r>
        <w:rPr>
          <w:rFonts w:ascii="Times New Roman" w:cs="Times New Roman" w:eastAsia="Times New Roman" w:hAnsi="Times New Roman"/>
          <w:sz w:val="17"/>
          <w:szCs w:val="17"/>
          <w:b w:val="1"/>
          <w:bCs w:val="1"/>
          <w:i w:val="1"/>
          <w:iCs w:val="1"/>
          <w:color w:val="auto"/>
        </w:rPr>
        <w:t>Risks in relations to the VIE structure</w:t>
      </w:r>
    </w:p>
    <w:p>
      <w:pPr>
        <w:spacing w:after="0" w:line="1"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The Company believes that the contractual arrangements among its subsidiaries, the VIEs and their owners are in compliance with the current PRC laws and legally enforceable. However, uncertainties in the interpretation and enforcement of the PRC laws, regulations and policies could limit the Company’s ability to enforce these contractual arrangements. As a result, the Company may be unable to consolidate the VIEs and VIEs’ subsidiaries in the consolidated financial statements in the future. The Company’s ability to control the VIEs also depends on the authorization by the shareholders of the VIEs to exercise voting rights on all matters requiring shareholders’ approval in the VIEs. The Company believes that the agreements on authorization to exercise shareholders’ voting power are legally enforceable. In addition, if the legal structure and contractual arrangements with the VIEs are found to be in violation of any future PRC laws and regulations, the Company may be subject to fines or potentially be forced to relinquish Company’s interests in those operations.</w:t>
      </w:r>
    </w:p>
    <w:p>
      <w:pPr>
        <w:spacing w:after="0" w:line="193" w:lineRule="exact"/>
        <w:rPr>
          <w:sz w:val="20"/>
          <w:szCs w:val="20"/>
          <w:color w:val="auto"/>
        </w:rPr>
      </w:pPr>
    </w:p>
    <w:p>
      <w:pPr>
        <w:ind w:left="240" w:right="100" w:firstLine="431"/>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assets, liabilities, results of operations and changes in cash, cash equivalents, and restricted cash of the consolidated VIEs (where appropriate, the term “VIEs” also refers to its subsidiaries as a whole) structured by the Contractual Agreements, which have eliminated the intercompany transactions within the consolidated VIEs:</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86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jc w:val="right"/>
              <w:ind w:right="38"/>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860" w:type="dxa"/>
            <w:vAlign w:val="bottom"/>
          </w:tcPr>
          <w:p>
            <w:pPr>
              <w:spacing w:after="0"/>
              <w:rPr>
                <w:sz w:val="12"/>
                <w:szCs w:val="12"/>
                <w:color w:val="auto"/>
              </w:rPr>
            </w:pPr>
          </w:p>
        </w:tc>
        <w:tc>
          <w:tcPr>
            <w:tcW w:w="1280" w:type="dxa"/>
            <w:vAlign w:val="bottom"/>
            <w:gridSpan w:val="2"/>
          </w:tcPr>
          <w:p>
            <w:pPr>
              <w:ind w:left="1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60" w:type="dxa"/>
            <w:vAlign w:val="bottom"/>
          </w:tcPr>
          <w:p>
            <w:pPr>
              <w:spacing w:after="0"/>
              <w:rPr>
                <w:sz w:val="12"/>
                <w:szCs w:val="12"/>
                <w:color w:val="auto"/>
              </w:rPr>
            </w:pPr>
          </w:p>
        </w:tc>
      </w:tr>
      <w:tr>
        <w:trPr>
          <w:trHeight w:val="21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85,451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64,501</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71,509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58,143</w:t>
            </w:r>
          </w:p>
        </w:tc>
      </w:tr>
    </w:tbl>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240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66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2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6"/>
          </w:tcPr>
          <w:p>
            <w:pPr>
              <w:jc w:val="center"/>
              <w:ind w:left="324"/>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7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145,795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173,149</w:t>
            </w:r>
          </w:p>
        </w:tc>
        <w:tc>
          <w:tcPr>
            <w:tcW w:w="60" w:type="dxa"/>
            <w:vAlign w:val="bottom"/>
            <w:shd w:val="clear" w:color="auto" w:fill="CCEEFF"/>
          </w:tcPr>
          <w:p>
            <w:pPr>
              <w:spacing w:after="0"/>
              <w:rPr>
                <w:sz w:val="18"/>
                <w:szCs w:val="18"/>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60" w:type="dxa"/>
            <w:vAlign w:val="bottom"/>
          </w:tcPr>
          <w:p>
            <w:pPr>
              <w:spacing w:after="0"/>
              <w:rPr>
                <w:sz w:val="19"/>
                <w:szCs w:val="19"/>
                <w:color w:val="auto"/>
              </w:rPr>
            </w:pPr>
          </w:p>
        </w:tc>
      </w:tr>
      <w:tr>
        <w:trPr>
          <w:trHeight w:val="366"/>
        </w:trPr>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52"/>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7"/>
          </w:tcPr>
          <w:p>
            <w:pPr>
              <w:jc w:val="right"/>
              <w:ind w:right="435"/>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gridSpan w:val="2"/>
          </w:tcPr>
          <w:p>
            <w:pPr>
              <w:spacing w:after="0"/>
              <w:rPr>
                <w:sz w:val="12"/>
                <w:szCs w:val="12"/>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(3,482)</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(9,782)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(12,805)</w:t>
            </w:r>
          </w:p>
        </w:tc>
        <w:tc>
          <w:tcPr>
            <w:tcW w:w="60" w:type="dxa"/>
            <w:vAlign w:val="bottom"/>
            <w:shd w:val="clear" w:color="auto" w:fill="CCEEFF"/>
          </w:tcPr>
          <w:p>
            <w:pPr>
              <w:spacing w:after="0"/>
              <w:rPr>
                <w:sz w:val="18"/>
                <w:szCs w:val="18"/>
                <w:color w:val="auto"/>
              </w:rPr>
            </w:pPr>
          </w:p>
        </w:tc>
      </w:tr>
      <w:tr>
        <w:trPr>
          <w:trHeight w:val="21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(2,296)</w:t>
            </w: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40" w:firstLine="431"/>
        <w:spacing w:after="0" w:line="267" w:lineRule="auto"/>
        <w:rPr>
          <w:sz w:val="20"/>
          <w:szCs w:val="20"/>
          <w:color w:val="auto"/>
        </w:rPr>
      </w:pPr>
      <w:r>
        <w:rPr>
          <w:rFonts w:ascii="Times New Roman" w:cs="Times New Roman" w:eastAsia="Times New Roman" w:hAnsi="Times New Roman"/>
          <w:sz w:val="17"/>
          <w:szCs w:val="17"/>
          <w:color w:val="auto"/>
        </w:rPr>
        <w:t>As of December 31, 2024 and 2025, the total assets of the consolidated VIEs excluding the intra-company balances and transactions within the Group were RMB83,392 million and RMB62,964 million, respectively, which were consisting of cash and cash equivalents, restricted cash, short-term investments, accounts receivable, net, inventories, net, marketable securities and other investments, investments in equity investees, property, equipment and software, net, operating lease right-of-use assets and prepayments and other assets. As of December 31, 2024 and 2025, the total liabilities of the consolidated VIEs after eliminating the intra-company balances and transactions within the Group were RMB42,197 million and RMB36,482 million, respectively, which were consisting of short-term debts, accounts payable, operating lease liabilities, accrued expenses and other liabilities.</w:t>
      </w:r>
    </w:p>
    <w:p>
      <w:pPr>
        <w:spacing w:after="0" w:line="176" w:lineRule="exact"/>
        <w:rPr>
          <w:sz w:val="20"/>
          <w:szCs w:val="20"/>
          <w:color w:val="auto"/>
        </w:rPr>
      </w:pPr>
    </w:p>
    <w:p>
      <w:pPr>
        <w:ind w:left="240" w:right="160" w:firstLine="431"/>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the total net revenues of the consolidated VIEs were RMB85,140 million, RMB101,218 million and RMB88,489 million, respectively, which have been reflected in the Group’s consolidated financial statements with the intra-company transactions within the Group eliminated.</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20"/>
          </w:cols>
          <w:pgMar w:left="320" w:top="476" w:right="5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jc w:val="both"/>
        <w:ind w:left="660" w:right="6660" w:hanging="430"/>
        <w:spacing w:after="0" w:line="390" w:lineRule="auto"/>
        <w:tabs>
          <w:tab w:leader="none" w:pos="652"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Principal activities and organization (Continued) </w:t>
      </w:r>
      <w:r>
        <w:rPr>
          <w:rFonts w:ascii="Times New Roman" w:cs="Times New Roman" w:eastAsia="Times New Roman" w:hAnsi="Times New Roman"/>
          <w:sz w:val="17"/>
          <w:szCs w:val="17"/>
          <w:b w:val="1"/>
          <w:bCs w:val="1"/>
          <w:i w:val="1"/>
          <w:iCs w:val="1"/>
          <w:color w:val="auto"/>
        </w:rPr>
        <w:t>Risks in relations to the VIE structure (Continued)</w:t>
      </w:r>
    </w:p>
    <w:p>
      <w:pPr>
        <w:spacing w:after="0" w:line="1" w:lineRule="exact"/>
        <w:rPr>
          <w:sz w:val="20"/>
          <w:szCs w:val="20"/>
          <w:color w:val="auto"/>
        </w:rPr>
      </w:pPr>
    </w:p>
    <w:p>
      <w:pPr>
        <w:ind w:left="240" w:right="220" w:firstLine="423"/>
        <w:spacing w:after="0" w:line="249" w:lineRule="auto"/>
        <w:rPr>
          <w:sz w:val="20"/>
          <w:szCs w:val="20"/>
          <w:color w:val="auto"/>
        </w:rPr>
      </w:pPr>
      <w:r>
        <w:rPr>
          <w:rFonts w:ascii="Times New Roman" w:cs="Times New Roman" w:eastAsia="Times New Roman" w:hAnsi="Times New Roman"/>
          <w:sz w:val="18"/>
          <w:szCs w:val="18"/>
          <w:color w:val="auto"/>
        </w:rPr>
        <w:t>In accordance with the Contractual Agreements, the Group’s relevant PRC subsidiaries have the power to direct activities of the consolidated VIEs, and can have assets transferred out of the consolidated VIEs. Therefore, the Group’s relevant PRC subsidiaries consider that there is no asset in the consolidated VIEs that can be used only to settle their obligations except for registered capitals and the PRC statutory reserves of the consolidated VIEs amounting to RMB3,397 million as of December 31, 2025. As the consolidated VIEs are incorporated as limited liability companies under the PRC Company Law, the creditors do not have recourse to the general credit of the Group’s relevant PRC subsidiaries for all the liabilities of the consolidated VIEs. As of December 31, 2024 and 2025, the total shareholders’ equity of the consolidated VIEs was RMB13,942 million and RMB6,358 million, respectively.</w:t>
      </w:r>
    </w:p>
    <w:p>
      <w:pPr>
        <w:spacing w:after="0" w:line="189"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Currently there is no contractual arrangement that could require the Group’s relevant PRC subsidiaries or the Group to provide additional financial support to the consolidated VIEs. As the Group conducts certain businesses in the Chinese mainland through the consolidated VIEs, the Group may provide additional financial support on a discretionary basis in the future, which could expose the Group to a loss.</w:t>
      </w:r>
    </w:p>
    <w:p>
      <w:pPr>
        <w:spacing w:after="0" w:line="322" w:lineRule="exact"/>
        <w:rPr>
          <w:sz w:val="20"/>
          <w:szCs w:val="20"/>
          <w:color w:val="auto"/>
        </w:rPr>
      </w:pPr>
    </w:p>
    <w:p>
      <w:pPr>
        <w:ind w:left="660" w:hanging="430"/>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Basis of presentation</w:t>
      </w:r>
    </w:p>
    <w:p>
      <w:pPr>
        <w:spacing w:after="0" w:line="114" w:lineRule="exact"/>
        <w:rPr>
          <w:sz w:val="20"/>
          <w:szCs w:val="20"/>
          <w:color w:val="auto"/>
        </w:rPr>
      </w:pPr>
    </w:p>
    <w:p>
      <w:pPr>
        <w:ind w:left="240" w:right="180" w:firstLine="431"/>
        <w:spacing w:after="0" w:line="280" w:lineRule="auto"/>
        <w:rPr>
          <w:sz w:val="20"/>
          <w:szCs w:val="20"/>
          <w:color w:val="auto"/>
        </w:rPr>
      </w:pPr>
      <w:r>
        <w:rPr>
          <w:rFonts w:ascii="Times New Roman" w:cs="Times New Roman" w:eastAsia="Times New Roman" w:hAnsi="Times New Roman"/>
          <w:sz w:val="17"/>
          <w:szCs w:val="17"/>
          <w:color w:val="auto"/>
        </w:rPr>
        <w:t>The consolidated financial statements of the Group have been prepared in accordance with the accounting principles generally accepted in the United States of America (“U.S. GAAP”). Significant accounting policies followed by the Group in the preparation of the accompanying consolidated financial statements are summarized below. All amounts, except for share, per share data or otherwise noted, are rounded to the nearest million.</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114" w:lineRule="exact"/>
        <w:rPr>
          <w:sz w:val="20"/>
          <w:szCs w:val="20"/>
          <w:color w:val="auto"/>
        </w:rPr>
      </w:pPr>
    </w:p>
    <w:p>
      <w:pPr>
        <w:ind w:left="240" w:right="60" w:firstLine="431"/>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and the consolidated VIEs for which the Company is the ultimate primary beneficiary. 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85" w:lineRule="exact"/>
        <w:rPr>
          <w:sz w:val="20"/>
          <w:szCs w:val="20"/>
          <w:color w:val="auto"/>
        </w:rPr>
      </w:pPr>
    </w:p>
    <w:p>
      <w:pPr>
        <w:jc w:val="both"/>
        <w:ind w:left="240" w:right="100" w:firstLine="431"/>
        <w:spacing w:after="0" w:line="300" w:lineRule="auto"/>
        <w:rPr>
          <w:sz w:val="20"/>
          <w:szCs w:val="20"/>
          <w:color w:val="auto"/>
        </w:rPr>
      </w:pPr>
      <w:r>
        <w:rPr>
          <w:rFonts w:ascii="Times New Roman" w:cs="Times New Roman" w:eastAsia="Times New Roman" w:hAnsi="Times New Roman"/>
          <w:sz w:val="17"/>
          <w:szCs w:val="17"/>
          <w:color w:val="auto"/>
        </w:rPr>
        <w:t>A consolidated VIE is an entity in which the Company, or its subsidiaries, through the Contractual Arrangements, bear the risks of, and enjoy the rewards normally associated with, ownership of the entity, and therefore the Company or its subsidiaries are the primary beneficiary of the entity.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transactions and balances among the Company, its subsidiaries and the consolidated VIEs have been eliminated upon consolidation.</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 Reclassifications</w:t>
      </w:r>
    </w:p>
    <w:p>
      <w:pPr>
        <w:spacing w:after="0" w:line="114" w:lineRule="exact"/>
        <w:rPr>
          <w:sz w:val="20"/>
          <w:szCs w:val="20"/>
          <w:color w:val="auto"/>
        </w:rPr>
      </w:pPr>
    </w:p>
    <w:p>
      <w:pPr>
        <w:jc w:val="both"/>
        <w:ind w:left="240" w:right="80" w:firstLine="431"/>
        <w:spacing w:after="0" w:line="270"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These reclassifications had no impact on net income, shareholders’ equity, or cash flows as previously reported.</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 Non-controlling interests</w:t>
      </w:r>
    </w:p>
    <w:p>
      <w:pPr>
        <w:spacing w:after="0" w:line="114" w:lineRule="exact"/>
        <w:rPr>
          <w:sz w:val="20"/>
          <w:szCs w:val="20"/>
          <w:color w:val="auto"/>
        </w:rPr>
      </w:pPr>
    </w:p>
    <w:p>
      <w:pPr>
        <w:jc w:val="both"/>
        <w:ind w:left="240" w:right="100" w:firstLine="431"/>
        <w:spacing w:after="0" w:line="250" w:lineRule="auto"/>
        <w:rPr>
          <w:sz w:val="20"/>
          <w:szCs w:val="20"/>
          <w:color w:val="auto"/>
        </w:rPr>
      </w:pPr>
      <w:r>
        <w:rPr>
          <w:rFonts w:ascii="Times New Roman" w:cs="Times New Roman" w:eastAsia="Times New Roman" w:hAnsi="Times New Roman"/>
          <w:sz w:val="18"/>
          <w:szCs w:val="18"/>
          <w:color w:val="auto"/>
        </w:rPr>
        <w:t>For the Company’s subsidiaries and consolidated VIEs, non-controlling interests are recognized to reflect the portion of their equity that is not attributable, directly or indirectly, to the Company as the controlling shareholder. Non-controlling interests are classified as a separate line item in the equity section of the Group’s consolidated balance sheets and have been separately disclosed in the Group’s consolidated statements of operations and comprehensive income to distinguish the interests from that of the Company. With respect to impairment losses of goodwill and intangible assets of the Company’s subsidiaries and consolidated VIEs, the Company attributes impairment losses on the basis of the relative ownership interests of the parent and non-controlling shareholders.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00"/>
          </w:cols>
          <w:pgMar w:left="320" w:top="476" w:right="5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 Use of estimates</w:t>
      </w:r>
    </w:p>
    <w:p>
      <w:pPr>
        <w:spacing w:after="0" w:line="114" w:lineRule="exact"/>
        <w:rPr>
          <w:sz w:val="20"/>
          <w:szCs w:val="20"/>
          <w:color w:val="auto"/>
        </w:rPr>
      </w:pPr>
    </w:p>
    <w:p>
      <w:pPr>
        <w:ind w:left="240" w:right="20" w:firstLine="431"/>
        <w:spacing w:after="0" w:line="24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related disclosures of contingent liabilities at the balance sheet date, and the reported revenues and expenses during the reported period in the consolidated financial statements and accompanying notes. Significant accounting estimates are used for, but not limited to, returns allowance, vendor rebates, taxation, fair value of assets and liabilities acquired in business combinations, fair value of certain equity investees, assessment for impairment of long-lived assets and goodwill, investments in equity investees, allowance for doubtful accounts including expected credit losses, inventory reserve for excess and obsolete inventories, lower of cost and net realizable value of inventories, depreciable lives of property, equipment and software, useful lives of intangible assets and the discount rate for lease. Actual results may differ materially from those estimates.</w:t>
      </w:r>
    </w:p>
    <w:p>
      <w:pPr>
        <w:spacing w:after="0" w:line="2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 Foreign currency translation</w:t>
      </w:r>
    </w:p>
    <w:p>
      <w:pPr>
        <w:spacing w:after="0" w:line="114" w:lineRule="exact"/>
        <w:rPr>
          <w:sz w:val="20"/>
          <w:szCs w:val="20"/>
          <w:color w:val="auto"/>
        </w:rPr>
      </w:pPr>
    </w:p>
    <w:p>
      <w:pPr>
        <w:ind w:left="240" w:right="120" w:firstLine="431"/>
        <w:spacing w:after="0" w:line="253" w:lineRule="auto"/>
        <w:rPr>
          <w:sz w:val="20"/>
          <w:szCs w:val="20"/>
          <w:color w:val="auto"/>
        </w:rPr>
      </w:pPr>
      <w:r>
        <w:rPr>
          <w:rFonts w:ascii="Times New Roman" w:cs="Times New Roman" w:eastAsia="Times New Roman" w:hAnsi="Times New Roman"/>
          <w:sz w:val="18"/>
          <w:szCs w:val="18"/>
          <w:color w:val="auto"/>
        </w:rPr>
        <w:t xml:space="preserve">The Group’s reporting currency is Renminbi (“RMB”) as the major operations of the Group are within the PRC. The functional currency of the Company is the U.S. dollars (“US$”). The Group’s PRC subsidiaries and consolidated VIEs generally determined their functional currency to be RMB. The Group’s subsidiaries and consolidated VIEs determined their functional currencies based on the criteria of ASC Topic 830,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240" w:right="40" w:firstLine="431"/>
        <w:spacing w:after="0" w:line="253" w:lineRule="auto"/>
        <w:rPr>
          <w:sz w:val="20"/>
          <w:szCs w:val="20"/>
          <w:color w:val="auto"/>
        </w:rPr>
      </w:pPr>
      <w:r>
        <w:rPr>
          <w:rFonts w:ascii="Times New Roman" w:cs="Times New Roman" w:eastAsia="Times New Roman" w:hAnsi="Times New Roman"/>
          <w:sz w:val="18"/>
          <w:szCs w:val="18"/>
          <w:color w:val="auto"/>
        </w:rPr>
        <w:t>Transactions denominated in currencies other than functional currency are translated into functional currency at the exchange rates quoted by authoritative banks prevailing at the dates of the transactions. Exchange gains and losses resulting from those foreign currency transactions denominated in a currency other than the functional currency are recorded as a component of “others, net” in the consolidated statements of operations and comprehensive income.</w:t>
      </w:r>
    </w:p>
    <w:p>
      <w:pPr>
        <w:spacing w:after="0" w:line="185" w:lineRule="exact"/>
        <w:rPr>
          <w:sz w:val="20"/>
          <w:szCs w:val="20"/>
          <w:color w:val="auto"/>
        </w:rPr>
      </w:pPr>
    </w:p>
    <w:p>
      <w:pPr>
        <w:ind w:left="240" w:right="140" w:firstLine="431"/>
        <w:spacing w:after="0" w:line="251" w:lineRule="auto"/>
        <w:rPr>
          <w:sz w:val="20"/>
          <w:szCs w:val="20"/>
          <w:color w:val="auto"/>
        </w:rPr>
      </w:pPr>
      <w:r>
        <w:rPr>
          <w:rFonts w:ascii="Times New Roman" w:cs="Times New Roman" w:eastAsia="Times New Roman" w:hAnsi="Times New Roman"/>
          <w:sz w:val="18"/>
          <w:szCs w:val="18"/>
          <w:color w:val="auto"/>
        </w:rPr>
        <w:t>The consolidated financial statements of the Group are translated from the functional currency into RMB. Assets and liabilities denominated in foreign currencies are translated into RMB using the applicable exchange rates at the balance sheet date. Equity accounts other than earnings generated in the current year are translated into RMB at the appropriate historical rates. Revenues, expenses, gains and losses are translated into RMB using the periodic average exchange rates. The resulting foreign currency translation adjustments are recorded in “accumulated other comprehensive income/(loss)” as a component of shareholders’ equity.</w:t>
      </w:r>
    </w:p>
    <w:p>
      <w:pPr>
        <w:spacing w:after="0" w:line="187"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The Company designates certain non-derivative instruments to hedge its net investments in certain foreign operations, to manage exposure in exchange rates. In December 2023, the Company designated the principal of its 8.3 billion of RMB denominated debt to hedge its $US denominated net investment in a certain subsidiary with functional currency of RMB. The portion of the gain or loss on the hedging instrument that is determined to be effective, referring to the exchange rate effect, is recognized directly in equity in “accumulated other comprehensive income/(loss)”, net of income taxes, while the ineffective portion and the operating costs are recognized in the consolidated statements of operations and comprehensive income. For the years ended December 31, 2023, 2024 and 2025, the net investment hedge is deemed to be perfectly effective. The gain or loss on the hedging instrument that has been recognized directly in “accumulated other comprehensive income/(loss)” shall be recognized in the consolidated statements of operations and comprehensive income when the disposal of the foreign subsidiary occurs. The Group also holds certain foreign currency forward contracts with an intention to offset the exposure to the changes in value of certain foreign currency denominated assets or/and liabilities, but not all of them are designated as hedges accounting. Please refer to Note 2(j).</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 Convenience translation</w:t>
      </w:r>
    </w:p>
    <w:p>
      <w:pPr>
        <w:spacing w:after="0" w:line="114" w:lineRule="exact"/>
        <w:rPr>
          <w:sz w:val="20"/>
          <w:szCs w:val="20"/>
          <w:color w:val="auto"/>
        </w:rPr>
      </w:pPr>
    </w:p>
    <w:p>
      <w:pPr>
        <w:ind w:left="240" w:right="100" w:firstLine="431"/>
        <w:spacing w:after="0" w:line="251" w:lineRule="auto"/>
        <w:rPr>
          <w:sz w:val="20"/>
          <w:szCs w:val="20"/>
          <w:color w:val="auto"/>
        </w:rPr>
      </w:pPr>
      <w:r>
        <w:rPr>
          <w:rFonts w:ascii="Times New Roman" w:cs="Times New Roman" w:eastAsia="Times New Roman" w:hAnsi="Times New Roman"/>
          <w:sz w:val="18"/>
          <w:szCs w:val="18"/>
          <w:color w:val="auto"/>
        </w:rPr>
        <w:t>Translations of the consolidated balance sheets, the consolidated statements of operations and comprehensive income and the consolidated statements of cash flows from RMB into US$ as of and for the year ended December 31, 2025 are solely for the convenience of the readers and were calculated at the rate of US$1.00=RMB6.9931, representing the noon buying rate set forth in the H.10 statistical release of the U.S. Federal Reserve Board on December 31, 2025. No representation is made that the RMB amounts could have been, or could be, converted, realized or settled into US$ at that rate on December 31, 2025, or at any other rate.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20"/>
          </w:cols>
          <w:pgMar w:left="320" w:top="476" w:right="5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 Cash and cash equivalents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cash equivalents primarily consist of cash on hand and time deposits which have original maturities of three months or less.</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 Restricted cash</w:t>
      </w:r>
    </w:p>
    <w:p>
      <w:pPr>
        <w:spacing w:after="0" w:line="114" w:lineRule="exact"/>
        <w:rPr>
          <w:sz w:val="20"/>
          <w:szCs w:val="20"/>
          <w:color w:val="auto"/>
        </w:rPr>
      </w:pPr>
    </w:p>
    <w:p>
      <w:pPr>
        <w:ind w:left="240" w:right="20" w:firstLine="431"/>
        <w:spacing w:after="0" w:line="258" w:lineRule="auto"/>
        <w:rPr>
          <w:sz w:val="20"/>
          <w:szCs w:val="20"/>
          <w:color w:val="auto"/>
        </w:rPr>
      </w:pPr>
      <w:r>
        <w:rPr>
          <w:rFonts w:ascii="Times New Roman" w:cs="Times New Roman" w:eastAsia="Times New Roman" w:hAnsi="Times New Roman"/>
          <w:sz w:val="18"/>
          <w:szCs w:val="18"/>
          <w:color w:val="auto"/>
        </w:rPr>
        <w:t>Cash that is restricted as to withdrawal or for use or pledged as security is reported separately on the face of the consolidated balance sheets, and is included in the “total cash, cash equivalents, and restricted cash” in the consolidated statements of cash flows. The Group’s restricted cash mainly includes security deposits held in designated bank accounts for issuance of bank acceptance and letter of guarantee.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 Short-term investments</w:t>
      </w:r>
    </w:p>
    <w:p>
      <w:pPr>
        <w:spacing w:after="0" w:line="114" w:lineRule="exact"/>
        <w:rPr>
          <w:sz w:val="20"/>
          <w:szCs w:val="20"/>
          <w:color w:val="auto"/>
        </w:rPr>
      </w:pPr>
    </w:p>
    <w:p>
      <w:pPr>
        <w:ind w:left="240" w:right="20" w:firstLine="431"/>
        <w:spacing w:after="0" w:line="247" w:lineRule="auto"/>
        <w:rPr>
          <w:sz w:val="20"/>
          <w:szCs w:val="20"/>
          <w:color w:val="auto"/>
        </w:rPr>
      </w:pPr>
      <w:r>
        <w:rPr>
          <w:rFonts w:ascii="Times New Roman" w:cs="Times New Roman" w:eastAsia="Times New Roman" w:hAnsi="Times New Roman"/>
          <w:sz w:val="18"/>
          <w:szCs w:val="18"/>
          <w:color w:val="auto"/>
        </w:rPr>
        <w:t xml:space="preserve">Short-term investments include wealth management products, time deposits placed with banks with original maturities longer than three months but less than one year and maturities less than one year, and foreign currency forward contract. Wealth management products are certain deposits with variable interest rates or principal not-guaranteed with certain financial institutions. The Group elects the fair value option to record wealth management products with variable interest rates as well as principal not guaranteed and deposits mainly indexed to foreign exchange with maturities less than one year at fair value in accordance with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Changes in the fair value are reflected in the consolidated statements of operations and comprehensive income. The Group also holds deposits that earn fixed interest rate return only if the Group hold the securities to maturity. As the Group has the positive intent and ability to hold the deposits to maturity, they are classified as held-to-maturity and recorded at amortized cost. The Group uses foreign currency forward contracts to offset the exposure to the change in value of certain foreign currency denominated assets or/and liabilities held at foreign subsidiaries that are remeasured at the end of each period. Foreign currency forward contracts which are not designated as hedges are recorded as assets or/and liabilities on the balance sheet at fair value, with changes in the fair value reflected in “others, net” in the consolidated statements of operations and comprehensive income.</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k. Accounts receivable, net</w:t>
      </w:r>
    </w:p>
    <w:p>
      <w:pPr>
        <w:spacing w:after="0" w:line="114" w:lineRule="exact"/>
        <w:rPr>
          <w:sz w:val="20"/>
          <w:szCs w:val="20"/>
          <w:color w:val="auto"/>
        </w:rPr>
      </w:pPr>
    </w:p>
    <w:p>
      <w:pPr>
        <w:ind w:left="240" w:right="440" w:firstLine="431"/>
        <w:spacing w:after="0" w:line="270" w:lineRule="auto"/>
        <w:rPr>
          <w:sz w:val="20"/>
          <w:szCs w:val="20"/>
          <w:color w:val="auto"/>
        </w:rPr>
      </w:pPr>
      <w:r>
        <w:rPr>
          <w:rFonts w:ascii="Times New Roman" w:cs="Times New Roman" w:eastAsia="Times New Roman" w:hAnsi="Times New Roman"/>
          <w:sz w:val="18"/>
          <w:szCs w:val="18"/>
          <w:color w:val="auto"/>
        </w:rPr>
        <w:t>Accounts receivable represents the amounts that the Group has an unconditional right to consideration, and are recorded net of allowance for doubtful accounts.</w:t>
      </w:r>
    </w:p>
    <w:p>
      <w:pPr>
        <w:spacing w:after="0" w:line="169" w:lineRule="exact"/>
        <w:rPr>
          <w:sz w:val="20"/>
          <w:szCs w:val="20"/>
          <w:color w:val="auto"/>
        </w:rPr>
      </w:pPr>
    </w:p>
    <w:p>
      <w:pPr>
        <w:ind w:left="240" w:right="20" w:firstLine="431"/>
        <w:spacing w:after="0" w:line="248" w:lineRule="auto"/>
        <w:rPr>
          <w:sz w:val="20"/>
          <w:szCs w:val="20"/>
          <w:color w:val="auto"/>
        </w:rPr>
      </w:pPr>
      <w:r>
        <w:rPr>
          <w:rFonts w:ascii="Times New Roman" w:cs="Times New Roman" w:eastAsia="Times New Roman" w:hAnsi="Times New Roman"/>
          <w:sz w:val="18"/>
          <w:szCs w:val="18"/>
          <w:color w:val="auto"/>
        </w:rPr>
        <w:t>The Group, in collaboration with Jingdong Technology Holding Co., Ltd. (“JD Technology”), provides consumer financing to the qualified customers in the online retail business, such consumer financing receivables are recorded as accounts receivable. Due to the legacy contractual arrangements with JD Technology, the Group remains as the legal owner of the consumer financing receivables, where JD Technology performs the related credit assessment and is obligated to purchase the consumer financing receivables past due over certain agreed period of time from the Group at carrying values to absorb the risks and obtain the returns from such financing arrangements. As such, no allowance for doubtful accounts were provided. The Group, in collaboration with JD Technology, periodically securitizes consumer financing receivables through the transfer of those assets to securitization vehicles. Please refer to Note 2(w). In addition, the Group transfers ownership of some of its accounts receivable originated from qualified corporate customers to JD Technology without recourse.</w:t>
      </w:r>
    </w:p>
    <w:p>
      <w:pPr>
        <w:spacing w:after="0" w:line="193"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Other than the accounts receivable arising from the consumer financing, the Group evaluates its accounts receivable for expected credit losses on a regular basis. The Group maintains an estimated allowance for credit losses to reduce its accounts receivable to the amount that it believes will be collected. The Group uses the length of time a balance has been outstanding, the payment history, creditworthiness and financial conditions of the customers and industry trend as credit quality indicators to monitor the Group’s receivables within the scope of expected credit losses model, along with reasonable and supportable forecasts as a basis to develop the Group’s expected loss estimates. The Group adjusts the allowance percentage periodically when there are significant differences between estimated bad debts and actual bad debts. If there is strong evidence indicating that the accounts receivable is likely to be unrecoverable, the Group also makes specific allowance in the period in which a loss is determined to be probable. Accounts receivable balances are written off after all collection efforts have been exhausted.</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20"/>
          </w:cols>
          <w:pgMar w:left="320" w:top="476" w:right="5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 Inventories, net</w:t>
      </w:r>
    </w:p>
    <w:p>
      <w:pPr>
        <w:spacing w:after="0" w:line="114" w:lineRule="exact"/>
        <w:rPr>
          <w:sz w:val="20"/>
          <w:szCs w:val="20"/>
          <w:color w:val="auto"/>
        </w:rPr>
      </w:pPr>
    </w:p>
    <w:p>
      <w:pPr>
        <w:ind w:left="240" w:right="40" w:firstLine="431"/>
        <w:spacing w:after="0" w:line="250" w:lineRule="auto"/>
        <w:rPr>
          <w:sz w:val="20"/>
          <w:szCs w:val="20"/>
          <w:color w:val="auto"/>
        </w:rPr>
      </w:pPr>
      <w:r>
        <w:rPr>
          <w:rFonts w:ascii="Times New Roman" w:cs="Times New Roman" w:eastAsia="Times New Roman" w:hAnsi="Times New Roman"/>
          <w:sz w:val="18"/>
          <w:szCs w:val="18"/>
          <w:color w:val="auto"/>
        </w:rPr>
        <w:t>Inventories, consisting of products available for sale, are stated at the lower of cost and net realizable value. Cost of inventories is mainly determined using the weighted average cost method. Adjustments are recorded to write down the cost of inventories to the estimated net realizable value due to slow-moving merchandise and damaged goods, which is dependent upon factors such as inventory aging, historical and forecasted consumer demand, and market conditions that impact pricing. The Group takes ownership, risks and rewards of the products purchased, but has arrangements to return unsold goods with certain vendors. Write downs are recorded in “cost of revenues” in the consolidated statements of operations and comprehensive income.</w:t>
      </w:r>
    </w:p>
    <w:p>
      <w:pPr>
        <w:spacing w:after="0" w:line="187" w:lineRule="exact"/>
        <w:rPr>
          <w:sz w:val="20"/>
          <w:szCs w:val="20"/>
          <w:color w:val="auto"/>
        </w:rPr>
      </w:pPr>
    </w:p>
    <w:p>
      <w:pPr>
        <w:ind w:left="240" w:right="720" w:firstLine="431"/>
        <w:spacing w:after="0" w:line="270" w:lineRule="auto"/>
        <w:rPr>
          <w:sz w:val="20"/>
          <w:szCs w:val="20"/>
          <w:color w:val="auto"/>
        </w:rPr>
      </w:pPr>
      <w:r>
        <w:rPr>
          <w:rFonts w:ascii="Times New Roman" w:cs="Times New Roman" w:eastAsia="Times New Roman" w:hAnsi="Times New Roman"/>
          <w:sz w:val="18"/>
          <w:szCs w:val="18"/>
          <w:color w:val="auto"/>
        </w:rPr>
        <w:t>The Group also provides fulfillment-related services in connection with the Group’s online marketplace. Third-party merchants maintain ownership of their inventories and therefore these products are not included in the Group’s inventories.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 Loan receivables, net</w:t>
      </w:r>
    </w:p>
    <w:p>
      <w:pPr>
        <w:spacing w:after="0" w:line="114" w:lineRule="exact"/>
        <w:rPr>
          <w:sz w:val="20"/>
          <w:szCs w:val="20"/>
          <w:color w:val="auto"/>
        </w:rPr>
      </w:pPr>
    </w:p>
    <w:p>
      <w:pPr>
        <w:ind w:left="240" w:right="100" w:firstLine="431"/>
        <w:spacing w:after="0" w:line="263" w:lineRule="auto"/>
        <w:rPr>
          <w:sz w:val="20"/>
          <w:szCs w:val="20"/>
          <w:color w:val="auto"/>
        </w:rPr>
      </w:pPr>
      <w:r>
        <w:rPr>
          <w:rFonts w:ascii="Times New Roman" w:cs="Times New Roman" w:eastAsia="Times New Roman" w:hAnsi="Times New Roman"/>
          <w:sz w:val="17"/>
          <w:szCs w:val="17"/>
          <w:color w:val="auto"/>
        </w:rPr>
        <w:t>Loan receivables represent the consumer financing, in collaboration with JD Technology, provided to qualified individual customers on the Group’s online marketplace. Due to the legacy contractual arrangements with JD Technology, the Group remains as the legal owner of the consumer financing receivables, including such loan receivables, where JD Technology performs the related credit assessment and absorbs the credit risks. The loan terms extended to the customers generally range from 1 month to 24 months. As JD Technology is obligated to purchase the receivables past due over certain agreed period of time from the Group at carrying values to absorb the credit risks, no provision for doubtful accounts was recorded for the years ended December 31, 2023, 2024 and 2025. The loan receivables were measured at amortized cost and reported in the consolidated balance sheets at outstanding principal. As of December 31, 2024 and 2025, the loan receivables with the collection period less than one year amounting to RMB1,279 million and RMB1,476 million, respectively, were classified into “prepayments and other current assets” in the consolidated balance sheets. As of December 31, 2024 and 2025, the loan receivables with the collection period over one year amounting to RMB373 million and RMB860 million, respectively, were classified into “other non-current assets” in the consolidated balance sheets. Cash paid for loan originations and cash received from loan repayments are classified as investing activities in the consolidated statements of cash flows. The Group, in collaboration with JD Technology, periodically securitizes loan receivables through the transfer of those assets to securitization vehicles, please refer to Note 2(w).</w:t>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 Property, equipment and software, net</w:t>
      </w:r>
    </w:p>
    <w:p>
      <w:pPr>
        <w:spacing w:after="0" w:line="114" w:lineRule="exact"/>
        <w:rPr>
          <w:sz w:val="20"/>
          <w:szCs w:val="20"/>
          <w:color w:val="auto"/>
        </w:rPr>
      </w:pPr>
    </w:p>
    <w:p>
      <w:pPr>
        <w:ind w:left="240" w:right="240" w:firstLine="431"/>
        <w:spacing w:after="0" w:line="258" w:lineRule="auto"/>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impairment. Property, equipment and software are depreciated at rates sufficient to write off their costs less impairment and residual value, if any, over the estimated useful lives on a straight-line basis. The estimated useful lives of major property, equipment and software are as follows:</w:t>
      </w:r>
    </w:p>
    <w:p>
      <w:pPr>
        <w:spacing w:after="0" w:line="199"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0" w:type="dxa"/>
            <w:vAlign w:val="bottom"/>
          </w:tcPr>
          <w:p>
            <w:pPr>
              <w:spacing w:after="0"/>
              <w:rPr>
                <w:sz w:val="1"/>
                <w:szCs w:val="1"/>
                <w:color w:val="auto"/>
              </w:rPr>
            </w:pPr>
          </w:p>
        </w:tc>
      </w:tr>
      <w:tr>
        <w:trPr>
          <w:trHeight w:val="180"/>
        </w:trPr>
        <w:tc>
          <w:tcPr>
            <w:tcW w:w="5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w w:val="72"/>
              </w:rPr>
              <w:t>Electronic</w:t>
            </w:r>
          </w:p>
        </w:tc>
        <w:tc>
          <w:tcPr>
            <w:tcW w:w="5040" w:type="dxa"/>
            <w:vAlign w:val="bottom"/>
          </w:tcPr>
          <w:p>
            <w:pPr>
              <w:ind w:left="200"/>
              <w:spacing w:after="0" w:line="180" w:lineRule="exact"/>
              <w:rPr>
                <w:sz w:val="20"/>
                <w:szCs w:val="20"/>
                <w:color w:val="auto"/>
              </w:rPr>
            </w:pPr>
            <w:r>
              <w:rPr>
                <w:rFonts w:ascii="Times New Roman" w:cs="Times New Roman" w:eastAsia="Times New Roman" w:hAnsi="Times New Roman"/>
                <w:sz w:val="18"/>
                <w:szCs w:val="18"/>
                <w:color w:val="auto"/>
              </w:rPr>
              <w:t>equipment</w:t>
            </w:r>
          </w:p>
        </w:tc>
        <w:tc>
          <w:tcPr>
            <w:tcW w:w="518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3-5 years</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 years</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Logistics, warehouse and other heavy equipment</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0" w:type="dxa"/>
            <w:vAlign w:val="bottom"/>
          </w:tcPr>
          <w:p>
            <w:pPr>
              <w:spacing w:after="0"/>
              <w:rPr>
                <w:sz w:val="1"/>
                <w:szCs w:val="1"/>
                <w:color w:val="auto"/>
              </w:rPr>
            </w:pPr>
          </w:p>
        </w:tc>
      </w:tr>
      <w:tr>
        <w:trPr>
          <w:trHeight w:val="212"/>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the shorter of the expected life of</w:t>
            </w:r>
          </w:p>
        </w:tc>
        <w:tc>
          <w:tcPr>
            <w:tcW w:w="0" w:type="dxa"/>
            <w:vAlign w:val="bottom"/>
          </w:tcPr>
          <w:p>
            <w:pPr>
              <w:spacing w:after="0"/>
              <w:rPr>
                <w:sz w:val="1"/>
                <w:szCs w:val="1"/>
                <w:color w:val="auto"/>
              </w:rPr>
            </w:pPr>
          </w:p>
        </w:tc>
      </w:tr>
      <w:tr>
        <w:trPr>
          <w:trHeight w:val="123"/>
        </w:trPr>
        <w:tc>
          <w:tcPr>
            <w:tcW w:w="5600" w:type="dxa"/>
            <w:vAlign w:val="bottom"/>
            <w:gridSpan w:val="2"/>
            <w:vMerge w:val="continue"/>
          </w:tcPr>
          <w:p>
            <w:pPr>
              <w:spacing w:after="0"/>
              <w:rPr>
                <w:sz w:val="10"/>
                <w:szCs w:val="10"/>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leasehold improvements or the lease term</w:t>
            </w:r>
          </w:p>
        </w:tc>
        <w:tc>
          <w:tcPr>
            <w:tcW w:w="0" w:type="dxa"/>
            <w:vAlign w:val="bottom"/>
          </w:tcPr>
          <w:p>
            <w:pPr>
              <w:spacing w:after="0"/>
              <w:rPr>
                <w:sz w:val="1"/>
                <w:szCs w:val="1"/>
                <w:color w:val="auto"/>
              </w:rPr>
            </w:pPr>
          </w:p>
        </w:tc>
      </w:tr>
      <w:tr>
        <w:trPr>
          <w:trHeight w:val="101"/>
        </w:trPr>
        <w:tc>
          <w:tcPr>
            <w:tcW w:w="560" w:type="dxa"/>
            <w:vAlign w:val="bottom"/>
          </w:tcPr>
          <w:p>
            <w:pPr>
              <w:spacing w:after="0"/>
              <w:rPr>
                <w:sz w:val="8"/>
                <w:szCs w:val="8"/>
                <w:color w:val="auto"/>
              </w:rPr>
            </w:pPr>
          </w:p>
        </w:tc>
        <w:tc>
          <w:tcPr>
            <w:tcW w:w="5040" w:type="dxa"/>
            <w:vAlign w:val="bottom"/>
          </w:tcPr>
          <w:p>
            <w:pPr>
              <w:spacing w:after="0"/>
              <w:rPr>
                <w:sz w:val="8"/>
                <w:szCs w:val="8"/>
                <w:color w:val="auto"/>
              </w:rPr>
            </w:pPr>
          </w:p>
        </w:tc>
        <w:tc>
          <w:tcPr>
            <w:tcW w:w="5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18-40 years</w:t>
            </w:r>
          </w:p>
        </w:tc>
        <w:tc>
          <w:tcPr>
            <w:tcW w:w="0" w:type="dxa"/>
            <w:vAlign w:val="bottom"/>
          </w:tcPr>
          <w:p>
            <w:pPr>
              <w:spacing w:after="0"/>
              <w:rPr>
                <w:sz w:val="1"/>
                <w:szCs w:val="1"/>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improvement</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c>
          <w:tcPr>
            <w:tcW w:w="0" w:type="dxa"/>
            <w:vAlign w:val="bottom"/>
          </w:tcPr>
          <w:p>
            <w:pPr>
              <w:spacing w:after="0"/>
              <w:rPr>
                <w:sz w:val="1"/>
                <w:szCs w:val="1"/>
                <w:color w:val="auto"/>
              </w:rPr>
            </w:pP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40" w:right="200" w:firstLine="431"/>
        <w:spacing w:after="0" w:line="253" w:lineRule="auto"/>
        <w:rPr>
          <w:sz w:val="20"/>
          <w:szCs w:val="20"/>
          <w:color w:val="auto"/>
        </w:rPr>
      </w:pPr>
      <w:r>
        <w:rPr>
          <w:rFonts w:ascii="Times New Roman" w:cs="Times New Roman" w:eastAsia="Times New Roman" w:hAnsi="Times New Roman"/>
          <w:sz w:val="18"/>
          <w:szCs w:val="18"/>
          <w:color w:val="auto"/>
        </w:rPr>
        <w:t>Repairs and maintenance costs are charged to expenses as incurred, whereas the costs of renewals and betterment that extend the useful lives of property, equipment and software are capitalized as additions to the related assets. Retirements, sales and disposals of assets are recorded by removing the costs, accumulated depreciation and impairment with any resulting gain or loss recognized in the consolidated statements of operations and comprehensive income.</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20"/>
          </w:cols>
          <w:pgMar w:left="320" w:top="476" w:right="5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 Construction in progress</w:t>
      </w:r>
    </w:p>
    <w:p>
      <w:pPr>
        <w:spacing w:after="0" w:line="114" w:lineRule="exact"/>
        <w:rPr>
          <w:sz w:val="20"/>
          <w:szCs w:val="20"/>
          <w:color w:val="auto"/>
        </w:rPr>
      </w:pPr>
    </w:p>
    <w:p>
      <w:pPr>
        <w:ind w:left="240" w:right="220" w:firstLine="431"/>
        <w:spacing w:after="0" w:line="253" w:lineRule="auto"/>
        <w:rPr>
          <w:sz w:val="20"/>
          <w:szCs w:val="20"/>
          <w:color w:val="auto"/>
        </w:rPr>
      </w:pPr>
      <w:r>
        <w:rPr>
          <w:rFonts w:ascii="Times New Roman" w:cs="Times New Roman" w:eastAsia="Times New Roman" w:hAnsi="Times New Roman"/>
          <w:sz w:val="18"/>
          <w:szCs w:val="18"/>
          <w:color w:val="auto"/>
        </w:rPr>
        <w:t>Direct costs that are related to the construction of property, equipment and software and incurred in connection with bringing the assets to their intended use are capitalized as construction in progress. Construction in progress is transferred to specific property, equipment and software items and the depreciation of these assets commences when the assets are ready for their intended use. As of December 31, 2024 and 2025, construction in progress were primarily relating to the construction of office buildings and warehouses.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 Land use rights, net</w:t>
      </w:r>
    </w:p>
    <w:p>
      <w:pPr>
        <w:spacing w:after="0" w:line="114" w:lineRule="exact"/>
        <w:rPr>
          <w:sz w:val="20"/>
          <w:szCs w:val="20"/>
          <w:color w:val="auto"/>
        </w:rPr>
      </w:pPr>
    </w:p>
    <w:p>
      <w:pPr>
        <w:ind w:left="240" w:right="380" w:firstLine="431"/>
        <w:spacing w:after="0" w:line="270" w:lineRule="auto"/>
        <w:rPr>
          <w:sz w:val="20"/>
          <w:szCs w:val="20"/>
          <w:color w:val="auto"/>
        </w:rPr>
      </w:pPr>
      <w:r>
        <w:rPr>
          <w:rFonts w:ascii="Times New Roman" w:cs="Times New Roman" w:eastAsia="Times New Roman" w:hAnsi="Times New Roman"/>
          <w:sz w:val="18"/>
          <w:szCs w:val="18"/>
          <w:color w:val="auto"/>
        </w:rPr>
        <w:t>Land use rights are recorded at cost less accumulated amortization. Amortization is provided on a straight-line basis over the estimated useful lives which are 18 to 70 years and represent the shorter of the estimated usage periods or the terms of the agreements.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q. Intangible assets, net</w:t>
      </w:r>
    </w:p>
    <w:p>
      <w:pPr>
        <w:spacing w:after="0" w:line="114" w:lineRule="exact"/>
        <w:rPr>
          <w:sz w:val="20"/>
          <w:szCs w:val="20"/>
          <w:color w:val="auto"/>
        </w:rPr>
      </w:pPr>
    </w:p>
    <w:p>
      <w:pPr>
        <w:ind w:left="240" w:right="120" w:firstLine="431"/>
        <w:spacing w:after="0" w:line="251" w:lineRule="auto"/>
        <w:rPr>
          <w:sz w:val="20"/>
          <w:szCs w:val="20"/>
          <w:color w:val="auto"/>
        </w:rPr>
      </w:pPr>
      <w:r>
        <w:rPr>
          <w:rFonts w:ascii="Times New Roman" w:cs="Times New Roman" w:eastAsia="Times New Roman" w:hAnsi="Times New Roman"/>
          <w:sz w:val="18"/>
          <w:szCs w:val="18"/>
          <w:color w:val="auto"/>
        </w:rPr>
        <w:t>Intangible assets purchased from third parties are initially recorded at cost and amortized on a straight-line basis over the estimated economic useful lives. The Group performs valuation of the intangible assets arising from business combination to determine the fair value to be assigned to each asset acquired. The Group determines the fair value using the appropriate approach which requires management to make significant estimates and assumptions. The acquired intangible assets are recognized and measured at fair value and are expensed or amortized using the straight-line approach over the estimated economic useful lives of the assets.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useful lives of major intangible assets are as follows:</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r>
      <w:tr>
        <w:trPr>
          <w:trHeight w:val="180"/>
        </w:trPr>
        <w:tc>
          <w:tcPr>
            <w:tcW w:w="56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w w:val="77"/>
              </w:rPr>
              <w:t>Customer</w:t>
            </w:r>
          </w:p>
        </w:tc>
        <w:tc>
          <w:tcPr>
            <w:tcW w:w="5040" w:type="dxa"/>
            <w:vAlign w:val="bottom"/>
          </w:tcPr>
          <w:p>
            <w:pPr>
              <w:ind w:left="160"/>
              <w:spacing w:after="0" w:line="180" w:lineRule="exact"/>
              <w:rPr>
                <w:sz w:val="20"/>
                <w:szCs w:val="20"/>
                <w:color w:val="auto"/>
              </w:rPr>
            </w:pPr>
            <w:r>
              <w:rPr>
                <w:rFonts w:ascii="Times New Roman" w:cs="Times New Roman" w:eastAsia="Times New Roman" w:hAnsi="Times New Roman"/>
                <w:sz w:val="18"/>
                <w:szCs w:val="18"/>
                <w:color w:val="auto"/>
              </w:rPr>
              <w:t>relationship</w:t>
            </w:r>
          </w:p>
        </w:tc>
        <w:tc>
          <w:tcPr>
            <w:tcW w:w="518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3-10 years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and others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3-10 years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 years</w:t>
            </w: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Domain names and trademarks</w:t>
            </w: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5-20 years</w:t>
            </w:r>
          </w:p>
        </w:tc>
      </w:tr>
    </w:tbl>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 Goodwill</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the identifiable assets and liabilities acquired in a business combination.</w:t>
      </w:r>
    </w:p>
    <w:p>
      <w:pPr>
        <w:spacing w:after="0" w:line="228" w:lineRule="exact"/>
        <w:rPr>
          <w:sz w:val="20"/>
          <w:szCs w:val="20"/>
          <w:color w:val="auto"/>
        </w:rPr>
      </w:pPr>
    </w:p>
    <w:p>
      <w:pPr>
        <w:ind w:left="240" w:right="40" w:firstLine="431"/>
        <w:spacing w:after="0" w:line="265" w:lineRule="auto"/>
        <w:rPr>
          <w:sz w:val="20"/>
          <w:szCs w:val="20"/>
          <w:color w:val="auto"/>
        </w:rPr>
      </w:pPr>
      <w:r>
        <w:rPr>
          <w:rFonts w:ascii="Times New Roman" w:cs="Times New Roman" w:eastAsia="Times New Roman" w:hAnsi="Times New Roman"/>
          <w:sz w:val="17"/>
          <w:szCs w:val="17"/>
          <w:color w:val="auto"/>
        </w:rPr>
        <w:t xml:space="preserve">Goodwill is not depreciated or amortized but is tested for impairment on an annual basis as of December 31, and in between annual tests when an event occurs or circumstances change that could indicate that the asset might be impaired. In accordance with ASU 2017-04, </w:t>
      </w:r>
      <w:r>
        <w:rPr>
          <w:rFonts w:ascii="Times New Roman" w:cs="Times New Roman" w:eastAsia="Times New Roman" w:hAnsi="Times New Roman"/>
          <w:sz w:val="17"/>
          <w:szCs w:val="17"/>
          <w:i w:val="1"/>
          <w:iCs w:val="1"/>
          <w:color w:val="auto"/>
        </w:rPr>
        <w:t>Intangibles—Goodwill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Other (Topic 350): Simplifying the Test for Goodwill Impairment </w:t>
      </w:r>
      <w:r>
        <w:rPr>
          <w:rFonts w:ascii="Times New Roman" w:cs="Times New Roman" w:eastAsia="Times New Roman" w:hAnsi="Times New Roman"/>
          <w:sz w:val="17"/>
          <w:szCs w:val="17"/>
          <w:color w:val="auto"/>
        </w:rPr>
        <w:t>issued by the Financial Accounting Standards Board (“FASB”) guidance on testing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goodwill for impairment, the Group first assesses qualitative factors to determine whether it is more likely than not that the fair value of a reporting unit is less than its carrying amount. If as a result of the qualitative assessment, it is more likely than not that the fair value of a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between the fair value of the reporting unit and its carrying amount will be recorded.</w:t>
      </w:r>
    </w:p>
    <w:p>
      <w:pPr>
        <w:spacing w:after="0" w:line="177" w:lineRule="exact"/>
        <w:rPr>
          <w:sz w:val="20"/>
          <w:szCs w:val="20"/>
          <w:color w:val="auto"/>
        </w:rPr>
      </w:pPr>
    </w:p>
    <w:p>
      <w:pPr>
        <w:ind w:left="240" w:right="100" w:firstLine="431"/>
        <w:spacing w:after="0" w:line="253" w:lineRule="auto"/>
        <w:rPr>
          <w:sz w:val="20"/>
          <w:szCs w:val="20"/>
          <w:color w:val="auto"/>
        </w:rPr>
      </w:pPr>
      <w:r>
        <w:rPr>
          <w:rFonts w:ascii="Times New Roman" w:cs="Times New Roman" w:eastAsia="Times New Roman" w:hAnsi="Times New Roman"/>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Changes in these estimates and assumptions could materially affect the determination of fair value for each reporting unit.</w:t>
      </w:r>
    </w:p>
    <w:p>
      <w:pPr>
        <w:spacing w:after="0" w:line="1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20"/>
          </w:cols>
          <w:pgMar w:left="320" w:top="476" w:right="5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 Asset acquisition</w:t>
      </w:r>
    </w:p>
    <w:p>
      <w:pPr>
        <w:spacing w:after="0" w:line="114" w:lineRule="exact"/>
        <w:rPr>
          <w:sz w:val="20"/>
          <w:szCs w:val="20"/>
          <w:color w:val="auto"/>
        </w:rPr>
      </w:pPr>
    </w:p>
    <w:p>
      <w:pPr>
        <w:ind w:left="240" w:right="60" w:firstLine="431"/>
        <w:spacing w:after="0" w:line="253" w:lineRule="auto"/>
        <w:rPr>
          <w:sz w:val="20"/>
          <w:szCs w:val="20"/>
          <w:color w:val="auto"/>
        </w:rPr>
      </w:pPr>
      <w:r>
        <w:rPr>
          <w:rFonts w:ascii="Times New Roman" w:cs="Times New Roman" w:eastAsia="Times New Roman" w:hAnsi="Times New Roman"/>
          <w:sz w:val="18"/>
          <w:szCs w:val="18"/>
          <w:color w:val="auto"/>
        </w:rPr>
        <w:t>When the Group acquires other entities, if the assets acquired and liabilities assumed do not constitute a business, the transaction is accounted for as an asset acquisition. Assets are recognized based on their cost, which generally includes the transaction costs of the asset acquisition. The cost of a group of assets acquired in an asset acquisition is allocated to the individual assets acquired or liabilities assumed based on their relative fair values and does not give rise to goodwill.</w:t>
      </w:r>
    </w:p>
    <w:p>
      <w:pPr>
        <w:spacing w:after="0" w:line="185" w:lineRule="exact"/>
        <w:rPr>
          <w:sz w:val="20"/>
          <w:szCs w:val="20"/>
          <w:color w:val="auto"/>
        </w:rPr>
      </w:pPr>
    </w:p>
    <w:p>
      <w:pPr>
        <w:ind w:left="240" w:right="340" w:firstLine="431"/>
        <w:spacing w:after="0" w:line="253" w:lineRule="auto"/>
        <w:rPr>
          <w:sz w:val="20"/>
          <w:szCs w:val="20"/>
          <w:color w:val="auto"/>
        </w:rPr>
      </w:pPr>
      <w:r>
        <w:rPr>
          <w:rFonts w:ascii="Times New Roman" w:cs="Times New Roman" w:eastAsia="Times New Roman" w:hAnsi="Times New Roman"/>
          <w:sz w:val="18"/>
          <w:szCs w:val="18"/>
          <w:color w:val="auto"/>
        </w:rPr>
        <w:t>For the years ended December 31, 2023, 2024 and 2025, the Group entered into several transactions, which were accounted for as asset acquisitions, to acquire certain assets for development purpose, mainly including RMB5,997 million, RMB4,079 million and RMB3,707 million of property, equipment and software, net, RMB1,009 million, RMB144 million and RMB73 million of construction in progress and RMB2,638 million, RMB240 million and RMB700 million of land use rights, respectively.</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 Investments in equity investees</w:t>
      </w:r>
    </w:p>
    <w:p>
      <w:pPr>
        <w:spacing w:after="0" w:line="114" w:lineRule="exact"/>
        <w:rPr>
          <w:sz w:val="20"/>
          <w:szCs w:val="20"/>
          <w:color w:val="auto"/>
        </w:rPr>
      </w:pPr>
    </w:p>
    <w:p>
      <w:pPr>
        <w:ind w:left="240" w:right="180" w:firstLine="431"/>
        <w:spacing w:after="0" w:line="253" w:lineRule="auto"/>
        <w:rPr>
          <w:sz w:val="20"/>
          <w:szCs w:val="20"/>
          <w:color w:val="auto"/>
        </w:rPr>
      </w:pPr>
      <w:r>
        <w:rPr>
          <w:rFonts w:ascii="Times New Roman" w:cs="Times New Roman" w:eastAsia="Times New Roman" w:hAnsi="Times New Roman"/>
          <w:sz w:val="18"/>
          <w:szCs w:val="18"/>
          <w:color w:val="auto"/>
        </w:rPr>
        <w:t xml:space="preserve">Investments in equity investees represents the Group’s investments in privately held companies, publicly traded companies and private equity funds. The Group applies the equity method of accounting to account for an equity investment, in common stock or in-substance common stock, according to ASC Topic 323, </w:t>
      </w:r>
      <w:r>
        <w:rPr>
          <w:rFonts w:ascii="Times New Roman" w:cs="Times New Roman" w:eastAsia="Times New Roman" w:hAnsi="Times New Roman"/>
          <w:sz w:val="18"/>
          <w:szCs w:val="18"/>
          <w:i w:val="1"/>
          <w:iCs w:val="1"/>
          <w:color w:val="auto"/>
        </w:rPr>
        <w:t>Investment—Equity Method and Joint Ventures</w:t>
      </w:r>
      <w:r>
        <w:rPr>
          <w:rFonts w:ascii="Times New Roman" w:cs="Times New Roman" w:eastAsia="Times New Roman" w:hAnsi="Times New Roman"/>
          <w:sz w:val="18"/>
          <w:szCs w:val="18"/>
          <w:color w:val="auto"/>
        </w:rPr>
        <w:t xml:space="preserve"> (“ASC 323”), over which it has significant influence but does not own a majority equity interest or otherwise control.</w:t>
      </w:r>
    </w:p>
    <w:p>
      <w:pPr>
        <w:spacing w:after="0" w:line="185" w:lineRule="exact"/>
        <w:rPr>
          <w:sz w:val="20"/>
          <w:szCs w:val="20"/>
          <w:color w:val="auto"/>
        </w:rPr>
      </w:pPr>
    </w:p>
    <w:p>
      <w:pPr>
        <w:ind w:left="240" w:right="60" w:firstLine="431"/>
        <w:spacing w:after="0" w:line="258" w:lineRule="auto"/>
        <w:rPr>
          <w:sz w:val="20"/>
          <w:szCs w:val="20"/>
          <w:color w:val="auto"/>
        </w:rPr>
      </w:pPr>
      <w:r>
        <w:rPr>
          <w:rFonts w:ascii="Times New Roman" w:cs="Times New Roman" w:eastAsia="Times New Roman" w:hAnsi="Times New Roman"/>
          <w:sz w:val="18"/>
          <w:szCs w:val="18"/>
          <w:color w:val="auto"/>
        </w:rPr>
        <w:t>An investment in in-substance common stock is an investment in an entity that has risk and reward characteristics that are substantially similar to that entity’s common stock. The Group considers subordination, risks and rewards of ownership and obligation to transfer value when determining whether an investment in an entity is substantially similar to an investment in that entity’s common stock.</w:t>
      </w:r>
    </w:p>
    <w:p>
      <w:pPr>
        <w:spacing w:after="0" w:line="179" w:lineRule="exact"/>
        <w:rPr>
          <w:sz w:val="20"/>
          <w:szCs w:val="20"/>
          <w:color w:val="auto"/>
        </w:rPr>
      </w:pPr>
    </w:p>
    <w:p>
      <w:pPr>
        <w:ind w:left="240" w:right="40" w:firstLine="431"/>
        <w:spacing w:after="0" w:line="248" w:lineRule="auto"/>
        <w:rPr>
          <w:sz w:val="20"/>
          <w:szCs w:val="20"/>
          <w:color w:val="auto"/>
        </w:rPr>
      </w:pPr>
      <w:r>
        <w:rPr>
          <w:rFonts w:ascii="Times New Roman" w:cs="Times New Roman" w:eastAsia="Times New Roman" w:hAnsi="Times New Roman"/>
          <w:sz w:val="18"/>
          <w:szCs w:val="18"/>
          <w:color w:val="auto"/>
        </w:rPr>
        <w:t>Under the equity method, the Group’s share of the post-acquisition profits or losses of the equity investees are recorded in “share of results of equity investees” in the consolidated statements of operations and comprehensive income and its share of post-acquisition movements of accumulated other comprehensive income/(loss) are recorded in accumulated other comprehensive income/(loss) as a component of shareholders’ equity. The Group records its share of the results of equity investments in publicly listed companies and certain privately held companies on one quarter in arrears basis. The excess of the carrying amount of the investment over the underlying equity in net assets of the equity investee represents goodwill and intangible assets acquired.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w:t>
      </w:r>
    </w:p>
    <w:p>
      <w:pPr>
        <w:spacing w:after="0" w:line="193" w:lineRule="exact"/>
        <w:rPr>
          <w:sz w:val="20"/>
          <w:szCs w:val="20"/>
          <w:color w:val="auto"/>
        </w:rPr>
      </w:pPr>
    </w:p>
    <w:p>
      <w:pPr>
        <w:jc w:val="both"/>
        <w:ind w:left="240" w:right="60" w:firstLine="431"/>
        <w:spacing w:after="0" w:line="253" w:lineRule="auto"/>
        <w:rPr>
          <w:sz w:val="20"/>
          <w:szCs w:val="20"/>
          <w:color w:val="auto"/>
        </w:rPr>
      </w:pPr>
      <w:r>
        <w:rPr>
          <w:rFonts w:ascii="Times New Roman" w:cs="Times New Roman" w:eastAsia="Times New Roman" w:hAnsi="Times New Roman"/>
          <w:sz w:val="18"/>
          <w:szCs w:val="18"/>
          <w:color w:val="auto"/>
        </w:rPr>
        <w:t>The Group continually reviews its investments in equity investees under equity method to determine whether a decline in fair value to below the carrying value is other-than-temporary. The primary factors the Group considers in its determination are the duration and severity of the decline in fair value, financial and business performance, cash position and, recent financing rounds. If the decline in fair value is deemed to be other-than-temporary, the carrying value of the equity investee is written down to fair value.</w:t>
      </w:r>
    </w:p>
    <w:p>
      <w:pPr>
        <w:spacing w:after="0" w:line="185" w:lineRule="exact"/>
        <w:rPr>
          <w:sz w:val="20"/>
          <w:szCs w:val="20"/>
          <w:color w:val="auto"/>
        </w:rPr>
      </w:pPr>
    </w:p>
    <w:p>
      <w:pPr>
        <w:jc w:val="both"/>
        <w:ind w:left="240" w:firstLine="431"/>
        <w:spacing w:after="0" w:line="253" w:lineRule="auto"/>
        <w:rPr>
          <w:sz w:val="20"/>
          <w:szCs w:val="20"/>
          <w:color w:val="auto"/>
        </w:rPr>
      </w:pPr>
      <w:r>
        <w:rPr>
          <w:rFonts w:ascii="Times New Roman" w:cs="Times New Roman" w:eastAsia="Times New Roman" w:hAnsi="Times New Roman"/>
          <w:sz w:val="18"/>
          <w:szCs w:val="18"/>
          <w:color w:val="auto"/>
        </w:rPr>
        <w:t xml:space="preserve">Private equity funds pursue various investment strategies, including event driven and multi-strategy. Investments in private equity funds generally are not redeemable due to the closed-ended nature of these funds. These private equity funds, over which the Group does not have the ability to exercise significant influence, are accounted for under the existing practical expedient in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to estimate fair value using the net asset value per share (or its equivalent) of the investment (“NAV practical expedient”).</w:t>
      </w:r>
    </w:p>
    <w:p>
      <w:pPr>
        <w:spacing w:after="0" w:line="1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0960"/>
          </w:cols>
          <w:pgMar w:left="320" w:top="476" w:right="6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 Investments in equity investees (continued)</w:t>
      </w:r>
    </w:p>
    <w:p>
      <w:pPr>
        <w:spacing w:after="0" w:line="114" w:lineRule="exact"/>
        <w:rPr>
          <w:sz w:val="20"/>
          <w:szCs w:val="20"/>
          <w:color w:val="auto"/>
        </w:rPr>
      </w:pPr>
    </w:p>
    <w:p>
      <w:pPr>
        <w:ind w:left="240" w:right="20" w:firstLine="431"/>
        <w:spacing w:after="0" w:line="247" w:lineRule="auto"/>
        <w:rPr>
          <w:sz w:val="20"/>
          <w:szCs w:val="20"/>
          <w:color w:val="auto"/>
        </w:rPr>
      </w:pPr>
      <w:r>
        <w:rPr>
          <w:rFonts w:ascii="Times New Roman" w:cs="Times New Roman" w:eastAsia="Times New Roman" w:hAnsi="Times New Roman"/>
          <w:sz w:val="18"/>
          <w:szCs w:val="18"/>
          <w:color w:val="auto"/>
        </w:rPr>
        <w:t xml:space="preserve">The Group’s equity investments without readily determinable fair values, which do not qualify for NAV practical expedient and over which the Group does not have the ability to exercise significant influence through the investments in common stock or in substance common stock, are accounted for under the measurement alternative (the “Measurement Alternative”) in accordance with ASU 2016-01, </w:t>
      </w:r>
      <w:r>
        <w:rPr>
          <w:rFonts w:ascii="Times New Roman" w:cs="Times New Roman" w:eastAsia="Times New Roman" w:hAnsi="Times New Roman"/>
          <w:sz w:val="18"/>
          <w:szCs w:val="18"/>
          <w:i w:val="1"/>
          <w:iCs w:val="1"/>
          <w:color w:val="auto"/>
        </w:rPr>
        <w:t>Financial Instruments—Overall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825-10)—Recognition and Measurement of Financial Assets and Financial Liabilities </w:t>
      </w:r>
      <w:r>
        <w:rPr>
          <w:rFonts w:ascii="Times New Roman" w:cs="Times New Roman" w:eastAsia="Times New Roman" w:hAnsi="Times New Roman"/>
          <w:sz w:val="18"/>
          <w:szCs w:val="18"/>
          <w:color w:val="auto"/>
        </w:rPr>
        <w:t>(“ASU 2016-01”). Under the Measurement Alternative,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carrying value is measured at cost, less any impairment, plus or minus changes resulting from observable price changes in orderly transactions for identical or similar investments of the same issuer. All gains and losses on these investments, realized and unrealized, are recognized in “others, net” in the consolidated statements of operations and comprehensive income. The Group makes assessment of whether an investment is impaired based on performance and financial position of the investee as well as other evidence of market value at each reporting date. Such assessment includes, but is not limited to, financial and business performance, cash position and recent financing rounds. The Group recognizes an impairment loss equal to the difference between the carrying value and fair value in “others, net” in the consolidated statements of operations and comprehensive income if there is any. When the investments become qualified for use of the equity method, the Group remeasures the previously held interest in the investments at fair value, if any observable price changes in orderly transactions identified for an identical or a similar investment, immediately before it applying the equity method, in accordance with ASU 2020-01, </w:t>
      </w:r>
      <w:r>
        <w:rPr>
          <w:rFonts w:ascii="Times New Roman" w:cs="Times New Roman" w:eastAsia="Times New Roman" w:hAnsi="Times New Roman"/>
          <w:sz w:val="18"/>
          <w:szCs w:val="18"/>
          <w:i w:val="1"/>
          <w:iCs w:val="1"/>
          <w:color w:val="auto"/>
        </w:rPr>
        <w:t>Investments—Equity Securities (Topic 321), Investments—Equity Method and Joint Ventures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323).</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 Marketable securities and other investments</w:t>
      </w:r>
    </w:p>
    <w:p>
      <w:pPr>
        <w:spacing w:after="0" w:line="114" w:lineRule="exact"/>
        <w:rPr>
          <w:sz w:val="20"/>
          <w:szCs w:val="20"/>
          <w:color w:val="auto"/>
        </w:rPr>
      </w:pPr>
    </w:p>
    <w:p>
      <w:pPr>
        <w:ind w:left="240" w:right="80" w:firstLine="431"/>
        <w:spacing w:after="0" w:line="280" w:lineRule="auto"/>
        <w:rPr>
          <w:sz w:val="20"/>
          <w:szCs w:val="20"/>
          <w:color w:val="auto"/>
        </w:rPr>
      </w:pPr>
      <w:r>
        <w:rPr>
          <w:rFonts w:ascii="Times New Roman" w:cs="Times New Roman" w:eastAsia="Times New Roman" w:hAnsi="Times New Roman"/>
          <w:sz w:val="17"/>
          <w:szCs w:val="17"/>
          <w:color w:val="auto"/>
        </w:rPr>
        <w:t>The Group invests in marketable equity securities and other investments to meet business objectives. The marketable securities are classified as investments with readily determinable fair values, which are reported at fair value in the consolidated balance sheets, the unrealized gains and losses on equity securities are recorded in “others, net” in the consolidated statements of operations and comprehensive income under ASU 2016-01.</w:t>
      </w:r>
    </w:p>
    <w:p>
      <w:pPr>
        <w:spacing w:after="0" w:line="162"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Other investments are comprised of time deposits placed with banks and wealth management products with maturities more than one year. For wealth management products with variable interest rates as well as principal not guaranteed and deposits mainly indexed to foreign exchange, the Group elected the fair value option to account for them at fair value with changes in fair value recorded under “others, net” in the consolidated statement of operations and comprehensive income. For wealth management products and deposits that earn fixed interest rate return only if the Group held the securities to maturity, the Group classified them as held-to-maturity and recorded at amortized cost considering its positive intent and ability to hold them to maturity.</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 Impairment of long-lived assets</w:t>
      </w:r>
    </w:p>
    <w:p>
      <w:pPr>
        <w:spacing w:after="0" w:line="114"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(such as a significant adverse change to market conditions that will impact the future use of the assets) indicate that the carrying value of an asset or an asset group may not be fully recoverable or that the useful life is shorter than the Group had originally estimated. When these events occur, the Group evaluates the impairment for the long-lived assets by comparing the carrying value of the asset or the asset group to an estimate of future undiscounted cash flows expected to be generated from the use of the asset or the asset group and its eventual disposition. If the sum of the expected future undiscounted cash flows is less than the carrying value of the asset or the asset group, the Group recognizes an impairment loss based on the excess of the carrying value of the asset or the asset group over its fair value.</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00"/>
          </w:cols>
          <w:pgMar w:left="320" w:top="476" w:right="5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 Nonrecourse securitization debt and transfer of financial assets</w:t>
      </w:r>
    </w:p>
    <w:p>
      <w:pPr>
        <w:spacing w:after="0" w:line="114" w:lineRule="exact"/>
        <w:rPr>
          <w:sz w:val="20"/>
          <w:szCs w:val="20"/>
          <w:color w:val="auto"/>
        </w:rPr>
      </w:pPr>
    </w:p>
    <w:p>
      <w:pPr>
        <w:ind w:left="240" w:right="120" w:firstLine="431"/>
        <w:spacing w:after="0" w:line="251" w:lineRule="auto"/>
        <w:rPr>
          <w:sz w:val="20"/>
          <w:szCs w:val="20"/>
          <w:color w:val="auto"/>
        </w:rPr>
      </w:pPr>
      <w:r>
        <w:rPr>
          <w:rFonts w:ascii="Times New Roman" w:cs="Times New Roman" w:eastAsia="Times New Roman" w:hAnsi="Times New Roman"/>
          <w:sz w:val="18"/>
          <w:szCs w:val="18"/>
          <w:color w:val="auto"/>
        </w:rPr>
        <w:t>The Group, in collaboration with JD Technology, periodically securitizes accounts receivable and loan receivables arising from consumer financing through the transfer of those assets to securitization vehicles. The securitization vehicles then issue (1) debt securities to third-party investors and JD Technology, or (2) trust beneficiary rights to the Group which are immediately transferred to third-party investors, collateralized by the transferred assets. The asset-backed debt securities issued by the securitization vehicles and the trust beneficiary rights transferred by the Group are nonrecourse to the Group and are payable only out of collections on their respective underlying collateralized assets.</w:t>
      </w:r>
    </w:p>
    <w:p>
      <w:pPr>
        <w:spacing w:after="0" w:line="187" w:lineRule="exact"/>
        <w:rPr>
          <w:sz w:val="20"/>
          <w:szCs w:val="20"/>
          <w:color w:val="auto"/>
        </w:rPr>
      </w:pPr>
    </w:p>
    <w:p>
      <w:pPr>
        <w:ind w:left="240" w:firstLine="431"/>
        <w:spacing w:after="0" w:line="264" w:lineRule="auto"/>
        <w:rPr>
          <w:sz w:val="20"/>
          <w:szCs w:val="20"/>
          <w:color w:val="auto"/>
        </w:rPr>
      </w:pPr>
      <w:r>
        <w:rPr>
          <w:rFonts w:ascii="Times New Roman" w:cs="Times New Roman" w:eastAsia="Times New Roman" w:hAnsi="Times New Roman"/>
          <w:sz w:val="17"/>
          <w:szCs w:val="17"/>
          <w:color w:val="auto"/>
        </w:rPr>
        <w:t xml:space="preserve">The Group does not consolidate the securitization vehicles when no economic interests are retained by the Group, and the Group has no continuing involvements, including the servicer of the securitization vehicles. Transfers are accounted for as sale and corresponding transferred accounts receivable are de-recognized in the consolidated balance sheets pursuant to ASC Topic 860,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xml:space="preserve"> (“ASC 860”), only if they meet all of the three criteria: (i) the transferred financial assets have been isolated from the transferor and its creditor, (ii) each transferee has the rights to pledge or exchange the transferred assets, or the transferor has no continuing involvement with the transferred financial assets, and (iii) the transferor does not maintain effective control over the transferred financial assets or third-party beneficial interests related to those transferred assets. Otherwise, the transfers of the assets are accounted for as a financing type transaction if the conditions in ASC 860-10-40-5 are not met. The common control relationship between the transferor and transferee is not considered when applying the derecognition criteria under ASC 860 as the transferee is not a consolidated affiliate or subsidiary of the transferor. The gain/loss recorded upon the sale accounting was immaterial for the periods presented.</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x. Unsecured senior notes and long-term debts</w:t>
      </w:r>
    </w:p>
    <w:p>
      <w:pPr>
        <w:spacing w:after="0" w:line="114" w:lineRule="exact"/>
        <w:rPr>
          <w:sz w:val="20"/>
          <w:szCs w:val="20"/>
          <w:color w:val="auto"/>
        </w:rPr>
      </w:pPr>
    </w:p>
    <w:p>
      <w:pPr>
        <w:ind w:left="240" w:right="80" w:firstLine="431"/>
        <w:spacing w:after="0" w:line="249" w:lineRule="auto"/>
        <w:rPr>
          <w:sz w:val="20"/>
          <w:szCs w:val="20"/>
          <w:color w:val="auto"/>
        </w:rPr>
      </w:pPr>
      <w:r>
        <w:rPr>
          <w:rFonts w:ascii="Times New Roman" w:cs="Times New Roman" w:eastAsia="Times New Roman" w:hAnsi="Times New Roman"/>
          <w:sz w:val="18"/>
          <w:szCs w:val="18"/>
          <w:color w:val="auto"/>
        </w:rPr>
        <w:t xml:space="preserve">Unsecured senior notes are recognized initially at fair value, net of debt discounts or premiums and debt issuance costs. Convertible senior notes are determined appropriately in accordance with the terms in relation to the conversion feature, call or/and put options, and other embedded features, if applicable. After considering the impact of such features, the Group may account for such instrument as a liability in its entirety, or separate the instrument into debt or/and equity components following the respective guidance described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Debt discounts or premiums and debt issuance costs are recorded as a reduction of the principal amount and the related accretion is recorded as “interest expense” in the consolidated statements of operations and comprehensive income over the earliest maturity date of the notes using the effective interest method.</w:t>
      </w:r>
    </w:p>
    <w:p>
      <w:pPr>
        <w:spacing w:after="0" w:line="189" w:lineRule="exact"/>
        <w:rPr>
          <w:sz w:val="20"/>
          <w:szCs w:val="20"/>
          <w:color w:val="auto"/>
        </w:rPr>
      </w:pPr>
    </w:p>
    <w:p>
      <w:pPr>
        <w:ind w:left="240" w:right="540" w:firstLine="431"/>
        <w:spacing w:after="0" w:line="270" w:lineRule="auto"/>
        <w:rPr>
          <w:sz w:val="20"/>
          <w:szCs w:val="20"/>
          <w:color w:val="auto"/>
        </w:rPr>
      </w:pPr>
      <w:r>
        <w:rPr>
          <w:rFonts w:ascii="Times New Roman" w:cs="Times New Roman" w:eastAsia="Times New Roman" w:hAnsi="Times New Roman"/>
          <w:sz w:val="18"/>
          <w:szCs w:val="18"/>
          <w:color w:val="auto"/>
        </w:rPr>
        <w:t>Long-term debts are recognized at carrying amount. Interest expense is accrued over the estimated term of the facilities and recorded in the consolidated statements of operations and comprehensive income.</w:t>
      </w:r>
    </w:p>
    <w:p>
      <w:pPr>
        <w:spacing w:after="0" w:line="1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00"/>
          </w:cols>
          <w:pgMar w:left="320" w:top="476" w:right="5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y. Fair value</w:t>
      </w:r>
    </w:p>
    <w:p>
      <w:pPr>
        <w:spacing w:after="0" w:line="114" w:lineRule="exact"/>
        <w:rPr>
          <w:sz w:val="20"/>
          <w:szCs w:val="20"/>
          <w:color w:val="auto"/>
        </w:rPr>
      </w:pPr>
    </w:p>
    <w:p>
      <w:pPr>
        <w:ind w:left="240" w:right="280" w:firstLine="431"/>
        <w:spacing w:after="0" w:line="253"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5"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The Group measures certain financial assets, including investments under the equity method on other-than-temporary basis, investments under the Measurement Alternative, intangible assets, goodwill and fixed assets at fair value when an impairment charge is recognized.</w:t>
      </w:r>
    </w:p>
    <w:p>
      <w:pPr>
        <w:spacing w:after="0" w:line="169" w:lineRule="exact"/>
        <w:rPr>
          <w:sz w:val="20"/>
          <w:szCs w:val="20"/>
          <w:color w:val="auto"/>
        </w:rPr>
      </w:pPr>
    </w:p>
    <w:p>
      <w:pPr>
        <w:ind w:left="240" w:right="40" w:firstLine="431"/>
        <w:spacing w:after="0" w:line="280" w:lineRule="auto"/>
        <w:rPr>
          <w:sz w:val="20"/>
          <w:szCs w:val="20"/>
          <w:color w:val="auto"/>
        </w:rPr>
      </w:pPr>
      <w:r>
        <w:rPr>
          <w:rFonts w:ascii="Times New Roman" w:cs="Times New Roman" w:eastAsia="Times New Roman" w:hAnsi="Times New Roman"/>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Include other inputs that are directly or indirectly observable in the marketplace.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which are supported by little or no market activity.</w:t>
      </w:r>
    </w:p>
    <w:p>
      <w:pPr>
        <w:spacing w:after="0" w:line="216" w:lineRule="exact"/>
        <w:rPr>
          <w:sz w:val="20"/>
          <w:szCs w:val="20"/>
          <w:color w:val="auto"/>
        </w:rPr>
      </w:pPr>
    </w:p>
    <w:p>
      <w:pPr>
        <w:ind w:left="240" w:right="20" w:firstLine="431"/>
        <w:spacing w:after="0" w:line="251" w:lineRule="auto"/>
        <w:rPr>
          <w:sz w:val="20"/>
          <w:szCs w:val="20"/>
          <w:color w:val="auto"/>
        </w:rPr>
      </w:pPr>
      <w:r>
        <w:rPr>
          <w:rFonts w:ascii="Times New Roman" w:cs="Times New Roman" w:eastAsia="Times New Roman" w:hAnsi="Times New Roman"/>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0960"/>
          </w:cols>
          <w:pgMar w:left="320" w:top="476" w:right="6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z. Revenues</w:t>
      </w:r>
    </w:p>
    <w:p>
      <w:pPr>
        <w:spacing w:after="0" w:line="112" w:lineRule="exact"/>
        <w:rPr>
          <w:sz w:val="20"/>
          <w:szCs w:val="20"/>
          <w:color w:val="auto"/>
        </w:rPr>
      </w:pPr>
    </w:p>
    <w:p>
      <w:pPr>
        <w:jc w:val="both"/>
        <w:ind w:left="240" w:right="260" w:firstLine="431"/>
        <w:spacing w:after="0" w:line="259" w:lineRule="auto"/>
        <w:rPr>
          <w:sz w:val="20"/>
          <w:szCs w:val="20"/>
          <w:color w:val="auto"/>
        </w:rPr>
      </w:pPr>
      <w:r>
        <w:rPr>
          <w:rFonts w:ascii="Times New Roman" w:cs="Times New Roman" w:eastAsia="Times New Roman" w:hAnsi="Times New Roman"/>
          <w:sz w:val="18"/>
          <w:szCs w:val="18"/>
          <w:color w:val="auto"/>
        </w:rPr>
        <w:t xml:space="preserve">Consistent with the criteria of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Group recognizes revenues when the Group satisfies a performance obligation by transferring a promised good or service (that is, an asset) to a customer. An asset is transferred when the customer obtains control of that asset.</w:t>
      </w:r>
    </w:p>
    <w:p>
      <w:pPr>
        <w:spacing w:after="0" w:line="178" w:lineRule="exact"/>
        <w:rPr>
          <w:sz w:val="20"/>
          <w:szCs w:val="20"/>
          <w:color w:val="auto"/>
        </w:rPr>
      </w:pPr>
    </w:p>
    <w:p>
      <w:pPr>
        <w:ind w:left="240" w:right="60" w:firstLine="431"/>
        <w:spacing w:after="0" w:line="250" w:lineRule="auto"/>
        <w:rPr>
          <w:sz w:val="20"/>
          <w:szCs w:val="20"/>
          <w:color w:val="auto"/>
        </w:rPr>
      </w:pPr>
      <w:r>
        <w:rPr>
          <w:rFonts w:ascii="Times New Roman" w:cs="Times New Roman" w:eastAsia="Times New Roman" w:hAnsi="Times New Roman"/>
          <w:sz w:val="18"/>
          <w:szCs w:val="18"/>
          <w:color w:val="auto"/>
        </w:rPr>
        <w:t>In accordance with ASC 606, the Group evaluates whether it is appropriate to record the gross amount of product sales and related costs or the net amount earned as commissions. When the Group is a principal and when the Group obtains control of the specified goods or services before they are transferred to the customers, the revenues are recognized in the gross amount of consideration to which it expects to be entitled in exchange for the specified goods or services transferred. When the Group is an agent and its obligation is to facilitate third parties in fulfilling their performance obligation for specified goods or services, the revenues are recognized in the net amount for the amount of commission which the Group earns in exchange for arranging for the specified goods or services to be provided by other parties. Revenues are recorded net of value added taxes.</w:t>
      </w:r>
    </w:p>
    <w:p>
      <w:pPr>
        <w:spacing w:after="0" w:line="187" w:lineRule="exact"/>
        <w:rPr>
          <w:sz w:val="20"/>
          <w:szCs w:val="20"/>
          <w:color w:val="auto"/>
        </w:rPr>
      </w:pPr>
    </w:p>
    <w:p>
      <w:pPr>
        <w:ind w:left="240" w:right="300" w:firstLine="431"/>
        <w:spacing w:after="0" w:line="250" w:lineRule="auto"/>
        <w:rPr>
          <w:sz w:val="20"/>
          <w:szCs w:val="20"/>
          <w:color w:val="auto"/>
        </w:rPr>
      </w:pPr>
      <w:r>
        <w:rPr>
          <w:rFonts w:ascii="Times New Roman" w:cs="Times New Roman" w:eastAsia="Times New Roman" w:hAnsi="Times New Roman"/>
          <w:sz w:val="18"/>
          <w:szCs w:val="18"/>
          <w:color w:val="auto"/>
        </w:rPr>
        <w:t>The Group recognizes revenues net of discounts and return allowances when the products are delivered and title is passed to customers. Significant judgement is required to estimate return allowances. For online retail business with return conditions, the Group reasonably estimates the possibility of return based on the historical experience, changes in judgments on these assumptions and such estimates could materially impact the amount of net revenues recognized. As of December 31, 2024 and 2025, liabilities for return allowances were RMB1,029 million and</w:t>
      </w:r>
    </w:p>
    <w:p>
      <w:pPr>
        <w:spacing w:after="0" w:line="1"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8"/>
          <w:szCs w:val="18"/>
          <w:color w:val="auto"/>
        </w:rPr>
        <w:t>RMB1,063 million, respectively, which were included in “Accrued expenses and other current liabilities”. The rights to recover products from customers associated with the Group’s liabilities for return allowances are the Group’s assets, which were RMB1,056 million and RMB1,115 million as of December 31, 2024 and 2025, respectively, and were included in “Prepayments and other current assets”.</w:t>
      </w:r>
    </w:p>
    <w:p>
      <w:pPr>
        <w:spacing w:after="0" w:line="189" w:lineRule="exact"/>
        <w:rPr>
          <w:sz w:val="20"/>
          <w:szCs w:val="20"/>
          <w:color w:val="auto"/>
        </w:rPr>
      </w:pPr>
    </w:p>
    <w:p>
      <w:pPr>
        <w:ind w:left="240" w:right="220" w:firstLine="431"/>
        <w:spacing w:after="0" w:line="251" w:lineRule="auto"/>
        <w:rPr>
          <w:sz w:val="20"/>
          <w:szCs w:val="20"/>
          <w:color w:val="auto"/>
        </w:rPr>
      </w:pPr>
      <w:r>
        <w:rPr>
          <w:rFonts w:ascii="Times New Roman" w:cs="Times New Roman" w:eastAsia="Times New Roman" w:hAnsi="Times New Roman"/>
          <w:sz w:val="18"/>
          <w:szCs w:val="18"/>
          <w:color w:val="auto"/>
        </w:rPr>
        <w:t>The Group also sells prepaid cards which can be redeemed to purchase products sold on the JD Platform. In accordance with ASC 606, the cash collected from the sales of prepaid cards is initially recorded in “advance from customers” in the consolidated balance sheets and subsequently recognized as revenues upon the sales of the respective products through redemption of prepaid cards are completed. The Group recognizes revenues from estimated unredeemed prepaid cards over the expected customer redemption periods, rather than waiting until prepaid cards expire or when the likelihood of redemption becomes remote in accordance with ASC 606.</w:t>
      </w:r>
    </w:p>
    <w:p>
      <w:pPr>
        <w:spacing w:after="0" w:line="187" w:lineRule="exact"/>
        <w:rPr>
          <w:sz w:val="20"/>
          <w:szCs w:val="20"/>
          <w:color w:val="auto"/>
        </w:rPr>
      </w:pPr>
    </w:p>
    <w:p>
      <w:pPr>
        <w:ind w:left="240" w:right="120" w:firstLine="431"/>
        <w:spacing w:after="0" w:line="253" w:lineRule="auto"/>
        <w:rPr>
          <w:sz w:val="20"/>
          <w:szCs w:val="20"/>
          <w:color w:val="auto"/>
        </w:rPr>
      </w:pPr>
      <w:r>
        <w:rPr>
          <w:rFonts w:ascii="Times New Roman" w:cs="Times New Roman" w:eastAsia="Times New Roman" w:hAnsi="Times New Roman"/>
          <w:sz w:val="18"/>
          <w:szCs w:val="18"/>
          <w:color w:val="auto"/>
        </w:rPr>
        <w:t>Revenue arrangements with multiple deliverables are divided into separate units of accounting based on the stand-alone selling price (“SSP”) of each separate unit. In instances where SSP is not directly observable, such as the Group does not have vendor-specific objective evidence or third-party evidence of the selling prices of the deliverables, considerations are allocated using estimated selling prices based on adjusted market assessment approach.</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20"/>
          </w:cols>
          <w:pgMar w:left="320" w:top="476" w:right="5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z. Revenues (Continued)</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Net Product Revenues</w:t>
      </w:r>
    </w:p>
    <w:p>
      <w:pPr>
        <w:spacing w:after="0" w:line="112" w:lineRule="exact"/>
        <w:rPr>
          <w:sz w:val="20"/>
          <w:szCs w:val="20"/>
          <w:color w:val="auto"/>
        </w:rPr>
      </w:pPr>
    </w:p>
    <w:p>
      <w:pPr>
        <w:ind w:left="240" w:right="120" w:firstLine="431"/>
        <w:spacing w:after="0" w:line="251" w:lineRule="auto"/>
        <w:rPr>
          <w:sz w:val="20"/>
          <w:szCs w:val="20"/>
          <w:color w:val="auto"/>
        </w:rPr>
      </w:pPr>
      <w:r>
        <w:rPr>
          <w:rFonts w:ascii="Times New Roman" w:cs="Times New Roman" w:eastAsia="Times New Roman" w:hAnsi="Times New Roman"/>
          <w:sz w:val="18"/>
          <w:szCs w:val="18"/>
          <w:color w:val="auto"/>
        </w:rPr>
        <w:t>The Group recognizes the product revenues from the online retail business on a gross basis as the Group is acting as a principal in these transactions and is responsible for fulfilling the promise to provide the specified goods. Revenues from the sales of electronics and home appliance products were RMB538,799 million, RMB564,982 million and RMB605,131 million, and revenues from the sales of general merchandise products were RMB332,425 million, RMB363,025 million and RMB418,671 million, for the years ended December 31, 2023, 2024 and 2025, respectively. The Group’s net product revenues were mainly generated by the JD Retail segment.</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Net Service Revenues</w:t>
      </w:r>
    </w:p>
    <w:p>
      <w:pPr>
        <w:spacing w:after="0" w:line="112" w:lineRule="exact"/>
        <w:rPr>
          <w:sz w:val="20"/>
          <w:szCs w:val="20"/>
          <w:color w:val="auto"/>
        </w:rPr>
      </w:pPr>
    </w:p>
    <w:p>
      <w:pPr>
        <w:ind w:left="240" w:right="100" w:firstLine="431"/>
        <w:spacing w:after="0" w:line="253" w:lineRule="auto"/>
        <w:rPr>
          <w:sz w:val="20"/>
          <w:szCs w:val="20"/>
          <w:color w:val="auto"/>
        </w:rPr>
      </w:pPr>
      <w:r>
        <w:rPr>
          <w:rFonts w:ascii="Times New Roman" w:cs="Times New Roman" w:eastAsia="Times New Roman" w:hAnsi="Times New Roman"/>
          <w:sz w:val="18"/>
          <w:szCs w:val="18"/>
          <w:color w:val="auto"/>
        </w:rPr>
        <w:t>The Group charges commission fees to third-party merchants for participating in the Group’s online marketplace, where the Group generally is acting as an agent and its performance obligation is to arrange for the provision of the specified goods or services by those third-party merchants. Upon successful sales, the Group charges the third-party merchants a negotiated amount or a fixed rate commission fee based on the sales amount. Commission fee revenues are recognized on a net basis at the point of delivery of products, net of return allowances.</w:t>
      </w:r>
    </w:p>
    <w:p>
      <w:pPr>
        <w:spacing w:after="0" w:line="185" w:lineRule="exact"/>
        <w:rPr>
          <w:sz w:val="20"/>
          <w:szCs w:val="20"/>
          <w:color w:val="auto"/>
        </w:rPr>
      </w:pPr>
    </w:p>
    <w:p>
      <w:pPr>
        <w:ind w:left="240" w:right="100" w:firstLine="431"/>
        <w:spacing w:after="0" w:line="267" w:lineRule="auto"/>
        <w:rPr>
          <w:sz w:val="20"/>
          <w:szCs w:val="20"/>
          <w:color w:val="auto"/>
        </w:rPr>
      </w:pPr>
      <w:r>
        <w:rPr>
          <w:rFonts w:ascii="Times New Roman" w:cs="Times New Roman" w:eastAsia="Times New Roman" w:hAnsi="Times New Roman"/>
          <w:sz w:val="17"/>
          <w:szCs w:val="17"/>
          <w:color w:val="auto"/>
        </w:rPr>
        <w:t>The Group provides marketing services to third-party merchants, suppliers and other business partners on its various website channels and third-party marketing affiliate’s websites, including but not limited to pay for performance marketing services on which the customers are charged based on effective clicks on their product information, and display advertising services that allow customers to place advertisements on various websites. The Group recognizes revenues from pay for performance marketing services based on effective clicks, and recognizes revenues from display advertising services ratably over the period during which the advertising services are provided or on the number of times that the advertisement has been displayed based on cost per thousand impressions. The Group did not enter into material advertising-for-advertising barter transactions for the periods presented.</w:t>
      </w:r>
    </w:p>
    <w:p>
      <w:pPr>
        <w:spacing w:after="0" w:line="176" w:lineRule="exact"/>
        <w:rPr>
          <w:sz w:val="20"/>
          <w:szCs w:val="20"/>
          <w:color w:val="auto"/>
        </w:rPr>
      </w:pPr>
    </w:p>
    <w:p>
      <w:pPr>
        <w:ind w:left="240" w:firstLine="431"/>
        <w:spacing w:after="0" w:line="253" w:lineRule="auto"/>
        <w:rPr>
          <w:sz w:val="20"/>
          <w:szCs w:val="20"/>
          <w:color w:val="auto"/>
        </w:rPr>
      </w:pPr>
      <w:r>
        <w:rPr>
          <w:rFonts w:ascii="Times New Roman" w:cs="Times New Roman" w:eastAsia="Times New Roman" w:hAnsi="Times New Roman"/>
          <w:sz w:val="18"/>
          <w:szCs w:val="18"/>
          <w:color w:val="auto"/>
        </w:rPr>
        <w:t>The Group offers integrated supply chain solutions and logistics services, primarily including warehousing and distribution services, express and freight, as well as on-demand delivery services. Revenues from integrated supply chain solutions and logistics services are recognized over time because of the continuous transfer of control to the customers, while revenues from the on-demand delivery services are recognized at the point of delivery of merchandise.</w:t>
      </w:r>
    </w:p>
    <w:p>
      <w:pPr>
        <w:spacing w:after="0" w:line="185" w:lineRule="exact"/>
        <w:rPr>
          <w:sz w:val="20"/>
          <w:szCs w:val="20"/>
          <w:color w:val="auto"/>
        </w:rPr>
      </w:pPr>
    </w:p>
    <w:p>
      <w:pPr>
        <w:ind w:left="240" w:right="20" w:firstLine="431"/>
        <w:spacing w:after="0" w:line="249" w:lineRule="auto"/>
        <w:rPr>
          <w:sz w:val="20"/>
          <w:szCs w:val="20"/>
          <w:color w:val="auto"/>
        </w:rPr>
      </w:pPr>
      <w:r>
        <w:rPr>
          <w:rFonts w:ascii="Times New Roman" w:cs="Times New Roman" w:eastAsia="Times New Roman" w:hAnsi="Times New Roman"/>
          <w:sz w:val="18"/>
          <w:szCs w:val="18"/>
          <w:color w:val="auto"/>
        </w:rPr>
        <w:t>The Group also provides on-demand retail platform services, which include JD Food Delivery. The Group acts as an agent and charges the merchants a fixed rate commission fee based on the sales amount and commission fee revenues on a net basis at the point of delivery of merchandise upon successful sales. In addition, the Group fulfills the delivery needs of merchants and personnel customers, the Group has determined that it acts as the principal in the delivery service and recognizes revenues on a gross basis at a pre-determined amount for each completed delivery. These on-demand retail platform services and corresponding delivery services are usually included in the same contract with the customers, and each service is considered distinct and is determined to be a separate performance obligation. The transaction price is allocated on the basis of relative SSP, which is based on the observable price of each service that provided by the Group separately.</w:t>
      </w:r>
    </w:p>
    <w:p>
      <w:pPr>
        <w:spacing w:after="0" w:line="189" w:lineRule="exact"/>
        <w:rPr>
          <w:sz w:val="20"/>
          <w:szCs w:val="20"/>
          <w:color w:val="auto"/>
        </w:rPr>
      </w:pPr>
    </w:p>
    <w:p>
      <w:pPr>
        <w:jc w:val="both"/>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JD Plus memberships provide the Group’s core customers with a better shopping experience, access to an evolving suite of benefits that represent a single stand-ready obligation. Subscriptions are paid for at the time of or in advance of delivering the services. Revenues from such arrangements are recognized over the subscription period.</w:t>
      </w:r>
    </w:p>
    <w:p>
      <w:pPr>
        <w:spacing w:after="0" w:line="179" w:lineRule="exact"/>
        <w:rPr>
          <w:sz w:val="20"/>
          <w:szCs w:val="20"/>
          <w:color w:val="auto"/>
        </w:rPr>
      </w:pPr>
    </w:p>
    <w:p>
      <w:pPr>
        <w:ind w:left="240" w:right="160" w:firstLine="431"/>
        <w:spacing w:after="0" w:line="280" w:lineRule="auto"/>
        <w:rPr>
          <w:sz w:val="20"/>
          <w:szCs w:val="20"/>
          <w:color w:val="auto"/>
        </w:rPr>
      </w:pPr>
      <w:r>
        <w:rPr>
          <w:rFonts w:ascii="Times New Roman" w:cs="Times New Roman" w:eastAsia="Times New Roman" w:hAnsi="Times New Roman"/>
          <w:sz w:val="17"/>
          <w:szCs w:val="17"/>
          <w:color w:val="auto"/>
        </w:rPr>
        <w:t>The Group offers comprehensive customer services, primarily including 7*24 hours customer services to respond to customers’ post-sales requests, return and exchange services to facilitate customers’ return, exchange and repair of defective goods. These services are free of charge. The Group also provides return/exchange logistics services to the customers, of which the revenues recognized were not material for the periods presented.</w:t>
      </w:r>
    </w:p>
    <w:p>
      <w:pPr>
        <w:spacing w:after="0" w:line="162" w:lineRule="exact"/>
        <w:rPr>
          <w:sz w:val="20"/>
          <w:szCs w:val="20"/>
          <w:color w:val="auto"/>
        </w:rPr>
      </w:pPr>
    </w:p>
    <w:p>
      <w:pPr>
        <w:ind w:left="240" w:right="60" w:firstLine="431"/>
        <w:spacing w:after="0" w:line="253" w:lineRule="auto"/>
        <w:rPr>
          <w:sz w:val="20"/>
          <w:szCs w:val="20"/>
          <w:color w:val="auto"/>
        </w:rPr>
      </w:pPr>
      <w:r>
        <w:rPr>
          <w:rFonts w:ascii="Times New Roman" w:cs="Times New Roman" w:eastAsia="Times New Roman" w:hAnsi="Times New Roman"/>
          <w:sz w:val="18"/>
          <w:szCs w:val="18"/>
          <w:color w:val="auto"/>
        </w:rPr>
        <w:t>Revenues from online marketplace and marketing services were RMB84,726 million, RMB90,111 million and RMB107,131 million for the years ended December 31, 2023, 2024 and 2025, respectively, which were mainly generated by the JD Retail segment. Revenues from logistics and other services were RMB128,712 million, RMB140,701 million and RMB178,152 million, for the years ended December 31, 2023, 2024 and 2025, respectively, which were mainly generated by the JD Logistics segment.</w:t>
      </w:r>
    </w:p>
    <w:p>
      <w:pPr>
        <w:spacing w:after="0" w:line="1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00"/>
          </w:cols>
          <w:pgMar w:left="320" w:top="476" w:right="5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aa. Contract balances</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revenues recognized prior to invoicing when the Group has satisfied the Group’s performance obligation and has the unconditional rights to payment.</w:t>
      </w:r>
    </w:p>
    <w:p>
      <w:pPr>
        <w:spacing w:after="0" w:line="199"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Unearned revenues consist of payments received or awards to customers related to unsatisfied performance obligation at the end of the period and are recognized in “Deferred revenues” and “Advance from customers” in the Group’s consolidated balance sheets. The non-current portion of deferred revenues is included in “Other non-current liabilities” in the Group’s consolidated balance sheets and not significant. As of December 31, 2024, the Group’s total unearned revenues were RMB28,458 million, of which RMB23,238 million was recognized as revenues for the year ended December 31, 2025. The Group’s total unearned revenues were RMB30,949 million as of December 31, 2025, mainly expected to be recognized as revenue within one year.</w:t>
      </w:r>
    </w:p>
    <w:p>
      <w:pPr>
        <w:spacing w:after="0" w:line="187" w:lineRule="exact"/>
        <w:rPr>
          <w:sz w:val="20"/>
          <w:szCs w:val="20"/>
          <w:color w:val="auto"/>
        </w:rPr>
      </w:pPr>
    </w:p>
    <w:p>
      <w:pPr>
        <w:ind w:left="240" w:right="160" w:firstLine="431"/>
        <w:spacing w:after="0" w:line="280" w:lineRule="auto"/>
        <w:rPr>
          <w:sz w:val="20"/>
          <w:szCs w:val="20"/>
          <w:color w:val="auto"/>
        </w:rPr>
      </w:pPr>
      <w:r>
        <w:rPr>
          <w:rFonts w:ascii="Times New Roman" w:cs="Times New Roman" w:eastAsia="Times New Roman" w:hAnsi="Times New Roman"/>
          <w:sz w:val="17"/>
          <w:szCs w:val="17"/>
          <w:color w:val="auto"/>
        </w:rPr>
        <w:t>The Group applied a practical expedient to expense costs as incurred for costs to obtain a contract with a customer when the amortization period would have been one year or less. These costs include certain partner sales incentive programs. The Group has no material incremental costs of obtaining contracts with customers that the Group expects the benefit of those costs to be longer than one year which need to be recognized as assets.</w:t>
      </w:r>
    </w:p>
    <w:p>
      <w:pPr>
        <w:spacing w:after="0" w:line="2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bb. Customer incentives and loyalty programs</w:t>
      </w:r>
    </w:p>
    <w:p>
      <w:pPr>
        <w:spacing w:after="0" w:line="114" w:lineRule="exact"/>
        <w:rPr>
          <w:sz w:val="20"/>
          <w:szCs w:val="20"/>
          <w:color w:val="auto"/>
        </w:rPr>
      </w:pPr>
    </w:p>
    <w:p>
      <w:pPr>
        <w:ind w:left="240" w:firstLine="431"/>
        <w:spacing w:after="0" w:line="267" w:lineRule="auto"/>
        <w:rPr>
          <w:sz w:val="20"/>
          <w:szCs w:val="20"/>
          <w:color w:val="auto"/>
        </w:rPr>
      </w:pPr>
      <w:r>
        <w:rPr>
          <w:rFonts w:ascii="Times New Roman" w:cs="Times New Roman" w:eastAsia="Times New Roman" w:hAnsi="Times New Roman"/>
          <w:sz w:val="17"/>
          <w:szCs w:val="17"/>
          <w:color w:val="auto"/>
        </w:rPr>
        <w:t>For the Group’s online retail business, the Group provides discounted coupons, mainly D Coupons, to its customers for free to incentivize purchase. D Coupons are given to a customer upon current purchase or can be given for free to promote future purchases. D Coupons require the customer to make future purchase of a minimum value in order to enjoy the value provided by the coupon. The rights to purchase discounted products in the future does not represent a material right to the customer. The Group assesses the significance of the discount by considering its percentage of the total future minimum purchase value, historical usage pattern by the customers and relative outstanding volume and monetary value of D Coupons compared to the other discounts offered by the Group. D Coupons are accounted for as a reduction of revenues on the future purchase.</w:t>
      </w:r>
    </w:p>
    <w:p>
      <w:pPr>
        <w:spacing w:after="0" w:line="176" w:lineRule="exact"/>
        <w:rPr>
          <w:sz w:val="20"/>
          <w:szCs w:val="20"/>
          <w:color w:val="auto"/>
        </w:rPr>
      </w:pPr>
    </w:p>
    <w:p>
      <w:pPr>
        <w:ind w:left="240" w:right="200" w:firstLine="431"/>
        <w:spacing w:after="0" w:line="251" w:lineRule="auto"/>
        <w:rPr>
          <w:sz w:val="20"/>
          <w:szCs w:val="20"/>
          <w:color w:val="auto"/>
        </w:rPr>
      </w:pPr>
      <w:r>
        <w:rPr>
          <w:rFonts w:ascii="Times New Roman" w:cs="Times New Roman" w:eastAsia="Times New Roman" w:hAnsi="Times New Roman"/>
          <w:sz w:val="18"/>
          <w:szCs w:val="18"/>
          <w:color w:val="auto"/>
        </w:rPr>
        <w:t>For the Group’s online marketplace and on-demand retail platform services, the Group also provides discounted coupons, mainly D coupons, to consumers at the Group’s own discretion. The Group evaluated the features of different incentive programs to determine whether the incentives represent explicit or implicit obligations to the consumers on behalf of merchants and if so, should be recorded as reduction of revenues. If the Group has determined that incentives provided to the consumers are not consideration payable to the merchants, the Group records these incentives as marketing expenses.</w:t>
      </w:r>
    </w:p>
    <w:p>
      <w:pPr>
        <w:spacing w:after="0" w:line="187" w:lineRule="exact"/>
        <w:rPr>
          <w:sz w:val="20"/>
          <w:szCs w:val="20"/>
          <w:color w:val="auto"/>
        </w:rPr>
      </w:pPr>
    </w:p>
    <w:p>
      <w:pPr>
        <w:ind w:left="240" w:right="60" w:firstLine="431"/>
        <w:spacing w:after="0" w:line="249" w:lineRule="auto"/>
        <w:rPr>
          <w:sz w:val="20"/>
          <w:szCs w:val="20"/>
          <w:color w:val="auto"/>
        </w:rPr>
      </w:pPr>
      <w:r>
        <w:rPr>
          <w:rFonts w:ascii="Times New Roman" w:cs="Times New Roman" w:eastAsia="Times New Roman" w:hAnsi="Times New Roman"/>
          <w:sz w:val="18"/>
          <w:szCs w:val="18"/>
          <w:color w:val="auto"/>
        </w:rPr>
        <w:t>Registered customers may also earn J Beans, which were launched based on certain activities performed on the Group’s website by the customers and can be used against qualified purchases on JD Platform, which will directly reduce the amount paid by the customer, or redeemed for D Coupons that can be used in certain shops on JD Platform. The Group considers J Beans awarded to be a separate performance obligation identified in the contract. Therefore, the sales consideration is allocated to the products and J Beans based on the relative SSP of the products and J Beans awarded. Consideration allocated to J Beans is initially recorded as deferred revenues, and recognized as revenues when J Beans are used or expired. J Beans will expire at the subsequent year end after issuance. For the years ended December 31, 2023, 2024 and 2025, the amounts of expired J Beans were not material.</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cc. Cost of revenues</w:t>
      </w:r>
    </w:p>
    <w:p>
      <w:pPr>
        <w:spacing w:after="0" w:line="114" w:lineRule="exact"/>
        <w:rPr>
          <w:sz w:val="20"/>
          <w:szCs w:val="20"/>
          <w:color w:val="auto"/>
        </w:rPr>
      </w:pPr>
    </w:p>
    <w:p>
      <w:pPr>
        <w:ind w:left="240" w:right="140" w:firstLine="431"/>
        <w:spacing w:after="0" w:line="270" w:lineRule="auto"/>
        <w:rPr>
          <w:sz w:val="20"/>
          <w:szCs w:val="20"/>
          <w:color w:val="auto"/>
        </w:rPr>
      </w:pPr>
      <w:r>
        <w:rPr>
          <w:rFonts w:ascii="Times New Roman" w:cs="Times New Roman" w:eastAsia="Times New Roman" w:hAnsi="Times New Roman"/>
          <w:sz w:val="18"/>
          <w:szCs w:val="18"/>
          <w:color w:val="auto"/>
        </w:rPr>
        <w:t>Cost of revenues consists primarily of purchase price of products, inbound shipping charges, write-downs of inventories, traffic acquisition costs related to online marketing services, and cost related to logistics services provided to third parties.</w:t>
      </w:r>
    </w:p>
    <w:p>
      <w:pPr>
        <w:spacing w:after="0" w:line="1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00"/>
          </w:cols>
          <w:pgMar w:left="320" w:top="476" w:right="5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dd. Rebates</w:t>
      </w:r>
    </w:p>
    <w:p>
      <w:pPr>
        <w:spacing w:after="0" w:line="114" w:lineRule="exact"/>
        <w:rPr>
          <w:sz w:val="20"/>
          <w:szCs w:val="20"/>
          <w:color w:val="auto"/>
        </w:rPr>
      </w:pPr>
    </w:p>
    <w:p>
      <w:pPr>
        <w:ind w:left="240" w:right="100" w:firstLine="431"/>
        <w:spacing w:after="0" w:line="250" w:lineRule="auto"/>
        <w:rPr>
          <w:sz w:val="20"/>
          <w:szCs w:val="20"/>
          <w:color w:val="auto"/>
        </w:rPr>
      </w:pPr>
      <w:r>
        <w:rPr>
          <w:rFonts w:ascii="Times New Roman" w:cs="Times New Roman" w:eastAsia="Times New Roman" w:hAnsi="Times New Roman"/>
          <w:sz w:val="18"/>
          <w:szCs w:val="18"/>
          <w:color w:val="auto"/>
        </w:rPr>
        <w:t>The Group periodically receives considerations from certain vendors, representing rebates for products purchased over a period of time. The Group accounts for the rebates received from its vendors as a reduction to the prices it pays for the products purchased and therefore the Group records such amounts as a reduction of “cost of revenues” when recognized in the consolidated statements of operations and comprehensive income. Certain rebates are earned upon reaching minimum purchase or sales volume thresholds for a specified period. When volume rebates can be reasonably estimated based on the Group’s past experiences and current forecasts, a portion of the rebates is recognized as the Group makes progress towards the volume threshold.</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ee. Fulfillment</w:t>
      </w:r>
    </w:p>
    <w:p>
      <w:pPr>
        <w:spacing w:after="0" w:line="114" w:lineRule="exact"/>
        <w:rPr>
          <w:sz w:val="20"/>
          <w:szCs w:val="20"/>
          <w:color w:val="auto"/>
        </w:rPr>
      </w:pPr>
    </w:p>
    <w:p>
      <w:pPr>
        <w:ind w:left="240" w:firstLine="431"/>
        <w:spacing w:after="0" w:line="266" w:lineRule="auto"/>
        <w:rPr>
          <w:sz w:val="20"/>
          <w:szCs w:val="20"/>
          <w:color w:val="auto"/>
        </w:rPr>
      </w:pPr>
      <w:r>
        <w:rPr>
          <w:rFonts w:ascii="Times New Roman" w:cs="Times New Roman" w:eastAsia="Times New Roman" w:hAnsi="Times New Roman"/>
          <w:sz w:val="17"/>
          <w:szCs w:val="17"/>
          <w:color w:val="auto"/>
        </w:rPr>
        <w:t>Fulfillment expenses consist primarily of (i) expenses incurred in operating the Group’s fulfillment centers, customer service centers and physical stores, including personnel cost and expenses attributable to buying, receiving, inspecting and warehousing inventories, picking, packaging, and preparing customer orders for shipment, processing payment and related transaction costs, (ii) expenses charged by third-party couriers for dispatching and delivering the Group’s products, (iii) lease expenses of warehouses, delivery and pickup stations, and physical stores, and (iv) depreciation and amortization of logistics and electronic equipment. The cost related to logistics services provided to third parties is classified in “cost of revenues” in the consolidated statements of operations and comprehensive income. Shipping costs included in fulfillment expenses amounted to RMB29,858 million, RMB32,643 million and RMB40,004 million for the years ended December 31, 2023, 2024 and 2025, respectively.</w:t>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ff. Marketing</w:t>
      </w:r>
    </w:p>
    <w:p>
      <w:pPr>
        <w:spacing w:after="0" w:line="114" w:lineRule="exact"/>
        <w:rPr>
          <w:sz w:val="20"/>
          <w:szCs w:val="20"/>
          <w:color w:val="auto"/>
        </w:rPr>
      </w:pPr>
    </w:p>
    <w:p>
      <w:pPr>
        <w:jc w:val="both"/>
        <w:ind w:left="240" w:right="280" w:firstLine="431"/>
        <w:spacing w:after="0" w:line="280" w:lineRule="auto"/>
        <w:rPr>
          <w:sz w:val="20"/>
          <w:szCs w:val="20"/>
          <w:color w:val="auto"/>
        </w:rPr>
      </w:pPr>
      <w:r>
        <w:rPr>
          <w:rFonts w:ascii="Times New Roman" w:cs="Times New Roman" w:eastAsia="Times New Roman" w:hAnsi="Times New Roman"/>
          <w:sz w:val="17"/>
          <w:szCs w:val="17"/>
          <w:color w:val="auto"/>
        </w:rPr>
        <w:t>Marketing expenses consist primarily of advertising costs, public relations expenditures, and employee compensation and associated costs for marketing and business development activities. The Group pays commissions to participants in the associates program when their customer referrals result in successful product sales and records such costs in “marketing” in the consolidated statements of operations and comprehensive income.</w:t>
      </w:r>
    </w:p>
    <w:p>
      <w:pPr>
        <w:spacing w:after="0" w:line="162" w:lineRule="exact"/>
        <w:rPr>
          <w:sz w:val="20"/>
          <w:szCs w:val="20"/>
          <w:color w:val="auto"/>
        </w:rPr>
      </w:pPr>
    </w:p>
    <w:p>
      <w:pPr>
        <w:ind w:left="240" w:right="380" w:firstLine="431"/>
        <w:spacing w:after="0" w:line="270" w:lineRule="auto"/>
        <w:rPr>
          <w:sz w:val="20"/>
          <w:szCs w:val="20"/>
          <w:color w:val="auto"/>
        </w:rPr>
      </w:pPr>
      <w:r>
        <w:rPr>
          <w:rFonts w:ascii="Times New Roman" w:cs="Times New Roman" w:eastAsia="Times New Roman" w:hAnsi="Times New Roman"/>
          <w:sz w:val="17"/>
          <w:szCs w:val="17"/>
          <w:color w:val="auto"/>
        </w:rPr>
        <w:t>Advertising costs, which consist primarily of online advertising, offline television, movie and outdoor advertising, and incentive programs to attract or retain consumers for the Group’s online marketplace and on-demand retail platform services, are expensed as incurred, and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totaled RMB31,761 million, RMB38,172 million and RMB72,236 million for the years ended December 31, 2023, 2024 and 2025, respectively.</w:t>
      </w:r>
    </w:p>
    <w:p>
      <w:pPr>
        <w:spacing w:after="0" w:line="3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gg. Research and development</w:t>
      </w:r>
    </w:p>
    <w:p>
      <w:pPr>
        <w:spacing w:after="0" w:line="114"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consist primarily of payroll and related expenses for research and development employees involved in designing, developing and maintaining technology platform, and application of artificial intelligence, big data and cloud technologies and services, and technology infrastructure costs. Technology infrastructure costs include servers and other equipment depreciation, bandwidth and data center costs, rent, utilities and other expenses necessary to support the Group’s internal and external business. Research and development expenses are expensed as incurred. Software development costs are recorded in “Research and development” as incurred as the costs qualifying for capitalization have been insignificant.</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hh. General and administrative</w:t>
      </w:r>
    </w:p>
    <w:p>
      <w:pPr>
        <w:spacing w:after="0" w:line="114" w:lineRule="exact"/>
        <w:rPr>
          <w:sz w:val="20"/>
          <w:szCs w:val="20"/>
          <w:color w:val="auto"/>
        </w:rPr>
      </w:pPr>
    </w:p>
    <w:p>
      <w:pPr>
        <w:ind w:left="240" w:right="120" w:firstLine="43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expenses for general corporate functions, including accounting, finance, tax, legal and human relations; costs associated with these functions including facilities and equipment depreciation expenses, rental and other general corporate related expenses.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0980"/>
          </w:cols>
          <w:pgMar w:left="320" w:top="476" w:right="5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ii. Share-based compensation</w:t>
      </w:r>
    </w:p>
    <w:p>
      <w:pPr>
        <w:spacing w:after="0" w:line="114" w:lineRule="exact"/>
        <w:rPr>
          <w:sz w:val="20"/>
          <w:szCs w:val="20"/>
          <w:color w:val="auto"/>
        </w:rPr>
      </w:pPr>
    </w:p>
    <w:p>
      <w:pPr>
        <w:ind w:left="240" w:right="20" w:firstLine="431"/>
        <w:spacing w:after="0" w:line="258" w:lineRule="auto"/>
        <w:rPr>
          <w:sz w:val="20"/>
          <w:szCs w:val="20"/>
          <w:color w:val="auto"/>
        </w:rPr>
      </w:pPr>
      <w:r>
        <w:rPr>
          <w:rFonts w:ascii="Times New Roman" w:cs="Times New Roman" w:eastAsia="Times New Roman" w:hAnsi="Times New Roman"/>
          <w:sz w:val="18"/>
          <w:szCs w:val="18"/>
          <w:color w:val="auto"/>
        </w:rPr>
        <w:t xml:space="preserve">The Group grants restricted share units (“RSUs”) and share options of the Company and its subsidiaries to eligible employees and non-employees. The Group accounts for share-based awards issued to employees and non-employees in accordance with ASC Topic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240" w:right="40" w:firstLine="431"/>
        <w:spacing w:after="0" w:line="258" w:lineRule="auto"/>
        <w:rPr>
          <w:sz w:val="20"/>
          <w:szCs w:val="20"/>
          <w:color w:val="auto"/>
        </w:rPr>
      </w:pPr>
      <w:r>
        <w:rPr>
          <w:rFonts w:ascii="Times New Roman" w:cs="Times New Roman" w:eastAsia="Times New Roman" w:hAnsi="Times New Roman"/>
          <w:sz w:val="18"/>
          <w:szCs w:val="18"/>
          <w:color w:val="auto"/>
        </w:rPr>
        <w:t>Employees’ share-based awards and non-employees’ share-based awards are measured at the grant date fair value of the awards and recognized as expenses a) immediately at grant date if no vesting conditions are required; or b) using graded vesting method, net of estimated forfeitures, over the requisite service period, which is the vesting period.</w:t>
      </w:r>
    </w:p>
    <w:p>
      <w:pPr>
        <w:spacing w:after="0" w:line="179" w:lineRule="exact"/>
        <w:rPr>
          <w:sz w:val="20"/>
          <w:szCs w:val="20"/>
          <w:color w:val="auto"/>
        </w:rPr>
      </w:pPr>
    </w:p>
    <w:p>
      <w:pPr>
        <w:ind w:left="240" w:right="580" w:firstLine="431"/>
        <w:spacing w:after="0" w:line="270" w:lineRule="auto"/>
        <w:rPr>
          <w:sz w:val="20"/>
          <w:szCs w:val="20"/>
          <w:color w:val="auto"/>
        </w:rPr>
      </w:pPr>
      <w:r>
        <w:rPr>
          <w:rFonts w:ascii="Times New Roman" w:cs="Times New Roman" w:eastAsia="Times New Roman" w:hAnsi="Times New Roman"/>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69" w:lineRule="exact"/>
        <w:rPr>
          <w:sz w:val="20"/>
          <w:szCs w:val="20"/>
          <w:color w:val="auto"/>
        </w:rPr>
      </w:pPr>
    </w:p>
    <w:p>
      <w:pPr>
        <w:ind w:left="240" w:right="160" w:firstLine="431"/>
        <w:spacing w:after="0" w:line="251" w:lineRule="auto"/>
        <w:rPr>
          <w:sz w:val="20"/>
          <w:szCs w:val="20"/>
          <w:color w:val="auto"/>
        </w:rPr>
      </w:pPr>
      <w:r>
        <w:rPr>
          <w:rFonts w:ascii="Times New Roman" w:cs="Times New Roman" w:eastAsia="Times New Roman" w:hAnsi="Times New Roman"/>
          <w:sz w:val="18"/>
          <w:szCs w:val="18"/>
          <w:color w:val="auto"/>
        </w:rPr>
        <w:t>The Group uses the binomial option-pricing model or other appropriate methods to estimate the fair value of share options. The determination of estimated fair value of share-based payment awards on the grant date is affected by the fair value of the Company’s ordinary shares as well as assumptions regarding a number of complex and subjective variables. These variables include the expected value volatility of the Company over the expected term of the awards, actual and projected employee share option exercise behaviors, a risk-free interest rate, exercise multiple and expected dividend yield, if any.</w:t>
      </w:r>
    </w:p>
    <w:p>
      <w:pPr>
        <w:spacing w:after="0" w:line="187" w:lineRule="exact"/>
        <w:rPr>
          <w:sz w:val="20"/>
          <w:szCs w:val="20"/>
          <w:color w:val="auto"/>
        </w:rPr>
      </w:pPr>
    </w:p>
    <w:p>
      <w:pPr>
        <w:ind w:left="240" w:right="40" w:firstLine="431"/>
        <w:spacing w:after="0" w:line="251" w:lineRule="auto"/>
        <w:rPr>
          <w:sz w:val="20"/>
          <w:szCs w:val="20"/>
          <w:color w:val="auto"/>
        </w:rPr>
      </w:pPr>
      <w:r>
        <w:rPr>
          <w:rFonts w:ascii="Times New Roman" w:cs="Times New Roman" w:eastAsia="Times New Roman" w:hAnsi="Times New Roman"/>
          <w:sz w:val="18"/>
          <w:szCs w:val="18"/>
          <w:color w:val="auto"/>
        </w:rPr>
        <w:t>Determination of estimated fair value of the Company’s subsidiaries before they were publicly listed requires complex and subjective judgments due to their limited financial and operating history, unique business risks and limited public information on companies in China similar to the Company’s subsidiaries. The Company estimates the Company’s subsidiaries’ enterprise value for purposes of recording share-based compensation, and the information considered by the Company mainly includes but are not limited to the pricing of recent rounds of financing, future cash flow forecasts, discount rates, and liquidity factors.</w:t>
      </w:r>
    </w:p>
    <w:p>
      <w:pPr>
        <w:spacing w:after="0" w:line="187" w:lineRule="exact"/>
        <w:rPr>
          <w:sz w:val="20"/>
          <w:szCs w:val="20"/>
          <w:color w:val="auto"/>
        </w:rPr>
      </w:pPr>
    </w:p>
    <w:p>
      <w:pPr>
        <w:ind w:left="240" w:right="260" w:firstLine="431"/>
        <w:spacing w:after="0" w:line="270" w:lineRule="auto"/>
        <w:rPr>
          <w:sz w:val="20"/>
          <w:szCs w:val="20"/>
          <w:color w:val="auto"/>
        </w:rPr>
      </w:pPr>
      <w:r>
        <w:rPr>
          <w:rFonts w:ascii="Times New Roman" w:cs="Times New Roman" w:eastAsia="Times New Roman" w:hAnsi="Times New Roman"/>
          <w:sz w:val="18"/>
          <w:szCs w:val="18"/>
          <w:color w:val="auto"/>
        </w:rPr>
        <w:t>The Group recognizes the estimated compensation cost of RSUs based on the fair value of its ordinary shares at the grant date, net of estimated forfeitures, over a vesting term for service-based RSUs.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Forfeitures are estimated at the time of grant and revised in the subsequent periods if actual forfeitures differ from those estimates.</w:t>
      </w:r>
    </w:p>
    <w:p>
      <w:pPr>
        <w:spacing w:after="0" w:line="216" w:lineRule="exact"/>
        <w:rPr>
          <w:sz w:val="20"/>
          <w:szCs w:val="20"/>
          <w:color w:val="auto"/>
        </w:rPr>
      </w:pPr>
    </w:p>
    <w:p>
      <w:pPr>
        <w:ind w:left="240" w:right="40" w:firstLine="431"/>
        <w:spacing w:after="0" w:line="250" w:lineRule="auto"/>
        <w:rPr>
          <w:sz w:val="20"/>
          <w:szCs w:val="20"/>
          <w:color w:val="auto"/>
        </w:rPr>
      </w:pPr>
      <w:r>
        <w:rPr>
          <w:rFonts w:ascii="Times New Roman" w:cs="Times New Roman" w:eastAsia="Times New Roman" w:hAnsi="Times New Roman"/>
          <w:sz w:val="18"/>
          <w:szCs w:val="18"/>
          <w:color w:val="auto"/>
        </w:rPr>
        <w:t>A change in the terms or conditions of a share-based award, or cancellation of a share-based award accompanied by the concurrent grant of a replacement award is accounted for as a modification (that is, an exchange of the original award for a new award), unless the award’s fair value, vesting conditions, and classification as an equity instrument are the same as immediately before and after the change. The Group recognizes incremental compensation cost for an amount equal to the excess of the fair value of the modified award over the fair value of the original award immediately before the modification. Therefore, in relation to the modified award, the Group recognizes share-based compensation over the vesting periods of the modified award.</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jj. Income tax</w:t>
      </w:r>
    </w:p>
    <w:p>
      <w:pPr>
        <w:spacing w:after="0" w:line="114"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The Group follows the liability method of accounting for income taxes. Under this method, deferred tax assets and liabilities are determined based on the temporary differences between the carrying amounts in the financial statements and the tax bases of existing assets and liabilities by applying enacted statutory tax rates that will be in effect in the period in which the temporary differences are expected to reverse. The Group records a valuation allowance to reduce the amount of deferred tax assets if based on the weight of available evidence, it is more likely than not that some portion, or all of the deferred tax assets will not be realized. The effect on deferred taxes of a change in tax rates is recognized in the consolidated statements of operations and comprehensive income in the period of change. Deferred tax assets and liabilities are classified as non-current in the consolidated balance sheets.</w:t>
      </w:r>
    </w:p>
    <w:p>
      <w:pPr>
        <w:spacing w:after="0" w:line="200" w:lineRule="exact"/>
        <w:rPr>
          <w:sz w:val="20"/>
          <w:szCs w:val="20"/>
          <w:color w:val="auto"/>
        </w:rPr>
      </w:pPr>
    </w:p>
    <w:p>
      <w:pPr>
        <w:spacing w:after="0" w:line="2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20"/>
          </w:cols>
          <w:pgMar w:left="320" w:top="476" w:right="5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jj. Income tax (Continued)</w:t>
      </w:r>
    </w:p>
    <w:p>
      <w:pPr>
        <w:spacing w:after="0" w:line="114" w:lineRule="exact"/>
        <w:rPr>
          <w:sz w:val="20"/>
          <w:szCs w:val="20"/>
          <w:color w:val="auto"/>
        </w:rPr>
      </w:pPr>
    </w:p>
    <w:p>
      <w:pPr>
        <w:ind w:left="240" w:right="20" w:firstLine="431"/>
        <w:spacing w:after="0" w:line="247" w:lineRule="auto"/>
        <w:rPr>
          <w:sz w:val="20"/>
          <w:szCs w:val="20"/>
          <w:color w:val="auto"/>
        </w:rPr>
      </w:pPr>
      <w:r>
        <w:rPr>
          <w:rFonts w:ascii="Times New Roman" w:cs="Times New Roman" w:eastAsia="Times New Roman" w:hAnsi="Times New Roman"/>
          <w:sz w:val="18"/>
          <w:szCs w:val="18"/>
          <w:color w:val="auto"/>
        </w:rPr>
        <w:t>The Group recognizes in its consolidated financial statements the benefit of a tax position if the tax position is more likely than not to prevail based on the facts and technical merits of the position. Tax positions that meet the more-likely-than-not recognition threshold are measured at the largest amount of tax benefit that has a greater than fifty percent likelihood of being realized upon settlement. The Group estimates its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the Group’s estimates. As each audit is concluded, adjustments, if any, are recorded in the Group’s consolidated financial statements in the period in which the audit is concluded.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 As of December 31, 2024 and 2025, the Group did not have any significant unrecognized uncertain tax positions.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kk. Leases</w:t>
      </w:r>
    </w:p>
    <w:p>
      <w:pPr>
        <w:spacing w:after="0" w:line="114" w:lineRule="exact"/>
        <w:rPr>
          <w:sz w:val="20"/>
          <w:szCs w:val="20"/>
          <w:color w:val="auto"/>
        </w:rPr>
      </w:pPr>
    </w:p>
    <w:p>
      <w:pPr>
        <w:ind w:left="240" w:right="60" w:firstLine="431"/>
        <w:spacing w:after="0" w:line="248" w:lineRule="auto"/>
        <w:rPr>
          <w:sz w:val="20"/>
          <w:szCs w:val="20"/>
          <w:color w:val="auto"/>
        </w:rPr>
      </w:pPr>
      <w:r>
        <w:rPr>
          <w:rFonts w:ascii="Times New Roman" w:cs="Times New Roman" w:eastAsia="Times New Roman" w:hAnsi="Times New Roman"/>
          <w:sz w:val="18"/>
          <w:szCs w:val="18"/>
          <w:color w:val="auto"/>
        </w:rPr>
        <w:t>Right-of-use (“ROU”) assets represent the Group’s rights to use underlying assets for the lease term and lease liabilities represent the Group’s obligation to make lease payments arising from the lease. Operating lease ROU assets and liabilities are recognized at commencement date based on the present value of lease payments over the lease term, reduced by lease incentives received, plus any initial direct costs, using the discount rate for the lease at the commencement date. As the implicit rate in the lease is not readily determinable for the Group’s operating leases, the Group generally uses the incremental borrowing rate based on the estimated rate of interest for collateralized borrowing over a similar term of the lease payments at commencement date. The Group’s lease terms may include options to extend or terminate the lease when it is reasonably certain that the Group will exercise that option. Lease expense for lease payments is recognized on a straight-line basis over the lease term. The Group accounts for lease and non-lease components separately. The Group has no material finance leases for any of the periods presented.</w:t>
      </w:r>
    </w:p>
    <w:p>
      <w:pPr>
        <w:spacing w:after="0" w:line="193" w:lineRule="exact"/>
        <w:rPr>
          <w:sz w:val="20"/>
          <w:szCs w:val="20"/>
          <w:color w:val="auto"/>
        </w:rPr>
      </w:pPr>
    </w:p>
    <w:p>
      <w:pPr>
        <w:ind w:left="240" w:right="500" w:firstLine="431"/>
        <w:spacing w:after="0" w:line="270" w:lineRule="auto"/>
        <w:rPr>
          <w:sz w:val="20"/>
          <w:szCs w:val="20"/>
          <w:color w:val="auto"/>
        </w:rPr>
      </w:pPr>
      <w:r>
        <w:rPr>
          <w:rFonts w:ascii="Times New Roman" w:cs="Times New Roman" w:eastAsia="Times New Roman" w:hAnsi="Times New Roman"/>
          <w:sz w:val="17"/>
          <w:szCs w:val="17"/>
          <w:color w:val="auto"/>
        </w:rPr>
        <w:t>The Group also enters into sale and leaseback transactions. The Group acts as the seller-lessee, transfers its assets to a third-party entity (the buyer-lessor) and then leases the transferred assets back from the buyer-lessor at an arm-length rental price. Upon consideration of ASC Topic</w:t>
      </w:r>
    </w:p>
    <w:p>
      <w:pPr>
        <w:spacing w:after="0" w:line="1" w:lineRule="exact"/>
        <w:rPr>
          <w:sz w:val="20"/>
          <w:szCs w:val="20"/>
          <w:color w:val="auto"/>
        </w:rPr>
      </w:pPr>
    </w:p>
    <w:p>
      <w:pPr>
        <w:ind w:left="240"/>
        <w:spacing w:after="0" w:line="246" w:lineRule="auto"/>
        <w:rPr>
          <w:sz w:val="20"/>
          <w:szCs w:val="20"/>
          <w:color w:val="auto"/>
        </w:rPr>
      </w:pPr>
      <w:r>
        <w:rPr>
          <w:rFonts w:ascii="Times New Roman" w:cs="Times New Roman" w:eastAsia="Times New Roman" w:hAnsi="Times New Roman"/>
          <w:sz w:val="18"/>
          <w:szCs w:val="18"/>
          <w:color w:val="auto"/>
        </w:rPr>
        <w:t xml:space="preserve">842-40-25-1 and ASC 606, the transfer of the underlying assets is considered as sales, and according to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leaseback transaction is classified as an operating lease. Therefore, the sale and the leaseback of the underlying assets are separately accounted for by the Group. Upon completion of the transaction, the legal titles of these assets are transferred to the third-party entity (the buyer-lessor), and the Group derecognizes these transferred assets and recognizes gains or losses from disposal of these assets in accordance with ASC Topic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 The leaseback transactions are accounted for under ASC 842, and the ROU assets and lease liabilities are recognized at commencement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accordingly.</w:t>
      </w:r>
    </w:p>
    <w:p>
      <w:pPr>
        <w:spacing w:after="0" w:line="190" w:lineRule="exact"/>
        <w:rPr>
          <w:sz w:val="20"/>
          <w:szCs w:val="20"/>
          <w:color w:val="auto"/>
        </w:rPr>
      </w:pPr>
    </w:p>
    <w:p>
      <w:pPr>
        <w:ind w:left="240" w:right="120" w:firstLine="431"/>
        <w:spacing w:after="0" w:line="250" w:lineRule="auto"/>
        <w:rPr>
          <w:sz w:val="20"/>
          <w:szCs w:val="20"/>
          <w:color w:val="auto"/>
        </w:rPr>
      </w:pPr>
      <w:r>
        <w:rPr>
          <w:rFonts w:ascii="Times New Roman" w:cs="Times New Roman" w:eastAsia="Times New Roman" w:hAnsi="Times New Roman"/>
          <w:sz w:val="18"/>
          <w:szCs w:val="18"/>
          <w:color w:val="auto"/>
        </w:rPr>
        <w:t>The Group leases warehouses, offices, and store space to third-parties. The nature of the arrangements is operating lease which is neither a sales-type nor direct-financing lease. As such, the underlying assets remain in the Group’s consolidated balance sheets at their carrying value and continue to depreciate the assets based on the estimated useful life. Rental revenues should be recognized on a straight-line basis (or another systematic basis if that basis is more representative of the pattern in which income is earned from the underlying assets over the term of the respective lease). The Group records an unbilled rent receivable, which is the amount by which straight-line rental revenues exceed rents currently billed in accordance with the lease.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20"/>
          </w:cols>
          <w:pgMar w:left="320" w:top="476" w:right="5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ll. Comprehensive income/(loss)</w:t>
      </w:r>
    </w:p>
    <w:p>
      <w:pPr>
        <w:spacing w:after="0" w:line="114"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Comprehensive income/(loss) is defined as the changes in equity of the Group during a period from transactions and other events and circumstances excluding transactions resulting from investments from shareholders and distributions to shareholders. Comprehensive income/(loss) for the periods presented primarily includes net income and foreign currency translation adjustments.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mm. Net income per share</w:t>
      </w:r>
    </w:p>
    <w:p>
      <w:pPr>
        <w:spacing w:after="0" w:line="114" w:lineRule="exact"/>
        <w:rPr>
          <w:sz w:val="20"/>
          <w:szCs w:val="20"/>
          <w:color w:val="auto"/>
        </w:rPr>
      </w:pPr>
    </w:p>
    <w:p>
      <w:pPr>
        <w:ind w:left="240" w:right="40" w:firstLine="431"/>
        <w:spacing w:after="0" w:line="249"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attributable to ordinary shareholders by the weighted average number of ordinary shares outstanding during the period. For the calculation of diluted net income per share, the weighted average number of ordinary shares is adjusted by the effect of dilutive potential ordinary shares, including unvested RSUs and ordinary shares issuable upon the exercise of outstanding share options using the treasury stock method, and dilution impact of convertible senior notes using the if-converted method. Additionally, the Company takes into account the effect of dilutive shares of entities in which the Company holds equity interests. The dilutive impacts from equity interests mainly include equity investments accounted for using the equity method and the consolidated subsidiaries. The effect mentioned above is not included in the calculation of the diluted income per share when inclusion of such effect would be anti-dilutive.</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nn. Segment reporting</w:t>
      </w:r>
    </w:p>
    <w:p>
      <w:pPr>
        <w:spacing w:after="0" w:line="114"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79" w:lineRule="exact"/>
        <w:rPr>
          <w:sz w:val="20"/>
          <w:szCs w:val="20"/>
          <w:color w:val="auto"/>
        </w:rPr>
      </w:pPr>
    </w:p>
    <w:p>
      <w:pPr>
        <w:ind w:left="240" w:right="20" w:firstLine="431"/>
        <w:spacing w:after="0" w:line="251" w:lineRule="auto"/>
        <w:rPr>
          <w:sz w:val="20"/>
          <w:szCs w:val="20"/>
          <w:color w:val="auto"/>
        </w:rPr>
      </w:pPr>
      <w:r>
        <w:rPr>
          <w:rFonts w:ascii="Times New Roman" w:cs="Times New Roman" w:eastAsia="Times New Roman" w:hAnsi="Times New Roman"/>
          <w:sz w:val="18"/>
          <w:szCs w:val="18"/>
          <w:color w:val="auto"/>
        </w:rPr>
        <w:t>Before 2024, the Company reported four reportable segments, JD Retail, JD Logistics, Dada Nexus Limited (“Dada”) and New Businesses. JD Retail, including JD Health and JD Industrials, among other operating segments, mainly engage in online retail, online marketplace and marketing services in China. JD Logistics includes both internal and external logistics businesses. Dada is a local on-demand delivery and retail platform in China. New Businesses mainly included multiple operating segments, such as JD Property, Jingxi and overseas businesses which do not individually meet the quantitative and qualitative thresholds to be individually reportable and were aggregated given majority similarities.</w:t>
      </w:r>
    </w:p>
    <w:p>
      <w:pPr>
        <w:spacing w:after="0" w:line="187" w:lineRule="exact"/>
        <w:rPr>
          <w:sz w:val="20"/>
          <w:szCs w:val="20"/>
          <w:color w:val="auto"/>
        </w:rPr>
      </w:pPr>
    </w:p>
    <w:p>
      <w:pPr>
        <w:ind w:left="240" w:right="20" w:firstLine="431"/>
        <w:spacing w:after="0" w:line="248" w:lineRule="auto"/>
        <w:rPr>
          <w:sz w:val="20"/>
          <w:szCs w:val="20"/>
          <w:color w:val="auto"/>
        </w:rPr>
      </w:pPr>
      <w:r>
        <w:rPr>
          <w:rFonts w:ascii="Times New Roman" w:cs="Times New Roman" w:eastAsia="Times New Roman" w:hAnsi="Times New Roman"/>
          <w:sz w:val="18"/>
          <w:szCs w:val="18"/>
          <w:color w:val="auto"/>
        </w:rPr>
        <w:t>From the first quarter of 2024, the Company started to report three reportable segments, JD Retail, JD Logistics and New Businesses, to reflect changes made to the reporting structure whose financial information is reviewed by the CODM under the ongoing operating strategies. JD Retail, which includes JD Health and JD Industrials, mainly engage in online retail, online marketplace and marketing services in China. JD Logistics includes both internal and external logistics businesses. New Businesses mainly included multiple operating segments, such as Dada, JD Property, Jingxi and overseas businesses which do not individually meet the quantitative and qualitative thresholds to be individually reportable and were aggregated given majority similarities. Following its privatization in the second quarter of 2025, Dada became a wholly-owned subsidiary of the Group. The Company further realigned Dada’s business strategy to provide the infrastructure support for the Company’s strategic expansion into food delivery business. Since then New Businesses mainly included JD Food Delivery and Jingxi, which together engage businesses in high-frequency daily necessities, JD Property and overseas businesses.</w:t>
      </w:r>
    </w:p>
    <w:p>
      <w:pPr>
        <w:spacing w:after="0" w:line="190"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These changes align with the manner in which the Group’s CODM uses financial information to evaluate the performance of, and to allocate resources to, each of the operating segments. The prior periods’ segment operating results have been retrospectively recast in 2024 to conform to current period presentation.</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0980"/>
          </w:cols>
          <w:pgMar w:left="320" w:top="476" w:right="5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oo. Statutory reserves</w:t>
      </w:r>
    </w:p>
    <w:p>
      <w:pPr>
        <w:spacing w:after="0" w:line="114" w:lineRule="exact"/>
        <w:rPr>
          <w:sz w:val="20"/>
          <w:szCs w:val="20"/>
          <w:color w:val="auto"/>
        </w:rPr>
      </w:pPr>
    </w:p>
    <w:p>
      <w:pPr>
        <w:ind w:left="240" w:right="860" w:firstLine="431"/>
        <w:spacing w:after="0" w:line="270" w:lineRule="auto"/>
        <w:rPr>
          <w:sz w:val="20"/>
          <w:szCs w:val="20"/>
          <w:color w:val="auto"/>
        </w:rPr>
      </w:pPr>
      <w:r>
        <w:rPr>
          <w:rFonts w:ascii="Times New Roman" w:cs="Times New Roman" w:eastAsia="Times New Roman" w:hAnsi="Times New Roman"/>
          <w:sz w:val="18"/>
          <w:szCs w:val="18"/>
          <w:color w:val="auto"/>
        </w:rPr>
        <w:t>The Company’s subsidiaries and consolidated VIEs established in the Chinese mainland are required to make appropriations to certain non-distributable reserve funds.</w:t>
      </w:r>
    </w:p>
    <w:p>
      <w:pPr>
        <w:spacing w:after="0" w:line="169"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In accordance with the laws applicable to the Foreign Investment Enterprises established in the PRC, the Group’s subsidiaries registered as wholly owned foreign enterprise have to make appropriations from their after-tax profits (as determined under generally accepted accounting principles in the PRC (“PRC GAAP”)) to reserve funds including general reserve fund, enterprise expansion fund and staff bonus and welfare fund. The appropriation to the general reserve fund must be at least 10% of the after-tax profits calculated in accordance with the PRC GAAP. Appropriation is not required if the general reserve fund has reached 50% of the registered capital of the company. Appropriations to the enterprise expansion fund and staff bonus and welfare fund are made at the respective company’s discretion.</w:t>
      </w:r>
    </w:p>
    <w:p>
      <w:pPr>
        <w:spacing w:after="0" w:line="187" w:lineRule="exact"/>
        <w:rPr>
          <w:sz w:val="20"/>
          <w:szCs w:val="20"/>
          <w:color w:val="auto"/>
        </w:rPr>
      </w:pPr>
    </w:p>
    <w:p>
      <w:pPr>
        <w:ind w:left="240" w:right="160" w:firstLine="431"/>
        <w:spacing w:after="0" w:line="251" w:lineRule="auto"/>
        <w:rPr>
          <w:sz w:val="20"/>
          <w:szCs w:val="20"/>
          <w:color w:val="auto"/>
        </w:rPr>
      </w:pPr>
      <w:r>
        <w:rPr>
          <w:rFonts w:ascii="Times New Roman" w:cs="Times New Roman" w:eastAsia="Times New Roman" w:hAnsi="Times New Roman"/>
          <w:sz w:val="18"/>
          <w:szCs w:val="18"/>
          <w:color w:val="auto"/>
        </w:rPr>
        <w:t>In addition, in accordance with the PRC Company Laws, the consolidated VIEs, registered as Chinese domestic companies, must make appropriations from their after-tax profits as determined under the PRC GAAP to non-distributable reserve funds including statutory surplus fund and discretionary surplus fund. The appropriation to the statutory surplus fund must be 10% of the after-tax profits as determined under the PRC GAAP. Appropriation is not required if the statutory surplus fund has reached 50% of the registered capital of the company. Appropriation to the discretionary surplus fund is made at the discretion of the respective company.</w:t>
      </w:r>
    </w:p>
    <w:p>
      <w:pPr>
        <w:spacing w:after="0" w:line="187" w:lineRule="exact"/>
        <w:rPr>
          <w:sz w:val="20"/>
          <w:szCs w:val="20"/>
          <w:color w:val="auto"/>
        </w:rPr>
      </w:pPr>
    </w:p>
    <w:p>
      <w:pPr>
        <w:ind w:left="240" w:right="20" w:firstLine="431"/>
        <w:spacing w:after="0" w:line="253" w:lineRule="auto"/>
        <w:rPr>
          <w:sz w:val="20"/>
          <w:szCs w:val="20"/>
          <w:color w:val="auto"/>
        </w:rPr>
      </w:pPr>
      <w:r>
        <w:rPr>
          <w:rFonts w:ascii="Times New Roman" w:cs="Times New Roman" w:eastAsia="Times New Roman" w:hAnsi="Times New Roman"/>
          <w:sz w:val="18"/>
          <w:szCs w:val="18"/>
          <w:color w:val="auto"/>
        </w:rPr>
        <w:t>The use of the general reserve fund, enterprise expansion fund, statutory surplus fund and discretionary surplus fund are restricted to the offsetting of losses or increasing of the registered capital of the respective company. The staff bonus and welfare fund are liabilities in nature and are restricted to fund payments of special bonus to employees and for the collective welfare of employees. None of these reserves are allowed to be transferred to the company in terms of cash dividends, loans or advances, nor can they be distributed except under liquidation.</w:t>
      </w:r>
    </w:p>
    <w:p>
      <w:pPr>
        <w:spacing w:after="0" w:line="185" w:lineRule="exact"/>
        <w:rPr>
          <w:sz w:val="20"/>
          <w:szCs w:val="20"/>
          <w:color w:val="auto"/>
        </w:rPr>
      </w:pPr>
    </w:p>
    <w:p>
      <w:pPr>
        <w:jc w:val="both"/>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profit appropriation to statutory surplus fund for the Group’s entities incorporated in the Chinese mainland was approximately RMB2,636 million, RMB579 million and RMB929 million, respectively. No appropriation to other reserve funds was made for any of the periods presented.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pp. Government financial incentives</w:t>
      </w:r>
    </w:p>
    <w:p>
      <w:pPr>
        <w:spacing w:after="0" w:line="114" w:lineRule="exact"/>
        <w:rPr>
          <w:sz w:val="20"/>
          <w:szCs w:val="20"/>
          <w:color w:val="auto"/>
        </w:rPr>
      </w:pPr>
    </w:p>
    <w:p>
      <w:pPr>
        <w:ind w:left="240" w:right="40" w:firstLine="431"/>
        <w:spacing w:after="0" w:line="251" w:lineRule="auto"/>
        <w:rPr>
          <w:sz w:val="20"/>
          <w:szCs w:val="20"/>
          <w:color w:val="auto"/>
        </w:rPr>
      </w:pPr>
      <w:r>
        <w:rPr>
          <w:rFonts w:ascii="Times New Roman" w:cs="Times New Roman" w:eastAsia="Times New Roman" w:hAnsi="Times New Roman"/>
          <w:sz w:val="18"/>
          <w:szCs w:val="18"/>
          <w:color w:val="auto"/>
        </w:rPr>
        <w:t>Government financial incentives represent rewards provided by the relevant PRC municipal government authorities to the Group for business achievements made by the Group. Government financial incentives are recognized in “others, net” in the consolidated statements of operations and comprehensive income when the government financial incentives are received and no further conditions need to be met, otherwise the received amounts are recorded as liabilities. The amounts of such government financial incentives are determined solely at the discretion of the relevant government authorities and there is no assurance that the Group will continue to receive these government financial incentives in the future.</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qq. Assets held for sale</w:t>
      </w:r>
    </w:p>
    <w:p>
      <w:pPr>
        <w:spacing w:after="0" w:line="114" w:lineRule="exact"/>
        <w:rPr>
          <w:sz w:val="20"/>
          <w:szCs w:val="20"/>
          <w:color w:val="auto"/>
        </w:rPr>
      </w:pPr>
    </w:p>
    <w:p>
      <w:pPr>
        <w:ind w:left="240" w:right="20" w:firstLine="431"/>
        <w:spacing w:after="0" w:line="249" w:lineRule="auto"/>
        <w:rPr>
          <w:sz w:val="20"/>
          <w:szCs w:val="20"/>
          <w:color w:val="auto"/>
        </w:rPr>
      </w:pPr>
      <w:r>
        <w:rPr>
          <w:rFonts w:ascii="Times New Roman" w:cs="Times New Roman" w:eastAsia="Times New Roman" w:hAnsi="Times New Roman"/>
          <w:sz w:val="18"/>
          <w:szCs w:val="18"/>
          <w:color w:val="auto"/>
        </w:rPr>
        <w:t>Classification of long-lived assets (or disposal group) as held for sale typically occurs upon the execution of a purchase and sale agreement and belief by management that the sale or disposition is probable of occurrence within one year. Upon determining that long-lived assets (or disposal groups)) meet the held for sale criteria, the Company discontinues depreciating the relevant long-lived assets, including property, equipment and software, intangible assets and ROU assets, and measures such assets or disposal groups in consolidated balance sheets at the lower of its carrying amount or fair value less the cost to sell. The Company presents these long-lived assets and liabilities directly associated with these assets as held for sale in its consolidated balance sheets and classifies them as current assets and liabilities. The Company reports the results of operations of its long-lived assets (or disposal group) sold or held for sale in its consolidated statements of operations and comprehensive income through the date of sale.</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00"/>
          </w:cols>
          <w:pgMar w:left="320" w:top="476" w:right="5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rr. Recent accounting pronouncements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p>
    <w:p>
      <w:pPr>
        <w:spacing w:after="0" w:line="112" w:lineRule="exact"/>
        <w:rPr>
          <w:sz w:val="20"/>
          <w:szCs w:val="20"/>
          <w:color w:val="auto"/>
        </w:rPr>
      </w:pPr>
    </w:p>
    <w:p>
      <w:pPr>
        <w:ind w:left="240" w:right="80" w:firstLine="431"/>
        <w:spacing w:after="0" w:line="250"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amendments require the disclosure of specific categories in the rate reconciliation and additional information for reconciling items that meet a quantitative threshold. The amendments also require disaggregated information about the amount of income taxes paid (net of refunds received), income (or loss) from continuing operations before income tax expense (or benefit) and income tax expense (or benefit) from continuing operations. The Group adopted this update prospectively on January 1, 2025. The adoption did not have a material impact on the consolidated financial statements, and the required disclosures are included in Note 19.</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 not yet adopted</w:t>
      </w:r>
    </w:p>
    <w:p>
      <w:pPr>
        <w:spacing w:after="0" w:line="112" w:lineRule="exact"/>
        <w:rPr>
          <w:sz w:val="20"/>
          <w:szCs w:val="20"/>
          <w:color w:val="auto"/>
        </w:rPr>
      </w:pPr>
    </w:p>
    <w:p>
      <w:pPr>
        <w:ind w:left="240" w:right="560" w:firstLine="431"/>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(“ASU 2024-03”), and in January 2025, the FASB issued ASU</w:t>
      </w:r>
    </w:p>
    <w:p>
      <w:pPr>
        <w:spacing w:after="0" w:line="1" w:lineRule="exact"/>
        <w:rPr>
          <w:sz w:val="20"/>
          <w:szCs w:val="20"/>
          <w:color w:val="auto"/>
        </w:rPr>
      </w:pPr>
    </w:p>
    <w:p>
      <w:pPr>
        <w:ind w:left="240" w:right="60"/>
        <w:spacing w:after="0" w:line="246" w:lineRule="auto"/>
        <w:rPr>
          <w:sz w:val="20"/>
          <w:szCs w:val="20"/>
          <w:color w:val="auto"/>
        </w:rPr>
      </w:pPr>
      <w:r>
        <w:rPr>
          <w:rFonts w:ascii="Times New Roman" w:cs="Times New Roman" w:eastAsia="Times New Roman" w:hAnsi="Times New Roman"/>
          <w:sz w:val="18"/>
          <w:szCs w:val="18"/>
          <w:color w:val="auto"/>
        </w:rPr>
        <w:t>No. 2025-01, Income Statement—Reporting Comprehensive Income—Expense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periods beginning after December 15, 2026, and interim reporting periods within annual reporting periods beginning after December 15, 2027, with early adoption permitted. This guidance will be applied either prospectively or retrospectively. The Group is currently evaluating the impact that the adoption of these standards will have on the consolidated financial statements.</w:t>
      </w:r>
    </w:p>
    <w:p>
      <w:pPr>
        <w:spacing w:after="0" w:line="190" w:lineRule="exact"/>
        <w:rPr>
          <w:sz w:val="20"/>
          <w:szCs w:val="20"/>
          <w:color w:val="auto"/>
        </w:rPr>
      </w:pPr>
    </w:p>
    <w:p>
      <w:pPr>
        <w:ind w:left="240" w:right="40" w:firstLine="431"/>
        <w:spacing w:after="0" w:line="250"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ASU 2025-05 is effective for annual reporting periods beginning after December 15, 2025, and interim reporting periods within those annual reporting periods, and requires prospective application. The Group does not expect the adoption of the ASU to have a material impact on the consolidated financial statements.</w:t>
      </w:r>
    </w:p>
    <w:p>
      <w:pPr>
        <w:spacing w:after="0" w:line="187"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 Use Software (Subtopic 350-40): Targeted Improvements to the Accounting for Internal-Use Software (“ASU 2025-06”), which removes all references to software development project stages so that the guidance is neutral to different software development methods. Therefore, under ASU 2025-06, software capitalization will begin when management has authorized and committed to funding the software project and when it is probable that the project will be completed and the software will be used to perform the function intended. ASU 2025-06 will be effective for annual reporting periods beginning after December 15, 2027, and interim reporting periods within those annual reporting periods with early adoption permitted. The guidance is to be applied on a prospective basis, or on a modified transition approach or a retrospective transition approach. The Group does not expect the adoption of the ASU to have a material impact on the consolidated financial statements.</w:t>
      </w:r>
    </w:p>
    <w:p>
      <w:pPr>
        <w:spacing w:after="0" w:line="193" w:lineRule="exact"/>
        <w:rPr>
          <w:sz w:val="20"/>
          <w:szCs w:val="20"/>
          <w:color w:val="auto"/>
        </w:rPr>
      </w:pPr>
    </w:p>
    <w:p>
      <w:pPr>
        <w:ind w:left="240" w:right="120" w:firstLine="431"/>
        <w:spacing w:after="0" w:line="273" w:lineRule="auto"/>
        <w:rPr>
          <w:sz w:val="20"/>
          <w:szCs w:val="20"/>
          <w:color w:val="auto"/>
        </w:rPr>
      </w:pPr>
      <w:r>
        <w:rPr>
          <w:rFonts w:ascii="Times New Roman" w:cs="Times New Roman" w:eastAsia="Times New Roman" w:hAnsi="Times New Roman"/>
          <w:sz w:val="17"/>
          <w:szCs w:val="17"/>
          <w:color w:val="auto"/>
        </w:rPr>
        <w:t>In December 2025, the FASB issued ASU 2025-10, Government Grants (Topic 832): Accounting for Government Grants Received by Business Entities (“ASU 2025-10”), which provides updated guidance on how to recognize, measure, and present government grants. The ASU will be effective for annual reporting periods beginning after December 15, 2028, including interim periods within those annual reporting periods, with early adoption permitted. The Group does not expect the adoption of the ASU to have a material impact on the consolidated financial statements.</w:t>
      </w:r>
    </w:p>
    <w:p>
      <w:pPr>
        <w:spacing w:after="0" w:line="10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000"/>
          </w:cols>
          <w:pgMar w:left="320" w:top="476" w:right="5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and risks</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Concentration of customers and suppliers</w:t>
      </w:r>
    </w:p>
    <w:p>
      <w:pPr>
        <w:spacing w:after="0" w:line="114" w:lineRule="exact"/>
        <w:rPr>
          <w:sz w:val="20"/>
          <w:szCs w:val="20"/>
          <w:color w:val="auto"/>
        </w:rPr>
      </w:pPr>
    </w:p>
    <w:p>
      <w:pPr>
        <w:ind w:left="240" w:right="80" w:firstLine="431"/>
        <w:spacing w:after="0" w:line="270" w:lineRule="auto"/>
        <w:rPr>
          <w:sz w:val="20"/>
          <w:szCs w:val="20"/>
          <w:color w:val="auto"/>
        </w:rPr>
      </w:pPr>
      <w:r>
        <w:rPr>
          <w:rFonts w:ascii="Times New Roman" w:cs="Times New Roman" w:eastAsia="Times New Roman" w:hAnsi="Times New Roman"/>
          <w:sz w:val="18"/>
          <w:szCs w:val="18"/>
          <w:color w:val="auto"/>
        </w:rPr>
        <w:t>There are no customers nor suppliers from whom revenues or purchases individually represent greater than 10% of the total revenues or the total purchases of the Group for the years ended December 31, 2023, 2024 and 2025.</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4" w:lineRule="exact"/>
        <w:rPr>
          <w:sz w:val="20"/>
          <w:szCs w:val="20"/>
          <w:color w:val="auto"/>
        </w:rPr>
      </w:pPr>
    </w:p>
    <w:p>
      <w:pPr>
        <w:ind w:left="240" w:firstLine="431"/>
        <w:spacing w:after="0" w:line="247" w:lineRule="auto"/>
        <w:rPr>
          <w:sz w:val="20"/>
          <w:szCs w:val="20"/>
          <w:color w:val="auto"/>
        </w:rPr>
      </w:pPr>
      <w:r>
        <w:rPr>
          <w:rFonts w:ascii="Times New Roman" w:cs="Times New Roman" w:eastAsia="Times New Roman" w:hAnsi="Times New Roman"/>
          <w:sz w:val="18"/>
          <w:szCs w:val="18"/>
          <w:color w:val="auto"/>
        </w:rPr>
        <w:t>Assets that potentially subject the Group to significant concentrations of credit risk primarily consist of cash and cash equivalents, restricted cash, accounts receivable, short-term investments and certain wealth management products and time deposits with maturities more than one year recorded in “marketable securities and other investments” (collectively, “Treasury Assets”). The maximum exposure of such assets to credit risk is their carrying amounts as of the balance sheet dates. As of December 31, 2024 and 2025, majority of Treasury Assets were held at major financial institutions located in the Chinese mainland and Hong Kong which the management believes are of high credit quality. Bank failure is uncommon in China and the Group believes that those Chinese banks that hold Treasury Assets are financially sound based on publicly available information. Accounts receivable are typically unsecured and are mainly derived from revenues earned from customers in the PRC. The risk with respect to accounts receivable is mitigated by credit evaluations the Group performs on its customers and its ongoing monitoring processes of outstanding balances. Besides, JD Technology performs the related credit assessment of the consumer financing receivables recorded in the Group’s consolidated balance sheets. JD Technology purchases the consumer financing receivables past due over certain agreed period of time from the Group at carrying values without recourse and also agrees to bear other cost directly related to the consumer financing business to absorb the risks.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convertibility risk</w:t>
      </w:r>
    </w:p>
    <w:p>
      <w:pPr>
        <w:spacing w:after="0" w:line="114" w:lineRule="exact"/>
        <w:rPr>
          <w:sz w:val="20"/>
          <w:szCs w:val="20"/>
          <w:color w:val="auto"/>
        </w:rPr>
      </w:pPr>
    </w:p>
    <w:p>
      <w:pPr>
        <w:ind w:left="240" w:right="80" w:firstLine="431"/>
        <w:spacing w:after="0" w:line="266" w:lineRule="auto"/>
        <w:rPr>
          <w:sz w:val="20"/>
          <w:szCs w:val="20"/>
          <w:color w:val="auto"/>
        </w:rPr>
      </w:pPr>
      <w:r>
        <w:rPr>
          <w:rFonts w:ascii="Times New Roman" w:cs="Times New Roman" w:eastAsia="Times New Roman" w:hAnsi="Times New Roman"/>
          <w:sz w:val="17"/>
          <w:szCs w:val="17"/>
          <w:color w:val="auto"/>
        </w:rPr>
        <w:t>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Chinese mainland must be processed through the PBOC or other Chinese foreign exchange regulatory bodies which require certain supporting documentation in order to process the remittance. The Group’s cash and cash equivalents, restricted cash, short-term investments and time deposits with maturities more than one year recorded in “marketable securities and other investments” denominated in RMB that are subject to such government policies amounted to RMB172,732 million and RMB131,469 million as of December 31, 2024 and 2025, respectively.</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14" w:lineRule="exact"/>
        <w:rPr>
          <w:sz w:val="20"/>
          <w:szCs w:val="20"/>
          <w:color w:val="auto"/>
        </w:rPr>
      </w:pPr>
    </w:p>
    <w:p>
      <w:pPr>
        <w:jc w:val="both"/>
        <w:ind w:left="240" w:firstLine="431"/>
        <w:spacing w:after="0" w:line="280" w:lineRule="auto"/>
        <w:rPr>
          <w:sz w:val="20"/>
          <w:szCs w:val="20"/>
          <w:color w:val="auto"/>
        </w:rPr>
      </w:pPr>
      <w:r>
        <w:rPr>
          <w:rFonts w:ascii="Times New Roman" w:cs="Times New Roman" w:eastAsia="Times New Roman" w:hAnsi="Times New Roman"/>
          <w:sz w:val="17"/>
          <w:szCs w:val="17"/>
          <w:color w:val="auto"/>
        </w:rPr>
        <w:t>The RMB has fluctuated against the US$, at times significantly and unpredictably during the reporting periods. The depreciation and appreciation of the RMB against the US$ was approximately 1% and 2% for the years ended December 31, 2024 and 2025, respectively. It is difficult to predict how market forces or the PRC or U.S. government policy may impact the exchange rate between the RMB and the US$ in the future.</w:t>
      </w:r>
    </w:p>
    <w:p>
      <w:pPr>
        <w:spacing w:after="0" w:line="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0940"/>
          </w:cols>
          <w:pgMar w:left="320" w:top="476" w:right="6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12" w:lineRule="exact"/>
        <w:rPr>
          <w:sz w:val="20"/>
          <w:szCs w:val="20"/>
          <w:color w:val="auto"/>
        </w:rPr>
      </w:pPr>
    </w:p>
    <w:p>
      <w:pPr>
        <w:ind w:left="240" w:right="64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2024 and 2025, information about inputs into the fair value measurement of the Group’s assets and liabilities that are measured at fair value on a recurring basis in periods subsequent to their initial recognition is as follows:</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4"/>
        </w:trPr>
        <w:tc>
          <w:tcPr>
            <w:tcW w:w="4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80" w:type="dxa"/>
            <w:vAlign w:val="bottom"/>
            <w:tcBorders>
              <w:top w:val="single" w:sz="8" w:color="auto"/>
            </w:tcBorders>
            <w:gridSpan w:val="2"/>
          </w:tcPr>
          <w:p>
            <w:pPr>
              <w:jc w:val="center"/>
              <w:ind w:right="580"/>
              <w:spacing w:after="0" w:line="114"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30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3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tcPr>
          <w:p>
            <w:pPr>
              <w:jc w:val="center"/>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9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5"/>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98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8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39"/>
        </w:trPr>
        <w:tc>
          <w:tcPr>
            <w:tcW w:w="47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ind w:left="62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7,366</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5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38,396</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38,396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 and other investments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Listed equity securities</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2,907</w:t>
            </w: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2,907</w:t>
            </w: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48,669</w:t>
            </w:r>
          </w:p>
        </w:tc>
        <w:tc>
          <w:tcPr>
            <w:tcW w:w="14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2,907</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45,762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4"/>
        </w:trPr>
        <w:tc>
          <w:tcPr>
            <w:tcW w:w="4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80" w:type="dxa"/>
            <w:vAlign w:val="bottom"/>
            <w:tcBorders>
              <w:top w:val="single" w:sz="8" w:color="auto"/>
            </w:tcBorders>
            <w:gridSpan w:val="2"/>
          </w:tcPr>
          <w:p>
            <w:pPr>
              <w:jc w:val="center"/>
              <w:ind w:right="580"/>
              <w:spacing w:after="0" w:line="114"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300" w:type="dxa"/>
            <w:vAlign w:val="bottom"/>
            <w:tcBorders>
              <w:top w:val="single" w:sz="8" w:color="auto"/>
            </w:tcBorders>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3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1400" w:type="dxa"/>
            <w:vAlign w:val="bottom"/>
            <w:gridSpan w:val="2"/>
          </w:tcPr>
          <w:p>
            <w:pPr>
              <w:jc w:val="center"/>
              <w:ind w:right="560"/>
              <w:spacing w:after="0" w:line="145" w:lineRule="exact"/>
              <w:rPr>
                <w:sz w:val="20"/>
                <w:szCs w:val="20"/>
                <w:color w:val="auto"/>
              </w:rPr>
            </w:pPr>
            <w:r>
              <w:rPr>
                <w:rFonts w:ascii="Times New Roman" w:cs="Times New Roman" w:eastAsia="Times New Roman" w:hAnsi="Times New Roman"/>
                <w:sz w:val="14"/>
                <w:szCs w:val="14"/>
                <w:b w:val="1"/>
                <w:bCs w:val="1"/>
                <w:color w:val="auto"/>
              </w:rPr>
              <w:t>as of</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9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5"/>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3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98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8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39"/>
        </w:trPr>
        <w:tc>
          <w:tcPr>
            <w:tcW w:w="47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ind w:left="62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9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12,137</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12,137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15,519</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15,519</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and other investments</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Listed equity securities</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1,494</w:t>
            </w:r>
          </w:p>
        </w:tc>
        <w:tc>
          <w:tcPr>
            <w:tcW w:w="14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1,494</w:t>
            </w:r>
          </w:p>
        </w:tc>
        <w:tc>
          <w:tcPr>
            <w:tcW w:w="13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 products</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36,592</w:t>
            </w:r>
          </w:p>
        </w:tc>
        <w:tc>
          <w:tcPr>
            <w:tcW w:w="14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36,592</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65,755</w:t>
            </w:r>
          </w:p>
        </w:tc>
        <w:tc>
          <w:tcPr>
            <w:tcW w:w="14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1,494</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64,261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firstLine="431"/>
        <w:spacing w:after="0" w:line="253"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Following is a description of the valuation techniques that the Group uses to measure the fair value of assets that the Group reports in its consolidated balance sheets at fair value on a recurring basis.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12" w:lineRule="exact"/>
        <w:rPr>
          <w:sz w:val="20"/>
          <w:szCs w:val="20"/>
          <w:color w:val="auto"/>
        </w:rPr>
      </w:pPr>
    </w:p>
    <w:p>
      <w:pPr>
        <w:ind w:left="240" w:right="80" w:firstLine="43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Wealth management products with maturities of within one year. </w:t>
      </w:r>
      <w:r>
        <w:rPr>
          <w:rFonts w:ascii="Times New Roman" w:cs="Times New Roman" w:eastAsia="Times New Roman" w:hAnsi="Times New Roman"/>
          <w:sz w:val="18"/>
          <w:szCs w:val="18"/>
          <w:color w:val="auto"/>
        </w:rPr>
        <w:t>The Group elected the fair value option to record wealth management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variable interest rates and deposits indexed to foreign exchange with maturities less than one year and accounted them at fair value. For the wealth management products that have no quoted market prices, the Group estimates their fair value using the expected yield on similar instruments in the market, and classifies the valuation techniques that use these inputs as Level 2.</w:t>
      </w:r>
    </w:p>
    <w:p>
      <w:pPr>
        <w:spacing w:after="0" w:line="183" w:lineRule="exact"/>
        <w:rPr>
          <w:sz w:val="20"/>
          <w:szCs w:val="20"/>
          <w:color w:val="auto"/>
        </w:rPr>
      </w:pPr>
    </w:p>
    <w:p>
      <w:pPr>
        <w:ind w:left="240" w:right="400" w:firstLine="431"/>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gain of RMB2,092 million, RMB1,485 million and RMB804 million resulting from changes in fair value of the wealth management products under fair value option was recorded in “others, net” in the consolidated statements of operations and comprehensive income, respectively.</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000"/>
          </w:cols>
          <w:pgMar w:left="320" w:top="476" w:right="5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7160" w:hanging="430"/>
        <w:spacing w:after="0" w:line="389" w:lineRule="auto"/>
        <w:tabs>
          <w:tab w:leader="none" w:pos="652" w:val="left"/>
        </w:tabs>
        <w:numPr>
          <w:ilvl w:val="0"/>
          <w:numId w:val="1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 (Continued) </w:t>
      </w:r>
      <w:r>
        <w:rPr>
          <w:rFonts w:ascii="Times New Roman" w:cs="Times New Roman" w:eastAsia="Times New Roman" w:hAnsi="Times New Roman"/>
          <w:sz w:val="17"/>
          <w:szCs w:val="17"/>
          <w:b w:val="1"/>
          <w:bCs w:val="1"/>
          <w:i w:val="1"/>
          <w:iCs w:val="1"/>
          <w:color w:val="auto"/>
        </w:rPr>
        <w:t>Marketable securities and other investments</w:t>
      </w:r>
    </w:p>
    <w:p>
      <w:pPr>
        <w:spacing w:after="0" w:line="1" w:lineRule="exact"/>
        <w:rPr>
          <w:sz w:val="20"/>
          <w:szCs w:val="20"/>
          <w:color w:val="auto"/>
        </w:rPr>
      </w:pPr>
    </w:p>
    <w:p>
      <w:pPr>
        <w:ind w:left="240" w:right="520" w:firstLine="431"/>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Listed equity securities. </w:t>
      </w:r>
      <w:r>
        <w:rPr>
          <w:rFonts w:ascii="Times New Roman" w:cs="Times New Roman" w:eastAsia="Times New Roman" w:hAnsi="Times New Roman"/>
          <w:sz w:val="18"/>
          <w:szCs w:val="18"/>
          <w:color w:val="auto"/>
        </w:rPr>
        <w:t>The Group values its listed equity securities using quoted prices for the underlying securities in active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Group classifies the valuation techniques that use these inputs as Level 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2023, 2024 and 2025, the unrealized gains or losses of the listed equity securities were losses of</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RMB379 million, gains of RMB1,160 million, and gains of RMB959 million, respectively, which are recognized in “others, net” in the consolidated</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statements of operations and comprehensive income.</w:t>
      </w:r>
    </w:p>
    <w:p>
      <w:pPr>
        <w:spacing w:after="0" w:line="197" w:lineRule="exact"/>
        <w:rPr>
          <w:sz w:val="20"/>
          <w:szCs w:val="20"/>
          <w:color w:val="auto"/>
        </w:rPr>
      </w:pPr>
    </w:p>
    <w:p>
      <w:pPr>
        <w:ind w:left="240" w:right="240" w:firstLine="43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Wealth management products with maturities of more than one year. </w:t>
      </w:r>
      <w:r>
        <w:rPr>
          <w:rFonts w:ascii="Times New Roman" w:cs="Times New Roman" w:eastAsia="Times New Roman" w:hAnsi="Times New Roman"/>
          <w:sz w:val="18"/>
          <w:szCs w:val="18"/>
          <w:color w:val="auto"/>
        </w:rPr>
        <w:t>The Group elected the fair value option to record wealth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with variable interest rates with maturities of more than one year and accounted them at fair value. For the wealth management products that have no quoted market prices, the Group estimates their fair value using the expected yield on similar instruments in the market, and classifies the valuation techniques that use these inputs as Level 2.</w:t>
      </w:r>
    </w:p>
    <w:p>
      <w:pPr>
        <w:spacing w:after="0" w:line="183" w:lineRule="exact"/>
        <w:rPr>
          <w:sz w:val="20"/>
          <w:szCs w:val="20"/>
          <w:color w:val="auto"/>
        </w:rPr>
      </w:pPr>
    </w:p>
    <w:p>
      <w:pPr>
        <w:jc w:val="both"/>
        <w:ind w:left="240" w:right="520" w:firstLine="431"/>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2024 and 2025, losses of RMB25 million, gains of RMB2 million and gains of RMB1,470 million resulting from changes in fair value of the wealth management products under fair value option were recorded in “others, net” in the consolidated statements of operations and comprehensive income, respectively.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14" w:lineRule="exact"/>
        <w:rPr>
          <w:sz w:val="20"/>
          <w:szCs w:val="20"/>
          <w:color w:val="auto"/>
        </w:rPr>
      </w:pPr>
    </w:p>
    <w:p>
      <w:pPr>
        <w:ind w:left="240" w:right="160" w:firstLine="431"/>
        <w:spacing w:after="0" w:line="270" w:lineRule="auto"/>
        <w:rPr>
          <w:sz w:val="20"/>
          <w:szCs w:val="20"/>
          <w:color w:val="auto"/>
        </w:rPr>
      </w:pPr>
      <w:r>
        <w:rPr>
          <w:rFonts w:ascii="Times New Roman" w:cs="Times New Roman" w:eastAsia="Times New Roman" w:hAnsi="Times New Roman"/>
          <w:sz w:val="18"/>
          <w:szCs w:val="18"/>
          <w:color w:val="auto"/>
        </w:rPr>
        <w:t>The followings are other material financial instruments not measured at fair value in the consolidated balance sheets, but for which the fair value is estimated for disclosure purposes.</w:t>
      </w:r>
    </w:p>
    <w:p>
      <w:pPr>
        <w:spacing w:after="0" w:line="167"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Time deposits. </w:t>
      </w:r>
      <w:r>
        <w:rPr>
          <w:rFonts w:ascii="Times New Roman" w:cs="Times New Roman" w:eastAsia="Times New Roman" w:hAnsi="Times New Roman"/>
          <w:sz w:val="18"/>
          <w:szCs w:val="18"/>
          <w:color w:val="auto"/>
        </w:rPr>
        <w:t>Time deposits with original maturities of three months or less, original maturities of longer than three months and maturities of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one year, and maturities of longer than one year have been classified as cash equivalents, short-term investments and marketable securities and other investments in the consolidated balance sheets, respectively. The fair value of the Group’s time deposits is determined based on the prevailing interest rates in the market, which have been categorized as Level 2 in the fair value hierarchy. As of December 31, 2024 and 2025, the fair value of time deposits classified as cash equivalents and short-term investments amounted to RMB91,062 million and RMB64,265 million, respectively. As of December 31, 2024 and 2025, the fair value of time deposits classified as marketable securities and other investments amounted to RMB54,176 million and RMB13,754 million, respectively.</w:t>
      </w:r>
    </w:p>
    <w:p>
      <w:pPr>
        <w:spacing w:after="0" w:line="189" w:lineRule="exact"/>
        <w:rPr>
          <w:sz w:val="20"/>
          <w:szCs w:val="20"/>
          <w:color w:val="auto"/>
        </w:rPr>
      </w:pPr>
    </w:p>
    <w:p>
      <w:pPr>
        <w:ind w:left="240" w:right="120" w:firstLine="43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Held-to-maturity debt securities. </w:t>
      </w:r>
      <w:r>
        <w:rPr>
          <w:rFonts w:ascii="Times New Roman" w:cs="Times New Roman" w:eastAsia="Times New Roman" w:hAnsi="Times New Roman"/>
          <w:sz w:val="18"/>
          <w:szCs w:val="18"/>
          <w:color w:val="auto"/>
        </w:rPr>
        <w:t>Wealth management products that the Group has positive intent and ability to hold to maturity are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held-to-maturity debt securities. The fair value of the Group’s held-to-maturity debt securities is determined based on the prevailing interest rates in the market, which have been categorized as Level 2 in the fair value hierarchy. As of December 31, 2024 and 2025, the fair value of held-to-maturity debt securities recorded in “short-term investments” amounted to RMB6,866 million and RMB2,355 million, respectively. As of December 31, 2024 and 2025, the fair value of held-to-maturity debt securities with maturities longer than one year was recorded in “marketable securities and other investments” amounted to RMB2,288 million and nil, respectively.</w:t>
      </w:r>
    </w:p>
    <w:p>
      <w:pPr>
        <w:spacing w:after="0" w:line="187" w:lineRule="exact"/>
        <w:rPr>
          <w:sz w:val="20"/>
          <w:szCs w:val="20"/>
          <w:color w:val="auto"/>
        </w:rPr>
      </w:pPr>
    </w:p>
    <w:p>
      <w:pPr>
        <w:ind w:left="240" w:right="40" w:firstLine="43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Unsecured senior notes. </w:t>
      </w:r>
      <w:r>
        <w:rPr>
          <w:rFonts w:ascii="Times New Roman" w:cs="Times New Roman" w:eastAsia="Times New Roman" w:hAnsi="Times New Roman"/>
          <w:sz w:val="18"/>
          <w:szCs w:val="18"/>
          <w:color w:val="auto"/>
        </w:rPr>
        <w:t>The Group determines the fair value of its unsecured senior notes, using quoted prices in less active markets,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Group categorizes the unsecured senior notes as Level 2 in the fair value hierarchy. As of December 31, 2024 and 2025, the fair value of unsecured senior notes amounted to RMB25,098 million and RMB24,002 million, respectively. Among them, the fair value of Convertible Senior Notes, as defined in Note 15, amounted to RMB15,274 million and RMB14,078 million as of December 31, 2024 and 2025, respectively.</w:t>
      </w:r>
    </w:p>
    <w:p>
      <w:pPr>
        <w:spacing w:after="0" w:line="1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20"/>
          </w:cols>
          <w:pgMar w:left="320" w:top="476" w:right="5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7360" w:hanging="430"/>
        <w:spacing w:after="0" w:line="389" w:lineRule="auto"/>
        <w:tabs>
          <w:tab w:leader="none" w:pos="652" w:val="left"/>
        </w:tabs>
        <w:numPr>
          <w:ilvl w:val="0"/>
          <w:numId w:val="1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 (Continued) </w:t>
      </w:r>
      <w:r>
        <w:rPr>
          <w:rFonts w:ascii="Times New Roman" w:cs="Times New Roman" w:eastAsia="Times New Roman" w:hAnsi="Times New Roman"/>
          <w:sz w:val="17"/>
          <w:szCs w:val="17"/>
          <w:b w:val="1"/>
          <w:bCs w:val="1"/>
          <w:i w:val="1"/>
          <w:iCs w:val="1"/>
          <w:color w:val="auto"/>
        </w:rPr>
        <w:t xml:space="preserve">Other financial instruments </w:t>
      </w:r>
      <w:r>
        <w:rPr>
          <w:rFonts w:ascii="Times New Roman" w:cs="Times New Roman" w:eastAsia="Times New Roman" w:hAnsi="Times New Roman"/>
          <w:sz w:val="17"/>
          <w:szCs w:val="17"/>
          <w:b w:val="1"/>
          <w:bCs w:val="1"/>
          <w:color w:val="auto"/>
        </w:rPr>
        <w:t>(Continued)</w:t>
      </w:r>
    </w:p>
    <w:p>
      <w:pPr>
        <w:spacing w:after="0" w:line="1" w:lineRule="exact"/>
        <w:rPr>
          <w:sz w:val="20"/>
          <w:szCs w:val="20"/>
          <w:color w:val="auto"/>
        </w:rPr>
      </w:pPr>
    </w:p>
    <w:p>
      <w:pPr>
        <w:ind w:left="240" w:right="120" w:firstLine="43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Short-term receivables and payables. </w:t>
      </w:r>
      <w:r>
        <w:rPr>
          <w:rFonts w:ascii="Times New Roman" w:cs="Times New Roman" w:eastAsia="Times New Roman" w:hAnsi="Times New Roman"/>
          <w:sz w:val="18"/>
          <w:szCs w:val="18"/>
          <w:color w:val="auto"/>
        </w:rPr>
        <w:t>Accounts receivable and prepayments and other current assets are financial assets with carrying values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 to fair value due to their short-term nature. Accounts payable, advance from customers (excluding contract liabilities) and main items in accrued expenses and other current liabilities, are financial liabilities with carrying values that approximate to fair value due to their short-term nature. The Group classifies the valuation techniques that use these inputs as Level 2 in the fair value hierarchy.</w:t>
      </w:r>
    </w:p>
    <w:p>
      <w:pPr>
        <w:spacing w:after="0" w:line="181" w:lineRule="exact"/>
        <w:rPr>
          <w:sz w:val="20"/>
          <w:szCs w:val="20"/>
          <w:color w:val="auto"/>
        </w:rPr>
      </w:pPr>
    </w:p>
    <w:p>
      <w:pPr>
        <w:ind w:left="240" w:right="200" w:firstLine="43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Short-term debts and long-term debts. </w:t>
      </w:r>
      <w:r>
        <w:rPr>
          <w:rFonts w:ascii="Times New Roman" w:cs="Times New Roman" w:eastAsia="Times New Roman" w:hAnsi="Times New Roman"/>
          <w:sz w:val="18"/>
          <w:szCs w:val="18"/>
          <w:color w:val="auto"/>
        </w:rPr>
        <w:t>Interest rates under the borrowing agreements with the lending parties were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prevailing interest rates in the market. The carrying value of short-term debts and long-term debts approximates to fair value. The Group classifies the valuation techniques that use these inputs as Level 2 in the fair value hierarchy.</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112" w:lineRule="exact"/>
        <w:rPr>
          <w:sz w:val="20"/>
          <w:szCs w:val="20"/>
          <w:color w:val="auto"/>
        </w:rPr>
      </w:pPr>
    </w:p>
    <w:p>
      <w:pPr>
        <w:ind w:left="240" w:right="60" w:firstLine="431"/>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Long-lived assets. </w:t>
      </w:r>
      <w:r>
        <w:rPr>
          <w:rFonts w:ascii="Times New Roman" w:cs="Times New Roman" w:eastAsia="Times New Roman" w:hAnsi="Times New Roman"/>
          <w:sz w:val="17"/>
          <w:szCs w:val="17"/>
          <w:color w:val="auto"/>
        </w:rPr>
        <w:t>When impairment indicators are identified, the Group evaluates the impairment by comparing the carrying value of the asset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group with its fair value. The fair value of the asset or asset group is determined using income approach or market approach with unobservable inputs (Level 3), depending on the underlying nature of the asset or the asset group. The impairment losses of RMB2,025 million, RMB1,562 million and nil were recorded in “impairment of long-lived assets” in the consolidated statements of operations and comprehensive income for the years ended December 31, 2023, 2024 and 2025, respectively. The impairment of long-lived assets was disclosed in Note 9, Note 10 and Note 11.</w:t>
      </w:r>
    </w:p>
    <w:p>
      <w:pPr>
        <w:spacing w:after="0" w:line="169" w:lineRule="exact"/>
        <w:rPr>
          <w:sz w:val="20"/>
          <w:szCs w:val="20"/>
          <w:color w:val="auto"/>
        </w:rPr>
      </w:pPr>
    </w:p>
    <w:p>
      <w:pPr>
        <w:ind w:left="240" w:firstLine="43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Group tested for impairment on an annual basis as of December 31, and in between annual tests when the impairment indicators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The quantitative impairment test consists of a comparison of the fair value of each reporting unit with its carrying amount, including goodwill. The impairment loss was recorded in “impairment of goodwill” in the consolidated statements of operations and comprehensive income and disclosed in Note 12.</w:t>
      </w:r>
    </w:p>
    <w:p>
      <w:pPr>
        <w:spacing w:after="0" w:line="181" w:lineRule="exact"/>
        <w:rPr>
          <w:sz w:val="20"/>
          <w:szCs w:val="20"/>
          <w:color w:val="auto"/>
        </w:rPr>
      </w:pPr>
    </w:p>
    <w:p>
      <w:pPr>
        <w:ind w:left="240" w:right="40" w:firstLine="431"/>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Investments in equity investees. </w:t>
      </w:r>
      <w:r>
        <w:rPr>
          <w:rFonts w:ascii="Times New Roman" w:cs="Times New Roman" w:eastAsia="Times New Roman" w:hAnsi="Times New Roman"/>
          <w:sz w:val="17"/>
          <w:szCs w:val="17"/>
          <w:color w:val="auto"/>
        </w:rPr>
        <w:t>Investments in privately held companies and publicly traded companies included in “investments in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investees” in the consolidated balance sheets are reviewed periodically for impairment using fair value measurement. In determining the investments in privately held companies without readily determinable fair value over which the Group identified impairment indicators, income approach or market approach was used, if applicable, which requires management to use unobservable inputs (Level 3), mainly including the estimates of future cash flows, discount rate, terminal growth rate, selection of comparable companies and multiples and estimated discount for lack of marketability. The impairment loss of RMB2,856 million, RMB2,968 million and RMB827 million were recorded in “others, net” in the consolidated statements of operations and comprehensive income for the years ended December 31, 2023, 2024 and 2025, respectively. As of December 31, 2024 and 2025, the accumulated impairment of the Group’s investments in privately held companies under the Measurement Alternative was RMB7,119 million and RMB7,790 million, respectively. The valuation methodology used to estimate the fair value of investments in publicly traded companies (Level 1) and privately held companies accounted for under the equity method (Level 3) and associated impairment charges are disclosed in Note 6.</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00"/>
          </w:cols>
          <w:pgMar w:left="320" w:top="476" w:right="5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12" w:lineRule="exact"/>
        <w:rPr>
          <w:sz w:val="20"/>
          <w:szCs w:val="20"/>
          <w:color w:val="auto"/>
        </w:rPr>
      </w:pPr>
    </w:p>
    <w:p>
      <w:pPr>
        <w:ind w:left="240" w:firstLine="431"/>
        <w:spacing w:after="0" w:line="253" w:lineRule="auto"/>
        <w:rPr>
          <w:sz w:val="20"/>
          <w:szCs w:val="20"/>
          <w:color w:val="auto"/>
        </w:rPr>
      </w:pPr>
      <w:r>
        <w:rPr>
          <w:rFonts w:ascii="Times New Roman" w:cs="Times New Roman" w:eastAsia="Times New Roman" w:hAnsi="Times New Roman"/>
          <w:sz w:val="18"/>
          <w:szCs w:val="18"/>
          <w:color w:val="auto"/>
        </w:rPr>
        <w:t>In December 2024, the Group acquired additional equity interests in Hordeum Investment, L.P. (“Hordeum”) for a total cash consideration of US$344 million. Hordeum is principally engaged in retail business service. The Group held, taking into account its existing equity interests, approximately 60.8% of Hordeum’s interests and consolidated its financial results into the Group’s consolidated financial statements since December 30, 2024.</w:t>
      </w:r>
    </w:p>
    <w:p>
      <w:pPr>
        <w:spacing w:after="0" w:line="185" w:lineRule="exact"/>
        <w:rPr>
          <w:sz w:val="20"/>
          <w:szCs w:val="20"/>
          <w:color w:val="auto"/>
        </w:rPr>
      </w:pPr>
    </w:p>
    <w:p>
      <w:pPr>
        <w:ind w:left="240" w:right="360" w:firstLine="431"/>
        <w:spacing w:after="0" w:line="270" w:lineRule="auto"/>
        <w:rPr>
          <w:sz w:val="20"/>
          <w:szCs w:val="20"/>
          <w:color w:val="auto"/>
        </w:rPr>
      </w:pPr>
      <w:r>
        <w:rPr>
          <w:rFonts w:ascii="Times New Roman" w:cs="Times New Roman" w:eastAsia="Times New Roman" w:hAnsi="Times New Roman"/>
          <w:sz w:val="18"/>
          <w:szCs w:val="18"/>
          <w:color w:val="auto"/>
        </w:rPr>
        <w:t>The fair value of the previously held equity interests was estimated based on the equity value of Hordeum, which is estimated by applying the income approach. The remeasurement gain associated with the previously held equity interests of Hordeum was immaterial.</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purchase price as of the date of acquisition is comprised of:</w:t>
      </w:r>
    </w:p>
    <w:p>
      <w:pPr>
        <w:spacing w:after="0" w:line="236"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3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7"/>
              </w:rPr>
              <w:t>(RMB in millions)</w:t>
            </w:r>
          </w:p>
        </w:tc>
        <w:tc>
          <w:tcPr>
            <w:tcW w:w="4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2,473</w:t>
            </w:r>
          </w:p>
        </w:tc>
      </w:tr>
      <w:tr>
        <w:trPr>
          <w:trHeight w:val="218"/>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3,757</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240" w:firstLine="431"/>
        <w:spacing w:after="0" w:line="300" w:lineRule="auto"/>
        <w:rPr>
          <w:sz w:val="20"/>
          <w:szCs w:val="20"/>
          <w:color w:val="auto"/>
        </w:rPr>
      </w:pPr>
      <w:r>
        <w:rPr>
          <w:rFonts w:ascii="Times New Roman" w:cs="Times New Roman" w:eastAsia="Times New Roman" w:hAnsi="Times New Roman"/>
          <w:sz w:val="17"/>
          <w:szCs w:val="17"/>
          <w:color w:val="auto"/>
        </w:rPr>
        <w:t>The transaction was considered a business acquisition and therefore was recorded using the acquisition method of accounting. The allocation of the purchase price based on the fair values of the acquired assets and liabilities assumed as of the date of acquisition is summarized as follows:</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39"/>
        </w:trPr>
        <w:tc>
          <w:tcPr>
            <w:tcW w:w="6120" w:type="dxa"/>
            <w:vAlign w:val="bottom"/>
          </w:tcPr>
          <w:p>
            <w:pPr>
              <w:spacing w:after="0"/>
              <w:rPr>
                <w:sz w:val="12"/>
                <w:szCs w:val="12"/>
                <w:color w:val="auto"/>
              </w:rPr>
            </w:pPr>
          </w:p>
        </w:tc>
        <w:tc>
          <w:tcPr>
            <w:tcW w:w="11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100" w:type="dxa"/>
            <w:vAlign w:val="bottom"/>
          </w:tcPr>
          <w:p>
            <w:pPr>
              <w:spacing w:after="0"/>
              <w:rPr>
                <w:sz w:val="12"/>
                <w:szCs w:val="12"/>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r>
      <w:tr>
        <w:trPr>
          <w:trHeight w:val="21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Newly identified intangible assets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shd w:val="clear" w:color="auto" w:fill="CCEEFF"/>
          </w:tcPr>
          <w:p>
            <w:pPr>
              <w:spacing w:after="0"/>
              <w:rPr>
                <w:sz w:val="18"/>
                <w:szCs w:val="18"/>
                <w:color w:val="auto"/>
              </w:rPr>
            </w:pPr>
          </w:p>
        </w:tc>
      </w:tr>
      <w:tr>
        <w:trPr>
          <w:trHeight w:val="21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(3,508)</w:t>
            </w:r>
          </w:p>
        </w:tc>
      </w:tr>
      <w:tr>
        <w:trPr>
          <w:trHeight w:val="2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0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420" w:firstLine="431"/>
        <w:spacing w:after="0" w:line="258" w:lineRule="auto"/>
        <w:rPr>
          <w:sz w:val="20"/>
          <w:szCs w:val="20"/>
          <w:color w:val="auto"/>
        </w:rPr>
      </w:pPr>
      <w:r>
        <w:rPr>
          <w:rFonts w:ascii="Times New Roman" w:cs="Times New Roman" w:eastAsia="Times New Roman" w:hAnsi="Times New Roman"/>
          <w:sz w:val="18"/>
          <w:szCs w:val="18"/>
          <w:color w:val="auto"/>
        </w:rPr>
        <w:t>Net assets acquired primarily consisted of advance to suppliers of RMB3,224 million as of the date of acquisition. Acquired amortizable intangible assets had a weighted-average amortization period of 8.5 years. Fair value of the non-controlling interests was estimated by applying the income approach.</w:t>
      </w:r>
    </w:p>
    <w:p>
      <w:pPr>
        <w:spacing w:after="0" w:line="179" w:lineRule="exact"/>
        <w:rPr>
          <w:sz w:val="20"/>
          <w:szCs w:val="20"/>
          <w:color w:val="auto"/>
        </w:rPr>
      </w:pPr>
    </w:p>
    <w:p>
      <w:pPr>
        <w:jc w:val="both"/>
        <w:ind w:left="240" w:right="60" w:firstLine="431"/>
        <w:spacing w:after="0" w:line="258" w:lineRule="auto"/>
        <w:rPr>
          <w:sz w:val="20"/>
          <w:szCs w:val="20"/>
          <w:color w:val="auto"/>
        </w:rPr>
      </w:pPr>
      <w:r>
        <w:rPr>
          <w:rFonts w:ascii="Times New Roman" w:cs="Times New Roman" w:eastAsia="Times New Roman" w:hAnsi="Times New Roman"/>
          <w:sz w:val="18"/>
          <w:szCs w:val="18"/>
          <w:color w:val="auto"/>
        </w:rPr>
        <w:t>Goodwill arising from the acquisition of Hordeum was attributable to the benefit of expected synergies, the assembled workforce, revenue growth and future market development as of the date of acquisition and assigned to JD Retail segment. Goodwill arising from the acquisition is not expected to be deductible for tax purposes.</w:t>
      </w:r>
    </w:p>
    <w:p>
      <w:pPr>
        <w:spacing w:after="0" w:line="179" w:lineRule="exact"/>
        <w:rPr>
          <w:sz w:val="20"/>
          <w:szCs w:val="20"/>
          <w:color w:val="auto"/>
        </w:rPr>
      </w:pPr>
    </w:p>
    <w:p>
      <w:pPr>
        <w:ind w:left="240" w:right="400" w:firstLine="431"/>
        <w:spacing w:after="0" w:line="258" w:lineRule="auto"/>
        <w:rPr>
          <w:sz w:val="20"/>
          <w:szCs w:val="20"/>
          <w:color w:val="auto"/>
        </w:rPr>
      </w:pPr>
      <w:r>
        <w:rPr>
          <w:rFonts w:ascii="Times New Roman" w:cs="Times New Roman" w:eastAsia="Times New Roman" w:hAnsi="Times New Roman"/>
          <w:sz w:val="18"/>
          <w:szCs w:val="18"/>
          <w:color w:val="auto"/>
        </w:rPr>
        <w:t>In June 2025, the Group acquired the remaining shares of Hordeum, representing approximately 39.2% equity interest for a total cash consideration of US$337 million. Upon the completion of the transaction, Hordeum became a wholly owned subsidiary of the Group. The effect on non-controlling interest was a reduction of RMB2,467 million.</w:t>
      </w:r>
    </w:p>
    <w:p>
      <w:pPr>
        <w:spacing w:after="0" w:line="179" w:lineRule="exact"/>
        <w:rPr>
          <w:sz w:val="20"/>
          <w:szCs w:val="20"/>
          <w:color w:val="auto"/>
        </w:rPr>
      </w:pPr>
    </w:p>
    <w:p>
      <w:pPr>
        <w:ind w:left="240" w:right="740" w:firstLine="431"/>
        <w:spacing w:after="0" w:line="270" w:lineRule="auto"/>
        <w:rPr>
          <w:sz w:val="20"/>
          <w:szCs w:val="20"/>
          <w:color w:val="auto"/>
        </w:rPr>
      </w:pPr>
      <w:r>
        <w:rPr>
          <w:rFonts w:ascii="Times New Roman" w:cs="Times New Roman" w:eastAsia="Times New Roman" w:hAnsi="Times New Roman"/>
          <w:sz w:val="18"/>
          <w:szCs w:val="18"/>
          <w:color w:val="auto"/>
        </w:rPr>
        <w:t>The Group also completed a few business acquisitions during 2024 and 2025, the consideration and impact on the consolidated financial statements of which were immaterial individually or collectively.</w:t>
      </w:r>
    </w:p>
    <w:p>
      <w:pPr>
        <w:spacing w:after="0" w:line="169" w:lineRule="exact"/>
        <w:rPr>
          <w:sz w:val="20"/>
          <w:szCs w:val="20"/>
          <w:color w:val="auto"/>
        </w:rPr>
      </w:pPr>
    </w:p>
    <w:p>
      <w:pPr>
        <w:ind w:left="240" w:right="320" w:firstLine="431"/>
        <w:spacing w:after="0" w:line="258" w:lineRule="auto"/>
        <w:rPr>
          <w:sz w:val="20"/>
          <w:szCs w:val="20"/>
          <w:color w:val="auto"/>
        </w:rPr>
      </w:pPr>
      <w:r>
        <w:rPr>
          <w:rFonts w:ascii="Times New Roman" w:cs="Times New Roman" w:eastAsia="Times New Roman" w:hAnsi="Times New Roman"/>
          <w:sz w:val="18"/>
          <w:szCs w:val="18"/>
          <w:color w:val="auto"/>
        </w:rPr>
        <w:t>Neither the results of operations since the acquisition dates nor the pro forma results of operations of the acquirees were presented because the effects of the business combinations in 2024 and 2025, both individually and in aggregate, were not significant to the consolidated statements of operations and comprehensive income.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020"/>
          </w:cols>
          <w:pgMar w:left="320" w:top="476" w:right="5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equity investees</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Measurement Alternative and NAV practical expedient</w:t>
      </w:r>
    </w:p>
    <w:p>
      <w:pPr>
        <w:spacing w:after="0" w:line="114" w:lineRule="exact"/>
        <w:rPr>
          <w:sz w:val="20"/>
          <w:szCs w:val="20"/>
          <w:color w:val="auto"/>
        </w:rPr>
      </w:pPr>
    </w:p>
    <w:p>
      <w:pPr>
        <w:ind w:left="240" w:right="60" w:firstLine="431"/>
        <w:spacing w:after="0" w:line="251" w:lineRule="auto"/>
        <w:rPr>
          <w:sz w:val="20"/>
          <w:szCs w:val="20"/>
          <w:color w:val="auto"/>
        </w:rPr>
      </w:pPr>
      <w:r>
        <w:rPr>
          <w:rFonts w:ascii="Times New Roman" w:cs="Times New Roman" w:eastAsia="Times New Roman" w:hAnsi="Times New Roman"/>
          <w:sz w:val="18"/>
          <w:szCs w:val="18"/>
          <w:color w:val="auto"/>
        </w:rPr>
        <w:t>The carrying amount of the Group’s equity investments accounted for under the Measurement Alternative was RMB14,027 million and RMB11,856 million as of December 31, 2024 and 2025, respectively, and the carrying amount of the Group’s investments under NAV practical expedient was RMB8,529 million and RMB8,442 million as of December 31, 2024 and 2025, respectively. During the years ended December 31, 2023, 2024 and 2025, fair value changes recognized for equity investments which were measured using the Measurement Alternative, and NAV practical expedient were not significant.</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Equity method</w:t>
      </w:r>
    </w:p>
    <w:p>
      <w:pPr>
        <w:spacing w:after="0" w:line="114" w:lineRule="exact"/>
        <w:rPr>
          <w:sz w:val="20"/>
          <w:szCs w:val="20"/>
          <w:color w:val="auto"/>
        </w:rPr>
      </w:pPr>
    </w:p>
    <w:p>
      <w:pPr>
        <w:ind w:left="240" w:right="40" w:firstLine="431"/>
        <w:spacing w:after="0" w:line="251" w:lineRule="auto"/>
        <w:rPr>
          <w:sz w:val="20"/>
          <w:szCs w:val="20"/>
          <w:color w:val="auto"/>
        </w:rPr>
      </w:pPr>
      <w:r>
        <w:rPr>
          <w:rFonts w:ascii="Times New Roman" w:cs="Times New Roman" w:eastAsia="Times New Roman" w:hAnsi="Times New Roman"/>
          <w:sz w:val="18"/>
          <w:szCs w:val="18"/>
          <w:color w:val="auto"/>
        </w:rPr>
        <w:t>As of December 31, 2025, the Group’s investments accounted for under the equity method totaled RMB31,680 million (as of December 31, 2024: RMB34,294 million), which mainly included the investment in JD Technology amounting to RMB15,055 million and the investment in Home Credit Consumer Finance Co., Ltd. (“Home Credit”) amounting to RMB2,428 million. The Group applies the equity method of accounting to account for its equity investments, in common stock or in-substance common stock, over which it has significant influence but does not own a majority equity interest or otherwise control.</w:t>
      </w: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JD Technology</w:t>
      </w:r>
    </w:p>
    <w:p>
      <w:pPr>
        <w:spacing w:after="0" w:line="112" w:lineRule="exact"/>
        <w:rPr>
          <w:sz w:val="20"/>
          <w:szCs w:val="20"/>
          <w:color w:val="auto"/>
        </w:rPr>
      </w:pPr>
    </w:p>
    <w:p>
      <w:pPr>
        <w:ind w:left="240" w:firstLine="431"/>
        <w:spacing w:after="0" w:line="262" w:lineRule="auto"/>
        <w:rPr>
          <w:sz w:val="20"/>
          <w:szCs w:val="20"/>
          <w:color w:val="auto"/>
        </w:rPr>
      </w:pPr>
      <w:r>
        <w:rPr>
          <w:rFonts w:ascii="Times New Roman" w:cs="Times New Roman" w:eastAsia="Times New Roman" w:hAnsi="Times New Roman"/>
          <w:sz w:val="17"/>
          <w:szCs w:val="17"/>
          <w:color w:val="auto"/>
        </w:rPr>
        <w:t>Following the reorganization of JD Technology in March 2021, the Group’s equity interest in JD Technology increased to 41.7%. The Group accounted for its investment in JD Technology using the equity method, as it exerted significant influence without holding a majority equity interest or otherwise control. Pursuant to the supplemental agreement entered between JD Technology and its shareholders in June 2020, certain existing shareholders (including the Group) have the obligation to make up the shortfall (if any) of the redemption price to the other shareholders of JD Technology when all other means are exhausted, and the shortfall is capped by the proceeds from the sales of the guarantor’s shares of JD Technology. From September to December 2024, JD Technology entered into new agreements with its shareholders to replace previous redemption terms with new settlement method (through both cash and newly issued common shares in tranches) (the “2024 Transaction”). Those are further subject to suspension or termination under certain circumstances. Concurrently, the previous guarantee obligation of the Group has also been extinguished. In accordance with these agreements, JD Technology completed its share repurchases through cash settlement, with some shareholders’ returns yet to be converted into new shares as of December 31, 2025. The Group’s equity interest in JD Technology further increased to 43.6% and 54.9%, respectively, as of December 31, 2024 and 2025, resulting from the redemption aforementioned. Due to the dual-class voting structure of JD Technology, the Group held less than 50% of voting power as of December 31, 2025, and continued to apply equity method for accounting of the investment. As the Group and JD Technology are both controlled by Mr. Liu before and after the 2024 Transaction, the Group’s increased equity interest holding in JD Technology was accounted for as a transaction under common control. Based on the proportionate interest in the net assets of JD Technology, the Group’s investment in JD Technology decreased by RMB726 million and RMB7,646 million for the years ended December 31, 2024 and 2025, respectively. The above resulted in a decrease in the Group’s additional paid-in capital for the same amount in the corresponding period.</w:t>
      </w:r>
    </w:p>
    <w:p>
      <w:pPr>
        <w:spacing w:after="0" w:line="1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00"/>
          </w:cols>
          <w:pgMar w:left="320" w:top="476" w:right="5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7060" w:hanging="430"/>
        <w:spacing w:after="0" w:line="367" w:lineRule="auto"/>
        <w:tabs>
          <w:tab w:leader="none" w:pos="652"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in equity investees (Continued) </w:t>
      </w:r>
      <w:r>
        <w:rPr>
          <w:rFonts w:ascii="Times New Roman" w:cs="Times New Roman" w:eastAsia="Times New Roman" w:hAnsi="Times New Roman"/>
          <w:sz w:val="18"/>
          <w:szCs w:val="18"/>
          <w:b w:val="1"/>
          <w:bCs w:val="1"/>
          <w:i w:val="1"/>
          <w:iCs w:val="1"/>
          <w:color w:val="auto"/>
        </w:rPr>
        <w:t xml:space="preserve">Equity method </w:t>
      </w:r>
      <w:r>
        <w:rPr>
          <w:rFonts w:ascii="Times New Roman" w:cs="Times New Roman" w:eastAsia="Times New Roman" w:hAnsi="Times New Roman"/>
          <w:sz w:val="18"/>
          <w:szCs w:val="18"/>
          <w:b w:val="1"/>
          <w:bCs w:val="1"/>
          <w:color w:val="auto"/>
        </w:rPr>
        <w:t>(Continued)</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Investment in Home Credit</w:t>
      </w:r>
    </w:p>
    <w:p>
      <w:pPr>
        <w:spacing w:after="0" w:line="112" w:lineRule="exact"/>
        <w:rPr>
          <w:sz w:val="20"/>
          <w:szCs w:val="20"/>
          <w:color w:val="auto"/>
        </w:rPr>
      </w:pPr>
    </w:p>
    <w:p>
      <w:pPr>
        <w:ind w:left="240" w:right="180" w:firstLine="431"/>
        <w:spacing w:after="0" w:line="251" w:lineRule="auto"/>
        <w:rPr>
          <w:sz w:val="20"/>
          <w:szCs w:val="20"/>
          <w:color w:val="auto"/>
        </w:rPr>
      </w:pPr>
      <w:r>
        <w:rPr>
          <w:rFonts w:ascii="Times New Roman" w:cs="Times New Roman" w:eastAsia="Times New Roman" w:hAnsi="Times New Roman"/>
          <w:sz w:val="18"/>
          <w:szCs w:val="18"/>
          <w:color w:val="auto"/>
        </w:rPr>
        <w:t>In December 2024, the Company entered into an agreement to acquire 50% of Home Credit’s equity interest for a total cash consideration of RMB2,500 million. Home Credit is a consumer finance company that conducts its business through providing consumer loans and merchandise loans. The Company accounted for its investment in Home Credit using the equity method as the Company obtained the significant influence by the right to nominate three board seats out of nine. Concurrently, JD Technology subscribed 15% of Home Credit’s equity interest. The basis difference as of December 31, 2024 and 2025 was immaterial.</w:t>
      </w: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in Yonghui</w:t>
      </w:r>
    </w:p>
    <w:p>
      <w:pPr>
        <w:spacing w:after="0" w:line="112"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Yonghui Superstores Co., Ltd, (“Yonghui”) is a leading hypermarket and supermarket operator in China and is listed on the Shanghai Stock Exchange. As of December 31, 2024, the Group held approximately 11.3% of Yonghui’s issued and outstanding shares and accounted for the investment in Yonghui using the equity method as the Group obtained significant influence by the rights to nominate one board member out of nine.</w:t>
      </w:r>
    </w:p>
    <w:p>
      <w:pPr>
        <w:spacing w:after="0" w:line="179" w:lineRule="exact"/>
        <w:rPr>
          <w:sz w:val="20"/>
          <w:szCs w:val="20"/>
          <w:color w:val="auto"/>
        </w:rPr>
      </w:pPr>
    </w:p>
    <w:p>
      <w:pPr>
        <w:ind w:left="240" w:right="20" w:firstLine="431"/>
        <w:spacing w:after="0" w:line="253" w:lineRule="auto"/>
        <w:rPr>
          <w:sz w:val="20"/>
          <w:szCs w:val="20"/>
          <w:color w:val="auto"/>
        </w:rPr>
      </w:pPr>
      <w:r>
        <w:rPr>
          <w:rFonts w:ascii="Times New Roman" w:cs="Times New Roman" w:eastAsia="Times New Roman" w:hAnsi="Times New Roman"/>
          <w:sz w:val="18"/>
          <w:szCs w:val="18"/>
          <w:color w:val="auto"/>
        </w:rPr>
        <w:t>In February 2025, the Group transferred 8.3% of Yonghui shares for a cash consideration of RMB1,774 million, as a result, the Group ceased to hold any board seats in Yonghui and lost the significant influence. Subsequently, the Group disposed the retained 3.0% of Yonghui shares, resulting in a complete exit from its investment in Yonghui. The disposal gains of RMB1,118 million and RMB91 million were recorded in “Share of results of equity investees” and “Others, net” in the consolidated statements of operations and comprehensive income, respectively.</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00"/>
          </w:cols>
          <w:pgMar w:left="320" w:top="476" w:right="5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7060" w:hanging="430"/>
        <w:spacing w:after="0" w:line="369" w:lineRule="auto"/>
        <w:tabs>
          <w:tab w:leader="none" w:pos="652"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Investments in equity investees (Continued) </w:t>
      </w:r>
      <w:r>
        <w:rPr>
          <w:rFonts w:ascii="Times New Roman" w:cs="Times New Roman" w:eastAsia="Times New Roman" w:hAnsi="Times New Roman"/>
          <w:sz w:val="18"/>
          <w:szCs w:val="18"/>
          <w:b w:val="1"/>
          <w:bCs w:val="1"/>
          <w:i w:val="1"/>
          <w:iCs w:val="1"/>
          <w:color w:val="auto"/>
        </w:rPr>
        <w:t xml:space="preserve">Equity method </w:t>
      </w:r>
      <w:r>
        <w:rPr>
          <w:rFonts w:ascii="Times New Roman" w:cs="Times New Roman" w:eastAsia="Times New Roman" w:hAnsi="Times New Roman"/>
          <w:sz w:val="18"/>
          <w:szCs w:val="18"/>
          <w:b w:val="1"/>
          <w:bCs w:val="1"/>
          <w:color w:val="auto"/>
        </w:rPr>
        <w:t>(Continued)</w:t>
      </w:r>
    </w:p>
    <w:p>
      <w:pPr>
        <w:ind w:left="240" w:right="160" w:firstLine="431"/>
        <w:spacing w:after="0" w:line="270" w:lineRule="auto"/>
        <w:rPr>
          <w:sz w:val="20"/>
          <w:szCs w:val="20"/>
          <w:color w:val="auto"/>
        </w:rPr>
      </w:pPr>
      <w:r>
        <w:rPr>
          <w:rFonts w:ascii="Times New Roman" w:cs="Times New Roman" w:eastAsia="Times New Roman" w:hAnsi="Times New Roman"/>
          <w:sz w:val="18"/>
          <w:szCs w:val="18"/>
          <w:color w:val="auto"/>
        </w:rPr>
        <w:t>The Group recorded its share of the profits and losses of JD Technology, Home Credit and Yonghui one quarter in arrears to enable the Group to provide its financial disclosure independent of the reporting schedule of these equity investees.</w:t>
      </w:r>
    </w:p>
    <w:p>
      <w:pPr>
        <w:spacing w:after="0" w:line="169" w:lineRule="exact"/>
        <w:rPr>
          <w:sz w:val="20"/>
          <w:szCs w:val="20"/>
          <w:color w:val="auto"/>
        </w:rPr>
      </w:pPr>
    </w:p>
    <w:p>
      <w:pPr>
        <w:ind w:left="240" w:right="740" w:firstLine="431"/>
        <w:spacing w:after="0" w:line="270" w:lineRule="auto"/>
        <w:rPr>
          <w:sz w:val="20"/>
          <w:szCs w:val="20"/>
          <w:color w:val="auto"/>
        </w:rPr>
      </w:pPr>
      <w:r>
        <w:rPr>
          <w:rFonts w:ascii="Times New Roman" w:cs="Times New Roman" w:eastAsia="Times New Roman" w:hAnsi="Times New Roman"/>
          <w:sz w:val="18"/>
          <w:szCs w:val="18"/>
          <w:color w:val="auto"/>
        </w:rPr>
        <w:t>The Group summarizes the condensed financial information of the Group’s equity investments under equity method as a group below in accordance with Rule 4-08 of Regulation S-X:</w:t>
      </w:r>
    </w:p>
    <w:p>
      <w:pPr>
        <w:spacing w:after="0" w:line="70"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25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65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top w:val="single" w:sz="8" w:color="auto"/>
              <w:bottom w:val="single" w:sz="8" w:color="auto"/>
            </w:tcBorders>
          </w:tcPr>
          <w:p>
            <w:pPr>
              <w:jc w:val="right"/>
              <w:ind w:right="9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149,237</w:t>
            </w:r>
          </w:p>
        </w:tc>
        <w:tc>
          <w:tcPr>
            <w:tcW w:w="11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146,583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104,075</w:t>
            </w:r>
          </w:p>
        </w:tc>
        <w:tc>
          <w:tcPr>
            <w:tcW w:w="60" w:type="dxa"/>
            <w:vAlign w:val="bottom"/>
            <w:shd w:val="clear" w:color="auto" w:fill="CCEEFF"/>
          </w:tcPr>
          <w:p>
            <w:pPr>
              <w:spacing w:after="0"/>
              <w:rPr>
                <w:sz w:val="18"/>
                <w:szCs w:val="18"/>
                <w:color w:val="auto"/>
              </w:rPr>
            </w:pP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11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70,000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56,510</w:t>
            </w:r>
          </w:p>
        </w:tc>
        <w:tc>
          <w:tcPr>
            <w:tcW w:w="60" w:type="dxa"/>
            <w:vAlign w:val="bottom"/>
          </w:tcPr>
          <w:p>
            <w:pPr>
              <w:spacing w:after="0"/>
              <w:rPr>
                <w:sz w:val="18"/>
                <w:szCs w:val="18"/>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1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8,334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60" w:type="dxa"/>
            <w:vAlign w:val="bottom"/>
            <w:shd w:val="clear" w:color="auto" w:fill="CCEEFF"/>
          </w:tcPr>
          <w:p>
            <w:pPr>
              <w:spacing w:after="0"/>
              <w:rPr>
                <w:sz w:val="18"/>
                <w:szCs w:val="18"/>
                <w:color w:val="auto"/>
              </w:rPr>
            </w:pPr>
          </w:p>
        </w:tc>
      </w:tr>
      <w:tr>
        <w:trPr>
          <w:trHeight w:val="21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1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4,380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60" w:type="dxa"/>
            <w:vAlign w:val="bottom"/>
          </w:tcPr>
          <w:p>
            <w:pPr>
              <w:spacing w:after="0"/>
              <w:rPr>
                <w:sz w:val="18"/>
                <w:szCs w:val="18"/>
                <w:color w:val="auto"/>
              </w:rPr>
            </w:pPr>
          </w:p>
        </w:tc>
      </w:tr>
      <w:tr>
        <w:trPr>
          <w:trHeight w:val="212"/>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 attributable to the investees’ ordinary shareholders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1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4,641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60" w:type="dxa"/>
            <w:vAlign w:val="bottom"/>
            <w:shd w:val="clear" w:color="auto" w:fill="CCEEFF"/>
          </w:tcPr>
          <w:p>
            <w:pPr>
              <w:spacing w:after="0"/>
              <w:rPr>
                <w:sz w:val="18"/>
                <w:szCs w:val="18"/>
                <w:color w:val="auto"/>
              </w:rPr>
            </w:pPr>
          </w:p>
        </w:tc>
      </w:tr>
    </w:tbl>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5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78"/>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580" w:type="dxa"/>
            <w:vAlign w:val="bottom"/>
          </w:tcPr>
          <w:p>
            <w:pPr>
              <w:spacing w:after="0"/>
              <w:rPr>
                <w:sz w:val="12"/>
                <w:szCs w:val="12"/>
                <w:color w:val="auto"/>
              </w:rPr>
            </w:pPr>
          </w:p>
        </w:tc>
        <w:tc>
          <w:tcPr>
            <w:tcW w:w="1560" w:type="dxa"/>
            <w:vAlign w:val="bottom"/>
            <w:gridSpan w:val="2"/>
          </w:tcPr>
          <w:p>
            <w:pPr>
              <w:jc w:val="right"/>
              <w:ind w:right="134"/>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60" w:type="dxa"/>
            <w:vAlign w:val="bottom"/>
          </w:tcPr>
          <w:p>
            <w:pPr>
              <w:spacing w:after="0"/>
              <w:rPr>
                <w:sz w:val="12"/>
                <w:szCs w:val="12"/>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161,218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154,476</w:t>
            </w: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146,848</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145,184</w:t>
            </w: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124,013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122,333</w:t>
            </w: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44,090</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48,705</w:t>
            </w: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stock</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28,167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4,429</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4,534</w:t>
            </w:r>
          </w:p>
        </w:tc>
      </w:tr>
    </w:tbl>
    <w:p>
      <w:pPr>
        <w:spacing w:after="0" w:line="176" w:lineRule="exact"/>
        <w:rPr>
          <w:sz w:val="20"/>
          <w:szCs w:val="20"/>
          <w:color w:val="auto"/>
        </w:rPr>
      </w:pPr>
    </w:p>
    <w:p>
      <w:pPr>
        <w:ind w:left="240" w:firstLine="431"/>
        <w:spacing w:after="0" w:line="251" w:lineRule="auto"/>
        <w:rPr>
          <w:sz w:val="20"/>
          <w:szCs w:val="20"/>
          <w:color w:val="auto"/>
        </w:rPr>
      </w:pPr>
      <w:r>
        <w:rPr>
          <w:rFonts w:ascii="Times New Roman" w:cs="Times New Roman" w:eastAsia="Times New Roman" w:hAnsi="Times New Roman"/>
          <w:sz w:val="18"/>
          <w:szCs w:val="18"/>
          <w:color w:val="auto"/>
        </w:rPr>
        <w:t>The Group performs impairment assessment of its investments under the Measurement Alternative and equity method whenever events or changes in circumstances indicate that the carrying value of the investment may not be fully recoverable. Impairment charges in connection with the equity method investments of RMB266 million, RMB699 million and RMB88 million were recorded in “share of results of equity investees” in the consolidated statements of operations and comprehensive income for the years ended December 31, 2023, 2024 and 2025, respectively. The valuation of impairment in privately held companies under the Measurement Alternative is discussed in Note 4.</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00"/>
          </w:cols>
          <w:pgMar w:left="320" w:top="476" w:right="5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73"/>
              </w:rPr>
              <w:t>7.</w:t>
            </w:r>
          </w:p>
        </w:tc>
        <w:tc>
          <w:tcPr>
            <w:tcW w:w="7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7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consist of the following:</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7"/>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Logistics receivables</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8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Online retail and online marketplace receivables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84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14,310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receivables and others</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4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27,661</w:t>
            </w:r>
          </w:p>
        </w:tc>
        <w:tc>
          <w:tcPr>
            <w:tcW w:w="200" w:type="dxa"/>
            <w:vAlign w:val="bottom"/>
          </w:tcPr>
          <w:p>
            <w:pPr>
              <w:spacing w:after="0"/>
              <w:rPr>
                <w:sz w:val="18"/>
                <w:szCs w:val="18"/>
                <w:color w:val="auto"/>
              </w:rPr>
            </w:pPr>
          </w:p>
        </w:tc>
        <w:tc>
          <w:tcPr>
            <w:tcW w:w="5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20" w:type="dxa"/>
            <w:vAlign w:val="bottom"/>
            <w:gridSpan w:val="10"/>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(2,065)   (2,089)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The movements in the allowance for doubtful accounts are as follows:</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60" w:type="dxa"/>
            <w:vAlign w:val="bottom"/>
          </w:tcPr>
          <w:p>
            <w:pPr>
              <w:spacing w:after="0"/>
              <w:rPr>
                <w:sz w:val="24"/>
                <w:szCs w:val="24"/>
                <w:color w:val="auto"/>
              </w:rPr>
            </w:pPr>
          </w:p>
        </w:tc>
        <w:tc>
          <w:tcPr>
            <w:tcW w:w="76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11"/>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0"/>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4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10"/>
          </w:tcPr>
          <w:p>
            <w:pPr>
              <w:jc w:val="center"/>
              <w:ind w:right="240"/>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72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(1,582)</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95"/>
              </w:rPr>
              <w:t>(1,888)</w:t>
            </w: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(2,065)</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20" w:type="dxa"/>
            <w:vAlign w:val="bottom"/>
            <w:gridSpan w:val="3"/>
          </w:tcPr>
          <w:p>
            <w:pPr>
              <w:jc w:val="right"/>
              <w:ind w:right="66"/>
              <w:spacing w:after="0"/>
              <w:rPr>
                <w:sz w:val="20"/>
                <w:szCs w:val="20"/>
                <w:color w:val="auto"/>
              </w:rPr>
            </w:pPr>
            <w:r>
              <w:rPr>
                <w:rFonts w:ascii="Times New Roman" w:cs="Times New Roman" w:eastAsia="Times New Roman" w:hAnsi="Times New Roman"/>
                <w:sz w:val="18"/>
                <w:szCs w:val="18"/>
                <w:color w:val="auto"/>
              </w:rPr>
              <w:t>(542)</w:t>
            </w:r>
          </w:p>
        </w:tc>
        <w:tc>
          <w:tcPr>
            <w:tcW w:w="60" w:type="dxa"/>
            <w:vAlign w:val="bottom"/>
          </w:tcPr>
          <w:p>
            <w:pPr>
              <w:spacing w:after="0"/>
              <w:rPr>
                <w:sz w:val="18"/>
                <w:szCs w:val="18"/>
                <w:color w:val="auto"/>
              </w:rPr>
            </w:pPr>
          </w:p>
        </w:tc>
        <w:tc>
          <w:tcPr>
            <w:tcW w:w="660" w:type="dxa"/>
            <w:vAlign w:val="bottom"/>
            <w:gridSpan w:val="3"/>
          </w:tcPr>
          <w:p>
            <w:pPr>
              <w:jc w:val="right"/>
              <w:ind w:right="63"/>
              <w:spacing w:after="0"/>
              <w:rPr>
                <w:sz w:val="20"/>
                <w:szCs w:val="20"/>
                <w:color w:val="auto"/>
              </w:rPr>
            </w:pPr>
            <w:r>
              <w:rPr>
                <w:rFonts w:ascii="Times New Roman" w:cs="Times New Roman" w:eastAsia="Times New Roman" w:hAnsi="Times New Roman"/>
                <w:sz w:val="18"/>
                <w:szCs w:val="18"/>
                <w:color w:val="auto"/>
              </w:rPr>
              <w:t>(376)</w:t>
            </w:r>
          </w:p>
        </w:tc>
        <w:tc>
          <w:tcPr>
            <w:tcW w:w="40" w:type="dxa"/>
            <w:vAlign w:val="bottom"/>
          </w:tcPr>
          <w:p>
            <w:pPr>
              <w:spacing w:after="0"/>
              <w:rPr>
                <w:sz w:val="18"/>
                <w:szCs w:val="18"/>
                <w:color w:val="auto"/>
              </w:rPr>
            </w:pPr>
          </w:p>
        </w:tc>
        <w:tc>
          <w:tcPr>
            <w:tcW w:w="580" w:type="dxa"/>
            <w:vAlign w:val="bottom"/>
            <w:gridSpan w:val="4"/>
          </w:tcPr>
          <w:p>
            <w:pPr>
              <w:jc w:val="right"/>
              <w:ind w:right="21"/>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76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(2,065</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4"/>
              </w:rPr>
              <w:t>(2,089</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hanging="430"/>
        <w:spacing w:after="0" w:line="253"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receivable in relation to consumer financing business is included in online retail and online marketplace receivables. As JD Technology performs credit risk assessment services for the individuals and purchases the past-due receivables from the Group at carrying values to absorb the risks and obtain the returns from such financing arrangements, no allowance for doubtful accounts in relation to consumer financing receivables was provided.</w:t>
      </w:r>
    </w:p>
    <w:p>
      <w:pPr>
        <w:spacing w:after="0" w:line="328"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73"/>
              </w:rPr>
              <w:t>8.</w:t>
            </w: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3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7"/>
        </w:trPr>
        <w:tc>
          <w:tcPr>
            <w:tcW w:w="260" w:type="dxa"/>
            <w:vAlign w:val="bottom"/>
          </w:tcPr>
          <w:p>
            <w:pPr>
              <w:spacing w:after="0"/>
              <w:rPr>
                <w:sz w:val="24"/>
                <w:szCs w:val="24"/>
                <w:color w:val="auto"/>
              </w:rPr>
            </w:pPr>
          </w:p>
        </w:tc>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 net consist of the following:</w:t>
            </w:r>
          </w:p>
        </w:tc>
        <w:tc>
          <w:tcPr>
            <w:tcW w:w="3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5"/>
        </w:trPr>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4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1"/>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80" w:type="dxa"/>
            <w:vAlign w:val="bottom"/>
            <w:gridSpan w:val="3"/>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4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91,631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98,171</w:t>
            </w:r>
          </w:p>
        </w:tc>
      </w:tr>
      <w:tr>
        <w:trPr>
          <w:trHeight w:val="218"/>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Packing materials and others</w:t>
            </w:r>
          </w:p>
        </w:tc>
        <w:tc>
          <w:tcPr>
            <w:tcW w:w="36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93,413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100,215</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Inventory valuation allowance</w:t>
            </w:r>
          </w:p>
        </w:tc>
        <w:tc>
          <w:tcPr>
            <w:tcW w:w="36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(4,787)</w:t>
            </w:r>
          </w:p>
        </w:tc>
      </w:tr>
      <w:tr>
        <w:trPr>
          <w:trHeight w:val="26"/>
        </w:trPr>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6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89,326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95,428</w:t>
            </w: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F-45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20"/>
          </w:cols>
          <w:pgMar w:left="320" w:top="476" w:right="6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73"/>
              </w:rPr>
              <w:t>9.</w:t>
            </w: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7"/>
        </w:trPr>
        <w:tc>
          <w:tcPr>
            <w:tcW w:w="260" w:type="dxa"/>
            <w:vAlign w:val="bottom"/>
          </w:tcPr>
          <w:p>
            <w:pPr>
              <w:spacing w:after="0"/>
              <w:rPr>
                <w:sz w:val="24"/>
                <w:szCs w:val="24"/>
                <w:color w:val="auto"/>
              </w:rPr>
            </w:pPr>
          </w:p>
        </w:tc>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equipment and software, net consist of the following:</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4"/>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540" w:type="dxa"/>
            <w:vAlign w:val="bottom"/>
            <w:gridSpan w:val="4"/>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 and building improvement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70,977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78,716</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Logistics, warehouse and other heavy equipment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18,061</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20,337</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8,981</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00" w:type="dxa"/>
            <w:vAlign w:val="bottom"/>
            <w:shd w:val="clear" w:color="auto" w:fill="CCEEFF"/>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5,895</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7,656</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r>
      <w:tr>
        <w:trPr>
          <w:trHeight w:val="218"/>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123,777</w:t>
            </w:r>
          </w:p>
        </w:tc>
        <w:tc>
          <w:tcPr>
            <w:tcW w:w="10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impairment</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(25,953)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(32,428)</w:t>
            </w:r>
          </w:p>
        </w:tc>
      </w:tr>
      <w:tr>
        <w:trPr>
          <w:trHeight w:val="218"/>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91,349</w:t>
            </w:r>
          </w:p>
        </w:tc>
        <w:tc>
          <w:tcPr>
            <w:tcW w:w="10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320" w:firstLine="431"/>
        <w:spacing w:after="0" w:line="258" w:lineRule="auto"/>
        <w:rPr>
          <w:sz w:val="20"/>
          <w:szCs w:val="20"/>
          <w:color w:val="auto"/>
        </w:rPr>
      </w:pPr>
      <w:r>
        <w:rPr>
          <w:rFonts w:ascii="Times New Roman" w:cs="Times New Roman" w:eastAsia="Times New Roman" w:hAnsi="Times New Roman"/>
          <w:sz w:val="18"/>
          <w:szCs w:val="18"/>
          <w:color w:val="auto"/>
        </w:rPr>
        <w:t>Depreciation expenses were RMB6,088 million, RMB6,958 million and RMB7,655 million for the years ended December 31, 2023, 2024 and 2025, respectively. For the years ended December 31, 2023, 2024 and 2025, the Group recorded impairment losses of RMB819 million, RMB716 million and nil, respectively.</w:t>
      </w:r>
    </w:p>
    <w:p>
      <w:pPr>
        <w:spacing w:after="0" w:line="322"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w:t>
        <w:tab/>
        <w:t>Land use rights, net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Land use rights, net consist of the following:</w:t>
      </w:r>
    </w:p>
    <w:p>
      <w:pPr>
        <w:spacing w:after="0" w:line="236"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8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6820" w:type="dxa"/>
            <w:vAlign w:val="bottom"/>
          </w:tcPr>
          <w:p>
            <w:pPr>
              <w:spacing w:after="0"/>
              <w:rPr>
                <w:sz w:val="12"/>
                <w:szCs w:val="12"/>
                <w:color w:val="auto"/>
              </w:rPr>
            </w:pPr>
          </w:p>
        </w:tc>
        <w:tc>
          <w:tcPr>
            <w:tcW w:w="1280" w:type="dxa"/>
            <w:vAlign w:val="bottom"/>
            <w:gridSpan w:val="3"/>
          </w:tcPr>
          <w:p>
            <w:pPr>
              <w:jc w:val="right"/>
              <w:ind w:right="16"/>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r>
      <w:tr>
        <w:trPr>
          <w:trHeight w:val="21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40,650</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41,715</w:t>
            </w:r>
          </w:p>
        </w:tc>
      </w:tr>
      <w:tr>
        <w:trPr>
          <w:trHeight w:val="218"/>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and impairment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(4,837)</w:t>
            </w:r>
          </w:p>
        </w:tc>
      </w:tr>
      <w:tr>
        <w:trPr>
          <w:trHeight w:val="212"/>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Amortization expenses for land use rights were RMB900 million, RMB959 million and RMB1,003 million for the years ended December 31, 2023, 2024 and 2025, respectively. For the years ended December 31, 2023, 2024 and 2025, the Group recorded impairment losses of RMB210 million, RMB448 million and nil,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amortization expenses related to the land use rights for future periods are estimated to be as follows:</w:t>
      </w:r>
    </w:p>
    <w:p>
      <w:pPr>
        <w:spacing w:after="0" w:line="23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5715</wp:posOffset>
            </wp:positionV>
            <wp:extent cx="18973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10380"/>
        <w:spacing w:after="0"/>
        <w:rPr>
          <w:sz w:val="20"/>
          <w:szCs w:val="20"/>
          <w:color w:val="auto"/>
        </w:rPr>
      </w:pPr>
      <w:r>
        <w:rPr>
          <w:rFonts w:ascii="Times New Roman" w:cs="Times New Roman" w:eastAsia="Times New Roman" w:hAnsi="Times New Roman"/>
          <w:sz w:val="14"/>
          <w:szCs w:val="14"/>
          <w:b w:val="1"/>
          <w:bCs w:val="1"/>
          <w:color w:val="auto"/>
        </w:rPr>
        <w:t>2031 and</w:t>
      </w:r>
    </w:p>
    <w:p>
      <w:pPr>
        <w:jc w:val="both"/>
        <w:ind w:left="8000"/>
        <w:spacing w:after="0" w:line="226" w:lineRule="auto"/>
        <w:tabs>
          <w:tab w:leader="none" w:pos="8460" w:val="left"/>
          <w:tab w:leader="none" w:pos="8920" w:val="left"/>
          <w:tab w:leader="none" w:pos="9400" w:val="left"/>
          <w:tab w:leader="none" w:pos="988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2026</w:t>
        <w:tab/>
        <w:t>2027</w:t>
        <w:tab/>
        <w:t>2028</w:t>
        <w:tab/>
        <w:t>2029</w:t>
        <w:tab/>
        <w:t>2030</w:t>
        <w:tab/>
        <w:t>thereafter</w:t>
      </w:r>
    </w:p>
    <w:tbl>
      <w:tblPr>
        <w:tblLayout w:type="fixed"/>
        <w:tblInd w:w="240" w:type="dxa"/>
        <w:tblCellMar>
          <w:top w:w="0" w:type="dxa"/>
          <w:left w:w="0" w:type="dxa"/>
          <w:bottom w:w="0" w:type="dxa"/>
          <w:right w:w="0" w:type="dxa"/>
        </w:tblCellMar>
      </w:tblPr>
      <w:tr>
        <w:trPr>
          <w:trHeight w:val="139"/>
        </w:trPr>
        <w:tc>
          <w:tcPr>
            <w:tcW w:w="3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360" w:type="dxa"/>
            <w:vAlign w:val="bottom"/>
            <w:tcBorders>
              <w:top w:val="single" w:sz="8" w:color="auto"/>
            </w:tcBorders>
          </w:tcPr>
          <w:p>
            <w:pPr>
              <w:jc w:val="right"/>
              <w:ind w:right="25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66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969   969   969   969   969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32,033</w:t>
            </w:r>
          </w:p>
        </w:tc>
      </w:tr>
      <w:tr>
        <w:trPr>
          <w:trHeight w:val="356"/>
        </w:trPr>
        <w:tc>
          <w:tcPr>
            <w:tcW w:w="3420" w:type="dxa"/>
            <w:vAlign w:val="bottom"/>
          </w:tcPr>
          <w:p>
            <w:pPr>
              <w:spacing w:after="0"/>
              <w:rPr>
                <w:sz w:val="24"/>
                <w:szCs w:val="24"/>
                <w:color w:val="auto"/>
              </w:rPr>
            </w:pPr>
          </w:p>
        </w:tc>
        <w:tc>
          <w:tcPr>
            <w:tcW w:w="6680" w:type="dxa"/>
            <w:vAlign w:val="bottom"/>
            <w:gridSpan w:val="2"/>
          </w:tcPr>
          <w:p>
            <w:pPr>
              <w:jc w:val="right"/>
              <w:ind w:right="4470"/>
              <w:spacing w:after="0"/>
              <w:rPr>
                <w:sz w:val="20"/>
                <w:szCs w:val="20"/>
                <w:color w:val="auto"/>
              </w:rPr>
            </w:pPr>
            <w:r>
              <w:rPr>
                <w:rFonts w:ascii="Times New Roman" w:cs="Times New Roman" w:eastAsia="Times New Roman" w:hAnsi="Times New Roman"/>
                <w:sz w:val="18"/>
                <w:szCs w:val="18"/>
                <w:color w:val="auto"/>
              </w:rPr>
              <w:t>F-46</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320" w:top="476" w:right="5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net consist of the following:</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20" w:type="dxa"/>
            <w:vAlign w:val="bottom"/>
            <w:gridSpan w:val="2"/>
          </w:tcPr>
          <w:p>
            <w:pPr>
              <w:jc w:val="center"/>
              <w:ind w:right="400"/>
              <w:spacing w:after="0" w:line="11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Impairment</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0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right"/>
              <w:ind w:right="9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2,467</w:t>
            </w:r>
          </w:p>
        </w:tc>
        <w:tc>
          <w:tcPr>
            <w:tcW w:w="16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(2,467)</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Domain names and trademarks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6,715</w:t>
            </w: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(2,185)</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(815)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5,157</w:t>
            </w:r>
          </w:p>
        </w:tc>
        <w:tc>
          <w:tcPr>
            <w:tcW w:w="16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(1,416)</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others</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(1,790)</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(666)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(7,858)</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(1,593)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220" w:type="dxa"/>
            <w:vAlign w:val="bottom"/>
            <w:gridSpan w:val="2"/>
          </w:tcPr>
          <w:p>
            <w:pPr>
              <w:jc w:val="center"/>
              <w:ind w:right="400"/>
              <w:spacing w:after="0" w:line="114"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Impairment</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0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right"/>
              <w:ind w:right="90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names and trademarks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17.6</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7,306</w:t>
            </w:r>
          </w:p>
        </w:tc>
        <w:tc>
          <w:tcPr>
            <w:tcW w:w="16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(2,513)</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5,531</w:t>
            </w:r>
          </w:p>
        </w:tc>
        <w:tc>
          <w:tcPr>
            <w:tcW w:w="16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(2,018)</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others</w:t>
            </w: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2,959</w:t>
            </w:r>
          </w:p>
        </w:tc>
        <w:tc>
          <w:tcPr>
            <w:tcW w:w="166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(1,949)</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(666)</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3"/>
              </w:rPr>
              <w:t>(6,480)</w:t>
            </w:r>
          </w:p>
        </w:tc>
        <w:tc>
          <w:tcPr>
            <w:tcW w:w="4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120" w:firstLine="431"/>
        <w:spacing w:after="0" w:line="253" w:lineRule="auto"/>
        <w:rPr>
          <w:sz w:val="20"/>
          <w:szCs w:val="20"/>
          <w:color w:val="auto"/>
        </w:rPr>
      </w:pPr>
      <w:r>
        <w:rPr>
          <w:rFonts w:ascii="Times New Roman" w:cs="Times New Roman" w:eastAsia="Times New Roman" w:hAnsi="Times New Roman"/>
          <w:sz w:val="18"/>
          <w:szCs w:val="18"/>
          <w:color w:val="auto"/>
        </w:rPr>
        <w:t>Amortization expenses for intangible assets were RMB1,304 million, RMB987 million and RMB1,089 million for the years ended December 31, 2023, 2024 and 2025, respectively. For the years ended December 31, 2023 and 2024, the Group recorded impairment losses of RMB902 million and RMB535 million for the intangible assets mainly identified from the acquisition of Dada and other offline businesses, respectively. No impairment loss was recorded for the year ended December 31,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amortization expenses related to the intangible assets for future periods are estimated to be as follows:</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420" w:type="dxa"/>
            <w:vAlign w:val="bottom"/>
          </w:tcPr>
          <w:p>
            <w:pPr>
              <w:spacing w:after="0"/>
              <w:rPr>
                <w:sz w:val="9"/>
                <w:szCs w:val="9"/>
                <w:color w:val="auto"/>
              </w:rPr>
            </w:pPr>
          </w:p>
        </w:tc>
        <w:tc>
          <w:tcPr>
            <w:tcW w:w="4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vMerge w:val="restart"/>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2027</w:t>
            </w:r>
          </w:p>
        </w:tc>
        <w:tc>
          <w:tcPr>
            <w:tcW w:w="560" w:type="dxa"/>
            <w:vAlign w:val="bottom"/>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2028</w:t>
            </w:r>
          </w:p>
        </w:tc>
        <w:tc>
          <w:tcPr>
            <w:tcW w:w="5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2029</w:t>
            </w:r>
          </w:p>
        </w:tc>
        <w:tc>
          <w:tcPr>
            <w:tcW w:w="4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w w:val="92"/>
              </w:rPr>
              <w:t>2030</w:t>
            </w:r>
          </w:p>
        </w:tc>
        <w:tc>
          <w:tcPr>
            <w:tcW w:w="620" w:type="dxa"/>
            <w:vAlign w:val="bottom"/>
          </w:tcPr>
          <w:p>
            <w:pPr>
              <w:ind w:left="40"/>
              <w:spacing w:after="0" w:line="114" w:lineRule="exact"/>
              <w:rPr>
                <w:sz w:val="20"/>
                <w:szCs w:val="20"/>
                <w:color w:val="auto"/>
              </w:rPr>
            </w:pPr>
            <w:r>
              <w:rPr>
                <w:rFonts w:ascii="Times New Roman" w:cs="Times New Roman" w:eastAsia="Times New Roman" w:hAnsi="Times New Roman"/>
                <w:sz w:val="13"/>
                <w:szCs w:val="13"/>
                <w:b w:val="1"/>
                <w:bCs w:val="1"/>
                <w:color w:val="auto"/>
              </w:rPr>
              <w:t>2031 and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420" w:type="dxa"/>
            <w:vAlign w:val="bottom"/>
          </w:tcPr>
          <w:p>
            <w:pPr>
              <w:spacing w:after="0"/>
              <w:rPr>
                <w:sz w:val="14"/>
                <w:szCs w:val="14"/>
                <w:color w:val="auto"/>
              </w:rPr>
            </w:pPr>
          </w:p>
        </w:tc>
        <w:tc>
          <w:tcPr>
            <w:tcW w:w="46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39"/>
        </w:trPr>
        <w:tc>
          <w:tcPr>
            <w:tcW w:w="34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4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5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949</w:t>
            </w:r>
          </w:p>
        </w:tc>
        <w:tc>
          <w:tcPr>
            <w:tcW w:w="5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839</w:t>
            </w:r>
          </w:p>
        </w:tc>
        <w:tc>
          <w:tcPr>
            <w:tcW w:w="4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356"/>
        </w:trPr>
        <w:tc>
          <w:tcPr>
            <w:tcW w:w="3420" w:type="dxa"/>
            <w:vAlign w:val="bottom"/>
          </w:tcPr>
          <w:p>
            <w:pPr>
              <w:spacing w:after="0"/>
              <w:rPr>
                <w:sz w:val="24"/>
                <w:szCs w:val="24"/>
                <w:color w:val="auto"/>
              </w:rPr>
            </w:pPr>
          </w:p>
        </w:tc>
        <w:tc>
          <w:tcPr>
            <w:tcW w:w="4600" w:type="dxa"/>
            <w:vAlign w:val="bottom"/>
            <w:gridSpan w:val="2"/>
          </w:tcPr>
          <w:p>
            <w:pPr>
              <w:jc w:val="right"/>
              <w:ind w:right="2460"/>
              <w:spacing w:after="0"/>
              <w:rPr>
                <w:sz w:val="20"/>
                <w:szCs w:val="20"/>
                <w:color w:val="auto"/>
              </w:rPr>
            </w:pPr>
            <w:r>
              <w:rPr>
                <w:rFonts w:ascii="Times New Roman" w:cs="Times New Roman" w:eastAsia="Times New Roman" w:hAnsi="Times New Roman"/>
                <w:sz w:val="18"/>
                <w:szCs w:val="18"/>
                <w:color w:val="auto"/>
              </w:rPr>
              <w:t>F-47</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JD Retail</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JD Logistics</w:t>
            </w:r>
          </w:p>
        </w:tc>
        <w:tc>
          <w:tcPr>
            <w:tcW w:w="420" w:type="dxa"/>
            <w:vAlign w:val="bottom"/>
          </w:tcPr>
          <w:p>
            <w:pPr>
              <w:spacing w:after="0"/>
              <w:rPr>
                <w:sz w:val="13"/>
                <w:szCs w:val="13"/>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New</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Businesses</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gridSpan w:val="4"/>
          </w:tcPr>
          <w:p>
            <w:pPr>
              <w:ind w:left="34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 2023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(3,143)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11,418</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7,322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25,723</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14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(5,736)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4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Transaction in 2024</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6,576</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Disposal of a subsidiary</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(799)</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17,946</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7,322</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32,251</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(806)</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14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(5,736)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18"/>
        </w:trPr>
        <w:tc>
          <w:tcPr>
            <w:tcW w:w="6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4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Transaction in 2025</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1,885</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(1,303)</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19,831</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7,322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34,136</w:t>
            </w:r>
          </w:p>
        </w:tc>
        <w:tc>
          <w:tcPr>
            <w:tcW w:w="0" w:type="dxa"/>
            <w:vAlign w:val="bottom"/>
          </w:tcPr>
          <w:p>
            <w:pPr>
              <w:spacing w:after="0"/>
              <w:rPr>
                <w:sz w:val="1"/>
                <w:szCs w:val="1"/>
                <w:color w:val="auto"/>
              </w:rPr>
            </w:pPr>
          </w:p>
        </w:tc>
      </w:tr>
      <w:tr>
        <w:trPr>
          <w:trHeight w:val="212"/>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(2,109)</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— </w:t>
            </w:r>
          </w:p>
        </w:tc>
        <w:tc>
          <w:tcPr>
            <w:tcW w:w="14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(5,736)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6"/>
        </w:trPr>
        <w:tc>
          <w:tcPr>
            <w:tcW w:w="6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17,722</w:t>
            </w: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6,983</w:t>
            </w:r>
          </w:p>
        </w:tc>
        <w:tc>
          <w:tcPr>
            <w:tcW w:w="14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1,586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2023, having considered duration and severity of the decline of Dada’s stock price, the Company assessed that it is more likely than not that the fair value of Dada reporting unit is less than its carrying amount and performed quantitative impairment test on Dada reporting unit and recognized an impairment loss of RMB3,143 million. For the year ended December 31, 2024, the Company concluded that the carrying amounts of certain reporting units exceeded their respective fair values and recorded impairment losses of RMB799 million. For the year ended December 31, 2025, the Company concluded that the carrying amounts of certain reporting units exceeded their respective fair values and recorded impairment losses of RMB1,303 million. The fair value of reporting units was determined based on the discounted cash flow analysis using the assumptions including internal cash flows forecasts, long-term future growth rates and discount rates, among others.</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0980"/>
          </w:cols>
          <w:pgMar w:left="320" w:top="476" w:right="5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payable consist of the following:</w:t>
      </w:r>
    </w:p>
    <w:p>
      <w:pPr>
        <w:spacing w:after="0" w:line="23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5715</wp:posOffset>
            </wp:positionV>
            <wp:extent cx="940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8360"/>
        <w:spacing w:after="0"/>
        <w:tabs>
          <w:tab w:leader="none" w:pos="9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-3810</wp:posOffset>
            </wp:positionV>
            <wp:extent cx="940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940435" cy="8255"/>
                    </a:xfrm>
                    <a:prstGeom prst="rect">
                      <a:avLst/>
                    </a:prstGeom>
                    <a:noFill/>
                  </pic:spPr>
                </pic:pic>
              </a:graphicData>
            </a:graphic>
          </wp:anchor>
        </w:drawing>
      </w:r>
    </w:p>
    <w:p>
      <w:pPr>
        <w:ind w:left="8380"/>
        <w:spacing w:after="0" w:line="226" w:lineRule="auto"/>
        <w:rPr>
          <w:sz w:val="20"/>
          <w:szCs w:val="20"/>
          <w:color w:val="auto"/>
        </w:rPr>
      </w:pPr>
      <w:r>
        <w:rPr>
          <w:rFonts w:ascii="Times New Roman" w:cs="Times New Roman" w:eastAsia="Times New Roman" w:hAnsi="Times New Roman"/>
          <w:sz w:val="14"/>
          <w:szCs w:val="14"/>
          <w:b w:val="1"/>
          <w:bCs w:val="1"/>
          <w:color w:val="auto"/>
        </w:rPr>
        <w:t>(RMB in millions)</w:t>
      </w:r>
    </w:p>
    <w:p>
      <w:pPr>
        <w:spacing w:after="0" w:line="5"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payable</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157,147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149,368</w:t>
            </w:r>
          </w:p>
        </w:tc>
      </w:tr>
      <w:tr>
        <w:trPr>
          <w:trHeight w:val="21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Shipping charges payable and others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35,713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39,011</w:t>
            </w:r>
          </w:p>
        </w:tc>
      </w:tr>
      <w:tr>
        <w:trPr>
          <w:trHeight w:val="26"/>
        </w:trPr>
        <w:tc>
          <w:tcPr>
            <w:tcW w:w="6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192,860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188,379</w:t>
            </w:r>
          </w:p>
        </w:tc>
      </w:tr>
      <w:tr>
        <w:trPr>
          <w:trHeight w:val="20"/>
        </w:trPr>
        <w:tc>
          <w:tcPr>
            <w:tcW w:w="6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Financial institutions (the “Institutions”) including JD Technology offer supply chain financing services to the Group’s suppliers. Suppliers can sell one or more of the Group’s payment obligations at their sole discretion through JD Technology to the Institutions to receive funds ahead of time to meet their cash flow needs. The Group’s rights and obligations are not impacted and the original payment terms, timing or amount, remain unchanged. The Group did not provide assets pledged as security or other forms of guarantees under the supply chain financing arrangements. A supplier’s election to receive early payment from the Institutions does not change the amount that the Group must remit to the Institutions or the Group’s payment date, which mainly up to 90 days after product-acceptances or completion of sales.</w:t>
      </w:r>
    </w:p>
    <w:p>
      <w:pPr>
        <w:spacing w:after="0" w:line="187" w:lineRule="exact"/>
        <w:rPr>
          <w:sz w:val="20"/>
          <w:szCs w:val="20"/>
          <w:color w:val="auto"/>
        </w:rPr>
      </w:pPr>
    </w:p>
    <w:p>
      <w:pPr>
        <w:ind w:left="240" w:right="440" w:firstLine="431"/>
        <w:spacing w:after="0" w:line="270" w:lineRule="auto"/>
        <w:rPr>
          <w:sz w:val="20"/>
          <w:szCs w:val="20"/>
          <w:color w:val="auto"/>
        </w:rPr>
      </w:pPr>
      <w:r>
        <w:rPr>
          <w:rFonts w:ascii="Times New Roman" w:cs="Times New Roman" w:eastAsia="Times New Roman" w:hAnsi="Times New Roman"/>
          <w:sz w:val="18"/>
          <w:szCs w:val="18"/>
          <w:color w:val="auto"/>
        </w:rPr>
        <w:t>The movements in the accounts payable under supply chain financing arrangements are as follows, among which, RMB15,233 million and RMB17,834 million were related to arrangements with JD Technology as of December 31, 2024 and 2025, respectively.</w:t>
      </w:r>
    </w:p>
    <w:p>
      <w:pPr>
        <w:spacing w:after="0" w:line="18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400"/>
        <w:spacing w:after="0" w:line="230"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240" w:type="dxa"/>
        <w:tblCellMar>
          <w:top w:w="0" w:type="dxa"/>
          <w:left w:w="0" w:type="dxa"/>
          <w:bottom w:w="0" w:type="dxa"/>
          <w:right w:w="0" w:type="dxa"/>
        </w:tblCellMar>
      </w:tblPr>
      <w:tr>
        <w:trPr>
          <w:trHeight w:val="139"/>
        </w:trPr>
        <w:tc>
          <w:tcPr>
            <w:tcW w:w="12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2"/>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580" w:type="dxa"/>
            <w:vAlign w:val="bottom"/>
            <w:gridSpan w:val="6"/>
          </w:tcPr>
          <w:p>
            <w:pPr>
              <w:jc w:val="right"/>
              <w:ind w:right="152"/>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21,316</w:t>
            </w: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144,047</w:t>
            </w:r>
          </w:p>
        </w:tc>
        <w:tc>
          <w:tcPr>
            <w:tcW w:w="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(150,069)</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(123,971)</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Accrued expenses and other current liabilities</w:t>
            </w: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78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2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4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6"/>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20,530</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21,631</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14,022</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18,384</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fee payable</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administrative expenses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for return allowances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fee</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Payable related to employees’ exercise of share-based awards</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Internet data center fee</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2"/>
        </w:trPr>
        <w:tc>
          <w:tcPr>
            <w:tcW w:w="128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45,985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520" w:type="dxa"/>
            <w:vAlign w:val="bottom"/>
            <w:vMerge w:val="restart"/>
          </w:tcPr>
          <w:p>
            <w:pPr>
              <w:ind w:left="3940"/>
              <w:spacing w:after="0"/>
              <w:rPr>
                <w:sz w:val="20"/>
                <w:szCs w:val="20"/>
                <w:color w:val="auto"/>
              </w:rPr>
            </w:pPr>
            <w:r>
              <w:rPr>
                <w:rFonts w:ascii="Times New Roman" w:cs="Times New Roman" w:eastAsia="Times New Roman" w:hAnsi="Times New Roman"/>
                <w:sz w:val="18"/>
                <w:szCs w:val="18"/>
                <w:color w:val="auto"/>
              </w:rPr>
              <w:t>F-49</w:t>
            </w: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280" w:type="dxa"/>
            <w:vAlign w:val="bottom"/>
          </w:tcPr>
          <w:p>
            <w:pPr>
              <w:spacing w:after="0"/>
              <w:rPr>
                <w:sz w:val="24"/>
                <w:szCs w:val="24"/>
                <w:color w:val="auto"/>
              </w:rPr>
            </w:pPr>
          </w:p>
        </w:tc>
        <w:tc>
          <w:tcPr>
            <w:tcW w:w="6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320" w:top="476" w:right="6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8620" w:hanging="430"/>
        <w:spacing w:after="0" w:line="390" w:lineRule="auto"/>
        <w:tabs>
          <w:tab w:leader="none" w:pos="652"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Unsecured senior notes </w:t>
      </w:r>
      <w:r>
        <w:rPr>
          <w:rFonts w:ascii="Times New Roman" w:cs="Times New Roman" w:eastAsia="Times New Roman" w:hAnsi="Times New Roman"/>
          <w:sz w:val="17"/>
          <w:szCs w:val="17"/>
          <w:b w:val="1"/>
          <w:bCs w:val="1"/>
          <w:i w:val="1"/>
          <w:iCs w:val="1"/>
          <w:color w:val="auto"/>
        </w:rPr>
        <w:t>Senior notes due 2026</w:t>
      </w:r>
    </w:p>
    <w:p>
      <w:pPr>
        <w:spacing w:after="0" w:line="1" w:lineRule="exact"/>
        <w:rPr>
          <w:sz w:val="20"/>
          <w:szCs w:val="20"/>
          <w:color w:val="auto"/>
        </w:rPr>
      </w:pPr>
    </w:p>
    <w:p>
      <w:pPr>
        <w:ind w:left="240" w:right="60" w:firstLine="431"/>
        <w:spacing w:after="0" w:line="251" w:lineRule="auto"/>
        <w:rPr>
          <w:sz w:val="20"/>
          <w:szCs w:val="20"/>
          <w:color w:val="auto"/>
        </w:rPr>
      </w:pPr>
      <w:r>
        <w:rPr>
          <w:rFonts w:ascii="Times New Roman" w:cs="Times New Roman" w:eastAsia="Times New Roman" w:hAnsi="Times New Roman"/>
          <w:sz w:val="18"/>
          <w:szCs w:val="18"/>
          <w:color w:val="auto"/>
        </w:rPr>
        <w:t>In April 2016, the Company issued unsecured senior notes with two maturity dates for an aggregate principal amount of US$1,000 million. Listed on the Singapore Stock Exchange, these notes are both fixed rate notes and senior unsecured obligations, with interest payable semi-annually in arrears on and of each year, beginning on October 29, 2016. The unsecured senior notes were issued at a discount amounting to RMB79 million. The debt issuance costs of RMB36 million were presented as a direct deduction from the principal amount of the unsecured senior notes in the consolidated balance sheets. As of December 31, 2024 and 2025, the principal amount of US$500 million was outstanding, and will be due in 2026.</w:t>
      </w:r>
    </w:p>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2030 and 2050</w:t>
      </w:r>
    </w:p>
    <w:p>
      <w:pPr>
        <w:spacing w:after="0" w:line="114" w:lineRule="exact"/>
        <w:rPr>
          <w:sz w:val="20"/>
          <w:szCs w:val="20"/>
          <w:color w:val="auto"/>
        </w:rPr>
      </w:pPr>
    </w:p>
    <w:p>
      <w:pPr>
        <w:ind w:left="240" w:right="180" w:firstLine="431"/>
        <w:spacing w:after="0" w:line="251" w:lineRule="auto"/>
        <w:rPr>
          <w:sz w:val="20"/>
          <w:szCs w:val="20"/>
          <w:color w:val="auto"/>
        </w:rPr>
      </w:pPr>
      <w:r>
        <w:rPr>
          <w:rFonts w:ascii="Times New Roman" w:cs="Times New Roman" w:eastAsia="Times New Roman" w:hAnsi="Times New Roman"/>
          <w:sz w:val="18"/>
          <w:szCs w:val="18"/>
          <w:color w:val="auto"/>
        </w:rPr>
        <w:t>In January 2020, the Company issued unsecured senior notes with two maturity dates for an aggregate principal amount of US$1,000 million. Listed on the Singapore Stock Exchange, these notes are both fixed rate notes and senior unsecured obligations, with interest payable semi-annually in arrears on and of each year, beginning on July 14, 2020. The unsecured senior notes were issued at a discount amounting to RMB37 million. The debt issuance costs of RMB45 million were presented as a direct deduction from the principal amount of the unsecured senior notes in the consolidated balance sheets.</w:t>
      </w:r>
    </w:p>
    <w:p>
      <w:pPr>
        <w:spacing w:after="0" w:line="187" w:lineRule="exact"/>
        <w:rPr>
          <w:sz w:val="20"/>
          <w:szCs w:val="20"/>
          <w:color w:val="auto"/>
        </w:rPr>
      </w:pPr>
    </w:p>
    <w:p>
      <w:pPr>
        <w:ind w:left="240" w:right="40" w:firstLine="431"/>
        <w:spacing w:after="0" w:line="258" w:lineRule="auto"/>
        <w:rPr>
          <w:sz w:val="20"/>
          <w:szCs w:val="20"/>
          <w:color w:val="auto"/>
        </w:rPr>
      </w:pPr>
      <w:r>
        <w:rPr>
          <w:rFonts w:ascii="Times New Roman" w:cs="Times New Roman" w:eastAsia="Times New Roman" w:hAnsi="Times New Roman"/>
          <w:sz w:val="18"/>
          <w:szCs w:val="18"/>
          <w:color w:val="auto"/>
        </w:rPr>
        <w:t>The Group repurchased the senior notes due 2030 and 2050 from the open market with a total principal amount of US$6 million (RMB42 million) at a reacquisition price of US$5 million (RMB35 million) in 2022. The repurchased Senior Notes were derecognized from the Group’s consolidated balance sheets.</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 due 2029</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2024, the Company completed its offering of unsecured convertible senior notes (the “Convertible Senior Notes”) in an aggregate</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principal amount of US$2.0 billion at par value due 2029, including the initial purchasers’ full exercise of option to purchase an additional</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US$250 million in aggregate principal amount of the Convertible Senior Notes. The Convertible Senior Notes bear a fixed rate of 0.25% per year and</w:t>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senior unsecured obligations, with interest payable semi-annually in arrears on and of each year, beginning on December 1, 2024. The debt issuance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costs of RMB236 million were presented as a direct deduction from the principal amount of the Convertible Senior Notes in the consolidated balance</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sheets, and are amortized over the period from May 21, 2024, the date of issuance, to June 1, 2027, the first puttable date of the Convertible Senior</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using the effective interest method. The interest expense recognized were RMB69 million and RMB110 million for the years ended</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December 31, 2024 and 2025, respectively.</w:t>
      </w:r>
    </w:p>
    <w:p>
      <w:pPr>
        <w:spacing w:after="0" w:line="199" w:lineRule="exact"/>
        <w:rPr>
          <w:sz w:val="20"/>
          <w:szCs w:val="20"/>
          <w:color w:val="auto"/>
        </w:rPr>
      </w:pPr>
    </w:p>
    <w:p>
      <w:pPr>
        <w:ind w:left="240" w:right="60" w:firstLine="431"/>
        <w:spacing w:after="0" w:line="251" w:lineRule="auto"/>
        <w:rPr>
          <w:sz w:val="20"/>
          <w:szCs w:val="20"/>
          <w:color w:val="auto"/>
        </w:rPr>
      </w:pPr>
      <w:r>
        <w:rPr>
          <w:rFonts w:ascii="Times New Roman" w:cs="Times New Roman" w:eastAsia="Times New Roman" w:hAnsi="Times New Roman"/>
          <w:sz w:val="18"/>
          <w:szCs w:val="18"/>
          <w:color w:val="auto"/>
        </w:rPr>
        <w:t>Holders of the Convertible Senior Notes may convert their Convertible Senior Notes at their option at any time prior to the close of business on the third scheduled trading day immediately preceding the maturity. The initial conversion rate for the Convertible Senior Notes shall be 21.8830 ADSs per US$1,000 principal amount of the Convertible Senior Notes, equivalent to an initial conversion price of approximately US$45.70 per ADS. The conversion rate shall be subject to adjustment in certain events. Upon conversion, the Company will pay or deliver, as the case may be, cash, ADSs, or a combination of cash and ADSs, at the Company’s election.</w:t>
      </w:r>
    </w:p>
    <w:p>
      <w:pPr>
        <w:spacing w:after="0" w:line="18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Holders of the Convertible Senior Notes have the right to require the Company to repurchase all or part of their Convertible Senior Notes on</w:t>
      </w:r>
    </w:p>
    <w:p>
      <w:pPr>
        <w:spacing w:after="0" w:line="22" w:lineRule="exact"/>
        <w:rPr>
          <w:sz w:val="20"/>
          <w:szCs w:val="20"/>
          <w:color w:val="auto"/>
        </w:rPr>
      </w:pPr>
    </w:p>
    <w:p>
      <w:pPr>
        <w:ind w:left="240"/>
        <w:spacing w:after="0" w:line="250" w:lineRule="auto"/>
        <w:rPr>
          <w:sz w:val="20"/>
          <w:szCs w:val="20"/>
          <w:color w:val="auto"/>
        </w:rPr>
      </w:pPr>
      <w:r>
        <w:rPr>
          <w:rFonts w:ascii="Times New Roman" w:cs="Times New Roman" w:eastAsia="Times New Roman" w:hAnsi="Times New Roman"/>
          <w:sz w:val="18"/>
          <w:szCs w:val="18"/>
          <w:color w:val="auto"/>
        </w:rPr>
        <w:t>June 1, 2027 or in the event of certain fundamental changes, at a repurchase price equal to 100% of the principal amount of the Convertible Senior Notes to be repurchased, plus accrued and unpaid interest.</w:t>
      </w:r>
    </w:p>
    <w:p>
      <w:pPr>
        <w:spacing w:after="0" w:line="186" w:lineRule="exact"/>
        <w:rPr>
          <w:sz w:val="20"/>
          <w:szCs w:val="20"/>
          <w:color w:val="auto"/>
        </w:rPr>
      </w:pPr>
    </w:p>
    <w:p>
      <w:pPr>
        <w:ind w:left="240" w:right="60" w:firstLine="431"/>
        <w:spacing w:after="0" w:line="251" w:lineRule="auto"/>
        <w:rPr>
          <w:sz w:val="20"/>
          <w:szCs w:val="20"/>
          <w:color w:val="auto"/>
        </w:rPr>
      </w:pPr>
      <w:r>
        <w:rPr>
          <w:rFonts w:ascii="Times New Roman" w:cs="Times New Roman" w:eastAsia="Times New Roman" w:hAnsi="Times New Roman"/>
          <w:sz w:val="18"/>
          <w:szCs w:val="18"/>
          <w:color w:val="auto"/>
        </w:rPr>
        <w:t>No embedded features that are subject to separate accounting have been identified. The conversion option is considered to be indexed to the Company’s own stock and classified in shareholders’ equity, therefore, exempted from the scope of the derivative accounting. Other embedded features including the mandatory redemption feature and the contingent call and put options upon certain changes in the tax laws or certain fundamental changes are considered clearly and closely related to the debt host, therefore, do not require bifurcation. Based on the above, the Convertible Senior Notes are accounted for as a single liability under unsecured senior notes, non-current.</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20"/>
          </w:cols>
          <w:pgMar w:left="320" w:top="476" w:right="5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Unsecured senior notes (Continued)</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senior notes due 2026, 2030 and 2050 (collectively “Senior Notes”) and the Convertible Senior Notes as of</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December 31, 2024 and 2025 is as follows:</w:t>
      </w:r>
    </w:p>
    <w:p>
      <w:pPr>
        <w:spacing w:after="0" w:line="219"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Effective</w:t>
            </w:r>
          </w:p>
        </w:tc>
      </w:tr>
      <w:tr>
        <w:trPr>
          <w:trHeight w:val="13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560" w:type="dxa"/>
            <w:vAlign w:val="bottom"/>
          </w:tcPr>
          <w:p>
            <w:pPr>
              <w:jc w:val="right"/>
              <w:ind w:right="57"/>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gridSpan w:val="2"/>
          </w:tcPr>
          <w:p>
            <w:pPr>
              <w:jc w:val="right"/>
              <w:ind w:right="52"/>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320" w:type="dxa"/>
            <w:vAlign w:val="bottom"/>
            <w:gridSpan w:val="3"/>
          </w:tcPr>
          <w:p>
            <w:pPr>
              <w:jc w:val="right"/>
              <w:ind w:right="220"/>
              <w:spacing w:after="0" w:line="139" w:lineRule="exact"/>
              <w:rPr>
                <w:sz w:val="20"/>
                <w:szCs w:val="20"/>
                <w:color w:val="auto"/>
              </w:rPr>
            </w:pPr>
            <w:r>
              <w:rPr>
                <w:rFonts w:ascii="Times New Roman" w:cs="Times New Roman" w:eastAsia="Times New Roman" w:hAnsi="Times New Roman"/>
                <w:sz w:val="14"/>
                <w:szCs w:val="14"/>
                <w:b w:val="1"/>
                <w:bCs w:val="1"/>
                <w:color w:val="auto"/>
              </w:rPr>
              <w:t>interest rate</w:t>
            </w:r>
          </w:p>
        </w:tc>
      </w:tr>
      <w:tr>
        <w:trPr>
          <w:trHeight w:val="13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112"/>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US$500 million 3.875% Senior Notes due 2026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r>
      <w:tr>
        <w:trPr>
          <w:trHeight w:val="212"/>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US$700 million 3.375% Senior Notes due 2030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US$300 million 4.125% Senior Notes due 2050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r>
      <w:tr>
        <w:trPr>
          <w:trHeight w:val="218"/>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US$2,000 million 0.25% Convertible Senior Notes due 2029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3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0.79%</w:t>
            </w: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and debt issuance costs of the Senior Notes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of the Convertible Senior Notes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 amounts of unsecured senior notes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25,029</w:t>
            </w:r>
          </w:p>
        </w:tc>
        <w:tc>
          <w:tcPr>
            <w:tcW w:w="3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200" w:firstLine="431"/>
        <w:spacing w:after="0" w:line="253" w:lineRule="auto"/>
        <w:rPr>
          <w:sz w:val="20"/>
          <w:szCs w:val="20"/>
          <w:color w:val="auto"/>
        </w:rPr>
      </w:pPr>
      <w:r>
        <w:rPr>
          <w:rFonts w:ascii="Times New Roman" w:cs="Times New Roman" w:eastAsia="Times New Roman" w:hAnsi="Times New Roman"/>
          <w:sz w:val="18"/>
          <w:szCs w:val="18"/>
          <w:color w:val="auto"/>
        </w:rPr>
        <w:t>The effective interest rates include the interest charged on the notes as well as amortization of the debt discounts and debt issuance costs. The unsecured senior notes will rank senior in rights of payment to all of the Company’s existing and future obligations expressly subordinated in rights of payment to the unsecured senior notes and rank at least equal in rights of payment with all of the Company’s existing and future unsecured and unsubordinated obligations (subject to any priority rights pursuant to applicable law).</w:t>
      </w:r>
    </w:p>
    <w:p>
      <w:pPr>
        <w:spacing w:after="0" w:line="185"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The unsecured senior notes contain covenants including, among others, limitation on liens, consolidation, merger and sale all or substantially all of the Company’s assets.</w:t>
      </w:r>
    </w:p>
    <w:p>
      <w:pPr>
        <w:spacing w:after="0" w:line="169" w:lineRule="exact"/>
        <w:rPr>
          <w:sz w:val="20"/>
          <w:szCs w:val="20"/>
          <w:color w:val="auto"/>
        </w:rPr>
      </w:pPr>
    </w:p>
    <w:p>
      <w:pPr>
        <w:ind w:left="240" w:right="20" w:firstLine="431"/>
        <w:spacing w:after="0" w:line="258" w:lineRule="auto"/>
        <w:rPr>
          <w:sz w:val="20"/>
          <w:szCs w:val="20"/>
          <w:color w:val="auto"/>
        </w:rPr>
      </w:pPr>
      <w:r>
        <w:rPr>
          <w:rFonts w:ascii="Times New Roman" w:cs="Times New Roman" w:eastAsia="Times New Roman" w:hAnsi="Times New Roman"/>
          <w:sz w:val="18"/>
          <w:szCs w:val="18"/>
          <w:color w:val="auto"/>
        </w:rPr>
        <w:t>As of December 31, 2025, the principal of the Senior Notes of RMB3,514 million, RMB4,885 million and RMB2,016 million will be due in 2026, 2030 and 2050, respectively. The principal of the Convertible Senior Notes of RMB14,058 million will be due in 2029. The principal of the unsecured senior notes will be due according to the following schedule:</w:t>
      </w:r>
    </w:p>
    <w:p>
      <w:pPr>
        <w:spacing w:after="0" w:line="18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amounts</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Within 1</w:t>
            </w: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Between 1</w:t>
            </w: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Between 2</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Between 3</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Between 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Beyond 5</w:t>
            </w:r>
          </w:p>
        </w:tc>
        <w:tc>
          <w:tcPr>
            <w:tcW w:w="0" w:type="dxa"/>
            <w:vAlign w:val="bottom"/>
          </w:tcPr>
          <w:p>
            <w:pPr>
              <w:spacing w:after="0"/>
              <w:rPr>
                <w:sz w:val="1"/>
                <w:szCs w:val="1"/>
                <w:color w:val="auto"/>
              </w:rPr>
            </w:pPr>
          </w:p>
        </w:tc>
      </w:tr>
      <w:tr>
        <w:trPr>
          <w:trHeight w:val="163"/>
        </w:trPr>
        <w:tc>
          <w:tcPr>
            <w:tcW w:w="5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tcPr>
          <w:p>
            <w:pPr>
              <w:jc w:val="right"/>
              <w:ind w:right="181"/>
              <w:spacing w:after="0" w:line="157" w:lineRule="exact"/>
              <w:rPr>
                <w:sz w:val="20"/>
                <w:szCs w:val="20"/>
                <w:color w:val="auto"/>
              </w:rPr>
            </w:pPr>
            <w:r>
              <w:rPr>
                <w:rFonts w:ascii="Times New Roman" w:cs="Times New Roman" w:eastAsia="Times New Roman" w:hAnsi="Times New Roman"/>
                <w:sz w:val="14"/>
                <w:szCs w:val="14"/>
                <w:b w:val="1"/>
                <w:bCs w:val="1"/>
                <w:color w:val="auto"/>
              </w:rPr>
              <w:t>year</w:t>
            </w:r>
          </w:p>
        </w:tc>
        <w:tc>
          <w:tcPr>
            <w:tcW w:w="78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to 2 years</w:t>
            </w:r>
          </w:p>
        </w:tc>
        <w:tc>
          <w:tcPr>
            <w:tcW w:w="940" w:type="dxa"/>
            <w:vAlign w:val="bottom"/>
          </w:tcPr>
          <w:p>
            <w:pPr>
              <w:ind w:left="220"/>
              <w:spacing w:after="0" w:line="157" w:lineRule="exact"/>
              <w:rPr>
                <w:sz w:val="20"/>
                <w:szCs w:val="20"/>
                <w:color w:val="auto"/>
              </w:rPr>
            </w:pPr>
            <w:r>
              <w:rPr>
                <w:rFonts w:ascii="Times New Roman" w:cs="Times New Roman" w:eastAsia="Times New Roman" w:hAnsi="Times New Roman"/>
                <w:sz w:val="14"/>
                <w:szCs w:val="14"/>
                <w:b w:val="1"/>
                <w:bCs w:val="1"/>
                <w:color w:val="auto"/>
              </w:rPr>
              <w:t>to 3 years</w:t>
            </w:r>
          </w:p>
        </w:tc>
        <w:tc>
          <w:tcPr>
            <w:tcW w:w="860" w:type="dxa"/>
            <w:vAlign w:val="bottom"/>
          </w:tcPr>
          <w:p>
            <w:pPr>
              <w:jc w:val="right"/>
              <w:ind w:right="61"/>
              <w:spacing w:after="0" w:line="157" w:lineRule="exact"/>
              <w:rPr>
                <w:sz w:val="20"/>
                <w:szCs w:val="20"/>
                <w:color w:val="auto"/>
              </w:rPr>
            </w:pPr>
            <w:r>
              <w:rPr>
                <w:rFonts w:ascii="Times New Roman" w:cs="Times New Roman" w:eastAsia="Times New Roman" w:hAnsi="Times New Roman"/>
                <w:sz w:val="14"/>
                <w:szCs w:val="14"/>
                <w:b w:val="1"/>
                <w:bCs w:val="1"/>
                <w:color w:val="auto"/>
              </w:rPr>
              <w:t>to 4 years</w:t>
            </w:r>
          </w:p>
        </w:tc>
        <w:tc>
          <w:tcPr>
            <w:tcW w:w="860" w:type="dxa"/>
            <w:vAlign w:val="bottom"/>
          </w:tcPr>
          <w:p>
            <w:pPr>
              <w:jc w:val="right"/>
              <w:ind w:right="61"/>
              <w:spacing w:after="0" w:line="157" w:lineRule="exact"/>
              <w:rPr>
                <w:sz w:val="20"/>
                <w:szCs w:val="20"/>
                <w:color w:val="auto"/>
              </w:rPr>
            </w:pPr>
            <w:r>
              <w:rPr>
                <w:rFonts w:ascii="Times New Roman" w:cs="Times New Roman" w:eastAsia="Times New Roman" w:hAnsi="Times New Roman"/>
                <w:sz w:val="14"/>
                <w:szCs w:val="14"/>
                <w:b w:val="1"/>
                <w:bCs w:val="1"/>
                <w:color w:val="auto"/>
              </w:rPr>
              <w:t>to 5 years</w:t>
            </w:r>
          </w:p>
        </w:tc>
        <w:tc>
          <w:tcPr>
            <w:tcW w:w="740" w:type="dxa"/>
            <w:vAlign w:val="bottom"/>
            <w:gridSpan w:val="2"/>
          </w:tcPr>
          <w:p>
            <w:pPr>
              <w:jc w:val="right"/>
              <w:ind w:right="180"/>
              <w:spacing w:after="0" w:line="157"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45"/>
        </w:trPr>
        <w:tc>
          <w:tcPr>
            <w:tcW w:w="1100" w:type="dxa"/>
            <w:vAlign w:val="bottom"/>
            <w:tcBorders>
              <w:top w:val="single" w:sz="8" w:color="auto"/>
            </w:tcBorders>
          </w:tcPr>
          <w:p>
            <w:pPr>
              <w:spacing w:after="0"/>
              <w:rPr>
                <w:sz w:val="12"/>
                <w:szCs w:val="12"/>
                <w:color w:val="auto"/>
              </w:rPr>
            </w:pPr>
          </w:p>
        </w:tc>
        <w:tc>
          <w:tcPr>
            <w:tcW w:w="40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601"/>
              <w:spacing w:after="0" w:line="145"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8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10,415</w:t>
            </w: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3,514</w:t>
            </w:r>
          </w:p>
        </w:tc>
        <w:tc>
          <w:tcPr>
            <w:tcW w:w="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4,885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14,058</w:t>
            </w: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14,058</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39"/>
        </w:trPr>
        <w:tc>
          <w:tcPr>
            <w:tcW w:w="11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F-51</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76" w:right="5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2" w:lineRule="exact"/>
        <w:rPr>
          <w:sz w:val="20"/>
          <w:szCs w:val="20"/>
          <w:color w:val="auto"/>
        </w:rPr>
      </w:pPr>
    </w:p>
    <w:p>
      <w:pPr>
        <w:ind w:left="240" w:right="300" w:firstLine="431"/>
        <w:spacing w:after="0" w:line="270" w:lineRule="auto"/>
        <w:rPr>
          <w:sz w:val="20"/>
          <w:szCs w:val="20"/>
          <w:color w:val="auto"/>
        </w:rPr>
      </w:pPr>
      <w:r>
        <w:rPr>
          <w:rFonts w:ascii="Times New Roman" w:cs="Times New Roman" w:eastAsia="Times New Roman" w:hAnsi="Times New Roman"/>
          <w:sz w:val="18"/>
          <w:szCs w:val="18"/>
          <w:color w:val="auto"/>
        </w:rPr>
        <w:t>The Group has operating leases for warehouses, stores, office spaces, delivery centers and other corporate assets that the Group utilizes under lease arrangements.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supplemental information related to operating leases as of December 31, 2024 and 2025 is as follows:</w:t>
      </w:r>
    </w:p>
    <w:p>
      <w:pPr>
        <w:spacing w:after="0" w:line="236"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2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8"/>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r>
      <w:tr>
        <w:trPr>
          <w:trHeight w:val="139"/>
        </w:trPr>
        <w:tc>
          <w:tcPr>
            <w:tcW w:w="6240" w:type="dxa"/>
            <w:vAlign w:val="bottom"/>
          </w:tcPr>
          <w:p>
            <w:pPr>
              <w:spacing w:after="0"/>
              <w:rPr>
                <w:sz w:val="12"/>
                <w:szCs w:val="12"/>
                <w:color w:val="auto"/>
              </w:rPr>
            </w:pPr>
          </w:p>
        </w:tc>
        <w:tc>
          <w:tcPr>
            <w:tcW w:w="1760" w:type="dxa"/>
            <w:vAlign w:val="bottom"/>
            <w:gridSpan w:val="3"/>
          </w:tcPr>
          <w:p>
            <w:pPr>
              <w:jc w:val="right"/>
              <w:ind w:right="254"/>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200" w:type="dxa"/>
            <w:vAlign w:val="bottom"/>
          </w:tcPr>
          <w:p>
            <w:pPr>
              <w:spacing w:after="0"/>
              <w:rPr>
                <w:sz w:val="12"/>
                <w:szCs w:val="12"/>
                <w:color w:val="auto"/>
              </w:rPr>
            </w:pP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24,532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31,128</w:t>
            </w:r>
          </w:p>
        </w:tc>
      </w:tr>
      <w:tr>
        <w:trPr>
          <w:trHeight w:val="21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7,606</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9,399</w:t>
            </w:r>
          </w:p>
        </w:tc>
      </w:tr>
      <w:tr>
        <w:trPr>
          <w:trHeight w:val="212"/>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18,106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23,708</w:t>
            </w:r>
          </w:p>
        </w:tc>
      </w:tr>
      <w:tr>
        <w:trPr>
          <w:trHeight w:val="218"/>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25,712</w:t>
            </w:r>
          </w:p>
        </w:tc>
        <w:tc>
          <w:tcPr>
            <w:tcW w:w="3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2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4"/>
        </w:trPr>
        <w:tc>
          <w:tcPr>
            <w:tcW w:w="62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060" w:type="dxa"/>
            <w:vAlign w:val="bottom"/>
            <w:gridSpan w:val="2"/>
            <w:shd w:val="clear" w:color="auto" w:fill="CCEEFF"/>
          </w:tcPr>
          <w:p>
            <w:pPr>
              <w:jc w:val="right"/>
              <w:ind w:right="360"/>
              <w:spacing w:after="0" w:line="204" w:lineRule="exact"/>
              <w:rPr>
                <w:sz w:val="20"/>
                <w:szCs w:val="20"/>
                <w:color w:val="auto"/>
              </w:rPr>
            </w:pPr>
            <w:r>
              <w:rPr>
                <w:rFonts w:ascii="Times New Roman" w:cs="Times New Roman" w:eastAsia="Times New Roman" w:hAnsi="Times New Roman"/>
                <w:sz w:val="18"/>
                <w:szCs w:val="18"/>
                <w:color w:val="auto"/>
              </w:rPr>
              <w:t>7.2 years</w:t>
            </w:r>
          </w:p>
        </w:tc>
        <w:tc>
          <w:tcPr>
            <w:tcW w:w="900" w:type="dxa"/>
            <w:vAlign w:val="bottom"/>
            <w:gridSpan w:val="2"/>
            <w:shd w:val="clear" w:color="auto" w:fill="CCEEFF"/>
          </w:tcPr>
          <w:p>
            <w:pPr>
              <w:jc w:val="right"/>
              <w:ind w:right="200"/>
              <w:spacing w:after="0" w:line="204" w:lineRule="exact"/>
              <w:rPr>
                <w:sz w:val="20"/>
                <w:szCs w:val="20"/>
                <w:color w:val="auto"/>
              </w:rPr>
            </w:pPr>
            <w:r>
              <w:rPr>
                <w:rFonts w:ascii="Times New Roman" w:cs="Times New Roman" w:eastAsia="Times New Roman" w:hAnsi="Times New Roman"/>
                <w:sz w:val="18"/>
                <w:szCs w:val="18"/>
                <w:color w:val="auto"/>
              </w:rPr>
              <w:t>7.1 years</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76"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statements of operations and comprehensive income and supplemental cash flow information related to operating leases is as follows:</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20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gridSpan w:val="2"/>
          </w:tcPr>
          <w:p>
            <w:pPr>
              <w:jc w:val="center"/>
              <w:ind w:left="121"/>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620" w:type="dxa"/>
            <w:vAlign w:val="bottom"/>
            <w:gridSpan w:val="5"/>
          </w:tcPr>
          <w:p>
            <w:pPr>
              <w:jc w:val="center"/>
              <w:ind w:left="419"/>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12,275</w:t>
            </w: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2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2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w:t>
            </w: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maturity of operating lease liabilities under the Group’s non-cancelable operating leases as of December 31, 2025 is as follows:</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of December</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38,177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Group has no significant lease contract that has been entered into but not yet commenced.</w:t>
      </w:r>
    </w:p>
    <w:p>
      <w:pPr>
        <w:spacing w:after="0" w:line="1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0940"/>
          </w:cols>
          <w:pgMar w:left="320" w:top="476" w:right="6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sale of development properties</w:t>
      </w:r>
    </w:p>
    <w:p>
      <w:pPr>
        <w:spacing w:after="0" w:line="112" w:lineRule="exact"/>
        <w:rPr>
          <w:sz w:val="20"/>
          <w:szCs w:val="20"/>
          <w:color w:val="auto"/>
        </w:rPr>
      </w:pPr>
    </w:p>
    <w:p>
      <w:pPr>
        <w:ind w:left="240" w:right="100" w:firstLine="431"/>
        <w:spacing w:after="0" w:line="280" w:lineRule="auto"/>
        <w:rPr>
          <w:sz w:val="20"/>
          <w:szCs w:val="20"/>
          <w:color w:val="auto"/>
        </w:rPr>
      </w:pPr>
      <w:r>
        <w:rPr>
          <w:rFonts w:ascii="Times New Roman" w:cs="Times New Roman" w:eastAsia="Times New Roman" w:hAnsi="Times New Roman"/>
          <w:sz w:val="17"/>
          <w:szCs w:val="17"/>
          <w:color w:val="auto"/>
        </w:rPr>
        <w:t>Gain on sale of development properties for the years ended December 31, 2023, 2024 and 2025 were RMB2,283 million, RMB1,527 million and RMB387 million, respectively, which were mainly derived from disposals of logistics facilities to Real Estate Investment Trust (“REIT”) and several private funds, which can be mainly classified into core funds (collectively, “Property Funds”). The overview of the major funds is listed below.</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Core funds</w:t>
      </w:r>
    </w:p>
    <w:p>
      <w:pPr>
        <w:spacing w:after="0" w:line="220" w:lineRule="exact"/>
        <w:rPr>
          <w:sz w:val="20"/>
          <w:szCs w:val="20"/>
          <w:color w:val="auto"/>
        </w:rPr>
      </w:pPr>
    </w:p>
    <w:p>
      <w:pPr>
        <w:ind w:left="240" w:right="220" w:firstLine="431"/>
        <w:spacing w:after="0" w:line="253" w:lineRule="auto"/>
        <w:rPr>
          <w:sz w:val="20"/>
          <w:szCs w:val="20"/>
          <w:color w:val="auto"/>
        </w:rPr>
      </w:pPr>
      <w:r>
        <w:rPr>
          <w:rFonts w:ascii="Times New Roman" w:cs="Times New Roman" w:eastAsia="Times New Roman" w:hAnsi="Times New Roman"/>
          <w:sz w:val="18"/>
          <w:szCs w:val="18"/>
          <w:color w:val="auto"/>
        </w:rPr>
        <w:t>In 2018, the Group established JD Property to manage the expanding logistics facilities and other real estate properties. Over the course of the years, JD Property established several phases of core funds (the “Core Funds”) together with certain third-party investor(s). JD Property serves as the general partner and committed 10%-20% of the total capital of each core fund as the limited partner, and the third-party investor(s) committed the remaining 80%-90%.</w:t>
      </w:r>
    </w:p>
    <w:p>
      <w:pPr>
        <w:spacing w:after="0" w:line="185"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Furthermore, the Group entered into definitive agreements with each of the Core Funds, pursuant to which the Group will dispose of certain modern logistics facilities to the Core Funds, and concurrently lease back these completed facilities for operational purposes with an initial lease term of 4 to 10 years. The annual rent for the completed facilities is set at fair market rent for the initial lease term and will be adjusted based on the growth rate of fair market rent at the beginning of each subsequent 5 years’ period. The Group may choose to renew the lease upon the expiry of the initial lease agreement if the adjusted rental rate is acceptable. The lease back transaction is accounted for under ASC 842 as operating lease, and the ROU assets and operating lease liabilities were recorded accordingly. The Core Funds used leverage to finance the purchase, and the closing of the purchase is subject to certain conditions, including the availability of debt financing.</w:t>
      </w:r>
    </w:p>
    <w:p>
      <w:pPr>
        <w:spacing w:after="0" w:line="189" w:lineRule="exact"/>
        <w:rPr>
          <w:sz w:val="20"/>
          <w:szCs w:val="20"/>
          <w:color w:val="auto"/>
        </w:rPr>
      </w:pPr>
    </w:p>
    <w:p>
      <w:pPr>
        <w:ind w:left="240" w:right="460" w:firstLine="431"/>
        <w:spacing w:after="0" w:line="273" w:lineRule="auto"/>
        <w:rPr>
          <w:sz w:val="20"/>
          <w:szCs w:val="20"/>
          <w:color w:val="auto"/>
        </w:rPr>
      </w:pPr>
      <w:r>
        <w:rPr>
          <w:rFonts w:ascii="Times New Roman" w:cs="Times New Roman" w:eastAsia="Times New Roman" w:hAnsi="Times New Roman"/>
          <w:sz w:val="17"/>
          <w:szCs w:val="17"/>
          <w:color w:val="auto"/>
        </w:rPr>
        <w:t>The investment committee of each of the Core Funds, which comprises the representatives from JD Property and the third-party investor(s), oversees the key operations of each fund, respectively. Given the control over the Core Funds is shared between JD Property and the third-party investor(s), JD Property does not consolidate the Core Funds and investments in the Core Funds are accounted for using the equity method as JD Property obtained significant influence by the rights to nominate no more than half of the members of each investment committee.</w:t>
      </w:r>
    </w:p>
    <w:p>
      <w:pPr>
        <w:spacing w:after="0" w:line="168"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The closing conditions for each asset group of completed logistics facilities were considered met when each of the Core Funds signed definitive facility agreements with bank consortium to finance the purchase, respectively. As of each respective year-end, all or certain of logistics facilities under asset groups related to different core funds have been completed and satisfied hand-over condition. Therefore, the Group recorded disposal gain related to the Core Funds of RMB1,764 million, RMB1,527 million and RMB387 million for the years ended December 31, 2023, 2024 and 2025, respectively, which represent the excess of cash consideration of the net assets, including the consideration received and expected to receive, over the carrying value of the net assets disposed as of the disposal date.</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REIT</w:t>
      </w:r>
    </w:p>
    <w:p>
      <w:pPr>
        <w:spacing w:after="0" w:line="114" w:lineRule="exact"/>
        <w:rPr>
          <w:sz w:val="20"/>
          <w:szCs w:val="20"/>
          <w:color w:val="auto"/>
        </w:rPr>
      </w:pPr>
    </w:p>
    <w:p>
      <w:pPr>
        <w:ind w:left="240" w:firstLine="431"/>
        <w:spacing w:after="0" w:line="251" w:lineRule="auto"/>
        <w:rPr>
          <w:sz w:val="20"/>
          <w:szCs w:val="20"/>
          <w:color w:val="auto"/>
        </w:rPr>
      </w:pPr>
      <w:r>
        <w:rPr>
          <w:rFonts w:ascii="Times New Roman" w:cs="Times New Roman" w:eastAsia="Times New Roman" w:hAnsi="Times New Roman"/>
          <w:sz w:val="18"/>
          <w:szCs w:val="18"/>
          <w:color w:val="auto"/>
        </w:rPr>
        <w:t>In December 2022, the REIT jointly established by the Group and Harvest Fund Management Co., Ltd., became the first of its kind in the private sector in China that received formal approval from China’s Securities Regulatory Commission. On February 8, 2023, the REIT was listed on the Shanghai Stock Exchange, and raised proceeds for over RMB1.7 billion. The Group subscribed 34% of the units issued by the REIT amounted to RMB597 million and accounted for the investments in the REIT using the equity method as the Company obtained significant influence but no power to control the key activities determined in the general meeting of the REIT.</w:t>
      </w:r>
    </w:p>
    <w:p>
      <w:pPr>
        <w:spacing w:after="0" w:line="187" w:lineRule="exact"/>
        <w:rPr>
          <w:sz w:val="20"/>
          <w:szCs w:val="20"/>
          <w:color w:val="auto"/>
        </w:rPr>
      </w:pPr>
    </w:p>
    <w:p>
      <w:pPr>
        <w:ind w:left="240" w:right="40" w:firstLine="431"/>
        <w:spacing w:after="0" w:line="273" w:lineRule="auto"/>
        <w:rPr>
          <w:sz w:val="20"/>
          <w:szCs w:val="20"/>
          <w:color w:val="auto"/>
        </w:rPr>
      </w:pPr>
      <w:r>
        <w:rPr>
          <w:rFonts w:ascii="Times New Roman" w:cs="Times New Roman" w:eastAsia="Times New Roman" w:hAnsi="Times New Roman"/>
          <w:sz w:val="17"/>
          <w:szCs w:val="17"/>
          <w:color w:val="auto"/>
        </w:rPr>
        <w:t>In February 2023, the Group transferred certain logistics facilities to the REIT and recorded a disposal gain of RMB519 million, which represents the difference between cash consideration and the carrying value of the net assets for the asset groups disposed and concurrently leased back all these logistic facilities for operational purpose with an initial lease term of 5 to 6 years. Upon the disposal, the logistics facilities leased back from the REIT were accounted for under ASC 842 as operating lease, and the right-of-use assets and operating lease liabilities were recorded accordingly.</w:t>
      </w:r>
    </w:p>
    <w:p>
      <w:pPr>
        <w:spacing w:after="0" w:line="10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0980"/>
          </w:cols>
          <w:pgMar w:left="320" w:top="476" w:right="5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tab/>
        <w:t>Others, net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Others, net consist of the following:</w:t>
      </w: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180" w:type="dxa"/>
            <w:vAlign w:val="bottom"/>
            <w:gridSpan w:val="7"/>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gridSpan w:val="5"/>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(Losses)/gains from fair value change of long-term investments</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from acquirements or disposals of businesses and investments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(3,043)</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(3,299)</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(losses)/gains, net</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8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60" w:hanging="430"/>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22" w:lineRule="exact"/>
        <w:rPr>
          <w:sz w:val="20"/>
          <w:szCs w:val="20"/>
          <w:color w:val="auto"/>
        </w:rPr>
      </w:pPr>
    </w:p>
    <w:p>
      <w:pPr>
        <w:ind w:left="660" w:hanging="430"/>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Value added tax (</w:t>
      </w:r>
      <w:r>
        <w:rPr>
          <w:rFonts w:ascii="Times New Roman" w:cs="Times New Roman" w:eastAsia="Times New Roman" w:hAnsi="Times New Roman"/>
          <w:sz w:val="18"/>
          <w:szCs w:val="18"/>
          <w:color w:val="auto"/>
        </w:rPr>
        <w:t>“VAT”)</w:t>
      </w:r>
    </w:p>
    <w:p>
      <w:pPr>
        <w:spacing w:after="0" w:line="114" w:lineRule="exact"/>
        <w:rPr>
          <w:sz w:val="20"/>
          <w:szCs w:val="20"/>
          <w:color w:val="auto"/>
        </w:rPr>
      </w:pPr>
    </w:p>
    <w:p>
      <w:pPr>
        <w:ind w:left="240" w:right="20" w:firstLine="431"/>
        <w:spacing w:after="0" w:line="267" w:lineRule="auto"/>
        <w:rPr>
          <w:sz w:val="20"/>
          <w:szCs w:val="20"/>
          <w:color w:val="auto"/>
        </w:rPr>
      </w:pPr>
      <w:r>
        <w:rPr>
          <w:rFonts w:ascii="Times New Roman" w:cs="Times New Roman" w:eastAsia="Times New Roman" w:hAnsi="Times New Roman"/>
          <w:sz w:val="17"/>
          <w:szCs w:val="17"/>
          <w:color w:val="auto"/>
        </w:rPr>
        <w:t>The Group is subject to statutory VAT rate of 9% for revenues from sales of audio, video products and books and statutory VAT rate of 13% for sales of other products in the Chinese mainland, started from April 1, 2019. The Group is exempted from VAT for revenues from sales of books from January 1, 2014 to December 31, 2027, in compliance with relevant VAT regulations of the Chinese mainland. The Group is subject to VAT at the rate of 6% for revenues from express delivery services, 9% for revenues from transportation services, and 6% for revenues from online advertising and other services. The Group is also subject to cultural undertaking development fees at the rate of 3% on revenues from online advertising services in the Chinese mainland, which is exempted from January 1, 2020 to December 31, 2021, and reduced by 50% from January 1, 2022 to December 31, 2027.</w:t>
      </w:r>
    </w:p>
    <w:p>
      <w:pPr>
        <w:spacing w:after="0" w:line="317" w:lineRule="exact"/>
        <w:rPr>
          <w:sz w:val="20"/>
          <w:szCs w:val="20"/>
          <w:color w:val="auto"/>
        </w:rPr>
      </w:pPr>
    </w:p>
    <w:p>
      <w:pPr>
        <w:ind w:left="660" w:right="9220" w:hanging="430"/>
        <w:spacing w:after="0" w:line="391" w:lineRule="auto"/>
        <w:tabs>
          <w:tab w:leader="none" w:pos="652" w:val="left"/>
        </w:tabs>
        <w:numPr>
          <w:ilvl w:val="0"/>
          <w:numId w:val="18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Income tax </w:t>
      </w:r>
      <w:r>
        <w:rPr>
          <w:rFonts w:ascii="Times New Roman" w:cs="Times New Roman" w:eastAsia="Times New Roman" w:hAnsi="Times New Roman"/>
          <w:sz w:val="17"/>
          <w:szCs w:val="17"/>
          <w:i w:val="1"/>
          <w:iCs w:val="1"/>
          <w:u w:val="single" w:color="auto"/>
          <w:color w:val="auto"/>
        </w:rPr>
        <w:t>Cayman Islands</w:t>
      </w:r>
    </w:p>
    <w:p>
      <w:pPr>
        <w:spacing w:after="0" w:line="2" w:lineRule="exact"/>
        <w:rPr>
          <w:sz w:val="20"/>
          <w:szCs w:val="20"/>
          <w:color w:val="auto"/>
        </w:rPr>
      </w:pPr>
    </w:p>
    <w:p>
      <w:pPr>
        <w:ind w:left="240" w:right="420" w:firstLine="431"/>
        <w:spacing w:after="0" w:line="270" w:lineRule="auto"/>
        <w:rPr>
          <w:sz w:val="20"/>
          <w:szCs w:val="20"/>
          <w:color w:val="auto"/>
        </w:rPr>
      </w:pPr>
      <w:r>
        <w:rPr>
          <w:rFonts w:ascii="Times New Roman" w:cs="Times New Roman" w:eastAsia="Times New Roman" w:hAnsi="Times New Roman"/>
          <w:sz w:val="18"/>
          <w:szCs w:val="18"/>
          <w:color w:val="auto"/>
        </w:rPr>
        <w:t>Under the current laws of the Cayman Islands, the Company and its subsidiaries incorporated in the Cayman Islands are not subject to tax on income or capital gains. Additionally, the Cayman Islands does not impose a withholding tax on payments of dividends to shareholders.</w:t>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British Virgin Islands</w:t>
      </w:r>
    </w:p>
    <w:p>
      <w:pPr>
        <w:spacing w:after="0" w:line="112" w:lineRule="exact"/>
        <w:rPr>
          <w:sz w:val="20"/>
          <w:szCs w:val="20"/>
          <w:color w:val="auto"/>
        </w:rPr>
      </w:pPr>
    </w:p>
    <w:p>
      <w:pPr>
        <w:ind w:left="240" w:right="360" w:firstLine="431"/>
        <w:spacing w:after="0" w:line="270" w:lineRule="auto"/>
        <w:rPr>
          <w:sz w:val="20"/>
          <w:szCs w:val="20"/>
          <w:color w:val="auto"/>
        </w:rPr>
      </w:pPr>
      <w:r>
        <w:rPr>
          <w:rFonts w:ascii="Times New Roman" w:cs="Times New Roman" w:eastAsia="Times New Roman" w:hAnsi="Times New Roman"/>
          <w:sz w:val="18"/>
          <w:szCs w:val="18"/>
          <w:color w:val="auto"/>
        </w:rPr>
        <w:t>Under the current laws of the British Virgin Islands, entities incorporated in the British Virgin Islands are not subject to tax on their income or capital gains.</w:t>
      </w: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Hong Kong</w:t>
      </w:r>
    </w:p>
    <w:p>
      <w:pPr>
        <w:spacing w:after="0" w:line="112"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The Group’s subsidiaries incorporated in Hong Kong are subject to a two-tiered income tax rate on its taxable income generated from operations in Hong Kong effective on April 1, 2018. The first HK$2 million of assessable profits earned by its subsidiaries in Hong Kong can be elected to be taxed at half the current tax rate (i.e., 8.25%) while the remaining assessable profits will continue to be taxed at the existing 16.5% tax rate. The Group performs analysis on the foreign-derived income, mainly including dividend and interest, accrued to its subsidiaries in Hong Kong, applies for Commissioner’s Opinion / Advance Ruling with the Inland Revenue Department of Hong Kong on fulfillment of exception requirements under Foreign-Sourced Income Exemption (“FSIE”) regime and pays tax for the profit subject to Hong Kong Profits Tax, if any.</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Chinese mainland</w:t>
      </w:r>
    </w:p>
    <w:p>
      <w:pPr>
        <w:spacing w:after="0" w:line="112" w:lineRule="exact"/>
        <w:rPr>
          <w:sz w:val="20"/>
          <w:szCs w:val="20"/>
          <w:color w:val="auto"/>
        </w:rPr>
      </w:pPr>
    </w:p>
    <w:p>
      <w:pPr>
        <w:ind w:left="240" w:right="40" w:firstLine="431"/>
        <w:spacing w:after="0" w:line="270"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standard enterprise income tax rate for domestic enterprises and foreign invested enterprises is 25%. Most of the Group’s PRC subsidiaries and consolidated VIEs are subject to the statutory income tax rate of 25%.</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020"/>
          </w:cols>
          <w:pgMar w:left="320" w:top="476" w:right="5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3" w:lineRule="exact"/>
        <w:rPr>
          <w:sz w:val="20"/>
          <w:szCs w:val="20"/>
          <w:color w:val="auto"/>
        </w:rPr>
      </w:pPr>
    </w:p>
    <w:p>
      <w:pPr>
        <w:ind w:left="660" w:hanging="430"/>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22" w:lineRule="exact"/>
        <w:rPr>
          <w:sz w:val="20"/>
          <w:szCs w:val="20"/>
          <w:color w:val="auto"/>
        </w:rPr>
      </w:pPr>
    </w:p>
    <w:p>
      <w:pPr>
        <w:ind w:left="660" w:right="8160" w:hanging="430"/>
        <w:spacing w:after="0" w:line="391" w:lineRule="auto"/>
        <w:tabs>
          <w:tab w:leader="none" w:pos="652" w:val="left"/>
        </w:tabs>
        <w:numPr>
          <w:ilvl w:val="0"/>
          <w:numId w:val="19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Income tax </w:t>
      </w:r>
      <w:r>
        <w:rPr>
          <w:rFonts w:ascii="Times New Roman" w:cs="Times New Roman" w:eastAsia="Times New Roman" w:hAnsi="Times New Roman"/>
          <w:sz w:val="17"/>
          <w:szCs w:val="17"/>
          <w:b w:val="1"/>
          <w:bCs w:val="1"/>
          <w:color w:val="auto"/>
        </w:rPr>
        <w:t>(Continued)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u w:val="single" w:color="auto"/>
          <w:color w:val="auto"/>
        </w:rPr>
        <w:t>Chinese mainland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(Continued)</w:t>
      </w:r>
    </w:p>
    <w:p>
      <w:pPr>
        <w:spacing w:after="0" w:line="2" w:lineRule="exact"/>
        <w:rPr>
          <w:sz w:val="20"/>
          <w:szCs w:val="20"/>
          <w:color w:val="auto"/>
        </w:rPr>
      </w:pPr>
    </w:p>
    <w:p>
      <w:pPr>
        <w:ind w:left="240" w:firstLine="431"/>
        <w:spacing w:after="0" w:line="267" w:lineRule="auto"/>
        <w:rPr>
          <w:sz w:val="20"/>
          <w:szCs w:val="20"/>
          <w:color w:val="auto"/>
        </w:rPr>
      </w:pPr>
      <w:r>
        <w:rPr>
          <w:rFonts w:ascii="Times New Roman" w:cs="Times New Roman" w:eastAsia="Times New Roman" w:hAnsi="Times New Roman"/>
          <w:sz w:val="17"/>
          <w:szCs w:val="17"/>
          <w:color w:val="auto"/>
        </w:rPr>
        <w:t>The EIT Law and its implementation rules permit certain High and New Technologies Enterprises, or HNTEs, to enjoy a reduced 15% enterprise income tax rate subject to these HNTEs meeting certain qualification criteria. In addition, the relevant EIT laws and regulations also provide that entities recognized as software enterprises (“Software Enterprises”) are able to enjoy a tax holiday consisting of a two-year-exemption commencing from their first profitable calendar year and a 50% reduction in ordinary tax rate for the following three calendar years. Beijing Shangke has qualified as HNTE and enjoyed a preferential income tax rate of 15% in 2023, 2024 and 2025. Beijing Wodong Tianjun has qualified as Software Enterprise and enjoyed a 50% reduction in ordinary tax rate in 2023 and 2024, and has qualified as HNTE and enjoyed a preferential income tax rate of 15% in 2025.</w:t>
      </w:r>
    </w:p>
    <w:p>
      <w:pPr>
        <w:spacing w:after="0" w:line="176" w:lineRule="exact"/>
        <w:rPr>
          <w:sz w:val="20"/>
          <w:szCs w:val="20"/>
          <w:color w:val="auto"/>
        </w:rPr>
      </w:pPr>
    </w:p>
    <w:p>
      <w:pPr>
        <w:ind w:left="240" w:right="40" w:firstLine="431"/>
        <w:spacing w:after="0" w:line="251" w:lineRule="auto"/>
        <w:rPr>
          <w:sz w:val="20"/>
          <w:szCs w:val="20"/>
          <w:color w:val="auto"/>
        </w:rPr>
      </w:pPr>
      <w:r>
        <w:rPr>
          <w:rFonts w:ascii="Times New Roman" w:cs="Times New Roman" w:eastAsia="Times New Roman" w:hAnsi="Times New Roman"/>
          <w:sz w:val="18"/>
          <w:szCs w:val="18"/>
          <w:color w:val="auto"/>
        </w:rPr>
        <w:t>Certain enterprises will benefit from a preferential tax rate of 15% under the EIT Law if they are located in applicable PRC regions as specified in the Catalogue of Encouraged Industries in Western Regions (initially effective through the end of 2010 and further extended to 2030), or the Western Regions Catalogue, subject to certain general restrictions described in the EIT Law and the related regulations. Chongqing Haijia and certain other entities of the Group have qualified as the enterprises within the Catalogue of Encouraged Industries in Western Regions and enjoyed 15% preferential income tax rate.</w:t>
      </w:r>
    </w:p>
    <w:p>
      <w:pPr>
        <w:spacing w:after="0" w:line="187" w:lineRule="exact"/>
        <w:rPr>
          <w:sz w:val="20"/>
          <w:szCs w:val="20"/>
          <w:color w:val="auto"/>
        </w:rPr>
      </w:pPr>
    </w:p>
    <w:p>
      <w:pPr>
        <w:ind w:left="240" w:right="40" w:firstLine="431"/>
        <w:spacing w:after="0" w:line="258" w:lineRule="auto"/>
        <w:rPr>
          <w:sz w:val="20"/>
          <w:szCs w:val="20"/>
          <w:color w:val="auto"/>
        </w:rPr>
      </w:pPr>
      <w:r>
        <w:rPr>
          <w:rFonts w:ascii="Times New Roman" w:cs="Times New Roman" w:eastAsia="Times New Roman" w:hAnsi="Times New Roman"/>
          <w:sz w:val="18"/>
          <w:szCs w:val="18"/>
          <w:color w:val="auto"/>
        </w:rPr>
        <w:t>According to the relevant laws and regulations in the PRC, enterprises engaging in research and development activities are entitled to claim 175% of their research and development expenses so incurred as tax deductible expenses when determining their assessable profits for that year (“Super Deduction”) from January 1, 2018 and such ratio is raised to 200% from October 1, 2022 and onwards.</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Withholding tax on undistributed dividends</w:t>
      </w:r>
    </w:p>
    <w:p>
      <w:pPr>
        <w:spacing w:after="0" w:line="112"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The EIT Law also provides that an enterprise established under the laws of a foreign country or region but whose “de facto management body” is located in the PRC be treated as a resident enterprise for the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of the PRC should be considered as a resident enterprise for the PRC tax purposes.</w:t>
      </w:r>
    </w:p>
    <w:p>
      <w:pPr>
        <w:spacing w:after="0" w:line="187"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The EIT Law also imposes a withholding income tax of 10% on dividends distributed by a Foreign Investment Enterprise (“FIE”) to its immediate holding company outside of the Chinese mainland, if such immediate holding company is considered as a non-resident enterprise without any establishment or place within the Chinese mainland or if the received dividends have no connection with the establishment or place of such immediate holding company within the Chinese mainland, unless such immediate holding company’s jurisdiction of incorporation has a tax treaty with the Chinese mainland that provides for a different withholding arrangement. According to the arrangement between the Chinese mainland and Hong Kong Special Administrative Region on the Avoidance of Double Taxation and Prevention of Fiscal Evasion in August 2006, dividends paid by a FIE in the Chinese mainland to its immediate holding company in Hong Kong will be subject to withholding tax at a rate of no more than 5% (if the FIE satisfies the criteria for “beneficial owner” under Circular No. 9, which was issued by the STA in February 2018, and the foreign investor owns directly at least 25% of the shares of the FIE).</w:t>
      </w:r>
    </w:p>
    <w:p>
      <w:pPr>
        <w:spacing w:after="0" w:line="1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00"/>
          </w:cols>
          <w:pgMar w:left="320" w:top="476" w:right="5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22" w:lineRule="exact"/>
        <w:rPr>
          <w:sz w:val="20"/>
          <w:szCs w:val="20"/>
          <w:color w:val="auto"/>
        </w:rPr>
      </w:pPr>
    </w:p>
    <w:p>
      <w:pPr>
        <w:ind w:left="660" w:hanging="430"/>
        <w:spacing w:after="0"/>
        <w:tabs>
          <w:tab w:leader="none" w:pos="660" w:val="left"/>
        </w:tabs>
        <w:numPr>
          <w:ilvl w:val="0"/>
          <w:numId w:val="1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b w:val="1"/>
          <w:bCs w:val="1"/>
          <w:color w:val="auto"/>
        </w:rPr>
        <w:t>(Continued)</w:t>
      </w:r>
    </w:p>
    <w:p>
      <w:pPr>
        <w:spacing w:after="0" w:line="112"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Withholding tax on undistributed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w:t>
      </w:r>
    </w:p>
    <w:p>
      <w:pPr>
        <w:spacing w:after="0" w:line="112" w:lineRule="exact"/>
        <w:rPr>
          <w:sz w:val="20"/>
          <w:szCs w:val="20"/>
          <w:color w:val="auto"/>
        </w:rPr>
      </w:pPr>
    </w:p>
    <w:p>
      <w:pPr>
        <w:ind w:left="240" w:right="20" w:firstLine="431"/>
        <w:spacing w:after="0" w:line="258" w:lineRule="auto"/>
        <w:rPr>
          <w:sz w:val="20"/>
          <w:szCs w:val="20"/>
          <w:color w:val="auto"/>
        </w:rPr>
      </w:pPr>
      <w:r>
        <w:rPr>
          <w:rFonts w:ascii="Times New Roman" w:cs="Times New Roman" w:eastAsia="Times New Roman" w:hAnsi="Times New Roman"/>
          <w:sz w:val="18"/>
          <w:szCs w:val="18"/>
          <w:color w:val="auto"/>
        </w:rPr>
        <w:t>Before 2022, the Company did not record any dividend withholding tax on the retained earnings of its FIEs in the Chinese mainland, as the Company intended to reinvest all earnings in the Chinese mainland to further expand its business in the Chinese mainland, and its FIEs did not intend to declare dividends on the retained earnings to their immediate foreign holding companies.</w:t>
      </w:r>
    </w:p>
    <w:p>
      <w:pPr>
        <w:spacing w:after="0" w:line="179"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accrued RMB2,421 million, RMB2,362 million and RMB1,056 million withholding tax expenses associated with its earnings expected to be distributed from its FIEs in the Chinese mainland to countries or regions other than the Chinese mainland, respectively. As of December 31, 2024 and 2025, the Company has accrued withholding tax liabilities associated with all of its earnings expected to be distributed from its FIEs in the Chinese mainland to countries or regions other than the Chinese mainland, except for unrecognized deferred tax liabilities of RMB2.8 billion and RMB2.8 billion related to the remaining undistributed earnings that the Company still intends to indefinitely reinvest in the Chinese mainland, respectively.</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Global Anti-base Erosion Rules</w:t>
      </w:r>
    </w:p>
    <w:p>
      <w:pPr>
        <w:spacing w:after="0" w:line="112"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introduced the Global Anti-Base Erosion (GloBE) Rules, which set out global minimum tax rules designed to ensure that large multinational businesses with group annual revenue of EUR750 million or more pay a minimum effective rate of tax of 15% on profits in all their operating countries (referred to as “Pillar Two Rules”). Countries may also implement their own domestic minimum tax regimes. Global minimum tax rules have been enacted in certain jurisdictions in which the Group is subject to income taxes. To provide transitional relief for Pillar Two Rules tax compliance and administrative burden, the OECD has introduced a Framework for Transitional Country-by-Country Reporting Safe Harbor applicable for a Transition Period covering from the year ended December 31, 2025 to the year ending December 31, 2026.</w:t>
      </w:r>
    </w:p>
    <w:p>
      <w:pPr>
        <w:spacing w:after="0" w:line="189" w:lineRule="exact"/>
        <w:rPr>
          <w:sz w:val="20"/>
          <w:szCs w:val="20"/>
          <w:color w:val="auto"/>
        </w:rPr>
      </w:pPr>
    </w:p>
    <w:p>
      <w:pPr>
        <w:ind w:left="240" w:right="20" w:firstLine="431"/>
        <w:spacing w:after="0" w:line="258" w:lineRule="auto"/>
        <w:rPr>
          <w:sz w:val="20"/>
          <w:szCs w:val="20"/>
          <w:color w:val="auto"/>
        </w:rPr>
      </w:pPr>
      <w:r>
        <w:rPr>
          <w:rFonts w:ascii="Times New Roman" w:cs="Times New Roman" w:eastAsia="Times New Roman" w:hAnsi="Times New Roman"/>
          <w:sz w:val="18"/>
          <w:szCs w:val="18"/>
          <w:color w:val="auto"/>
        </w:rPr>
        <w:t>Certain jurisdictions in which the Group operates have implemented the Pillar Two Rules. The Company took measures to assess its exposure to Pillar Two minimum taxation and no material top-up taxes arose for the year ended December 31, 2025. The Group is continuing to assess the impact of the Pillar Two Rules on its future financial performance.</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0980"/>
          </w:cols>
          <w:pgMar w:left="320" w:top="476" w:right="5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42" w:lineRule="exact"/>
        <w:rPr>
          <w:sz w:val="20"/>
          <w:szCs w:val="20"/>
          <w:color w:val="auto"/>
        </w:rPr>
      </w:pPr>
    </w:p>
    <w:p>
      <w:pPr>
        <w:ind w:left="660" w:hanging="430"/>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22" w:lineRule="exact"/>
        <w:rPr>
          <w:sz w:val="20"/>
          <w:szCs w:val="20"/>
          <w:color w:val="auto"/>
        </w:rPr>
      </w:pPr>
    </w:p>
    <w:p>
      <w:pPr>
        <w:ind w:left="660" w:hanging="430"/>
        <w:spacing w:after="0"/>
        <w:tabs>
          <w:tab w:leader="none" w:pos="660" w:val="left"/>
        </w:tabs>
        <w:numPr>
          <w:ilvl w:val="0"/>
          <w:numId w:val="19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b w:val="1"/>
          <w:bCs w:val="1"/>
          <w:color w:val="auto"/>
        </w:rPr>
        <w:t>(Continued)</w:t>
      </w:r>
    </w:p>
    <w:p>
      <w:pPr>
        <w:spacing w:after="0" w:line="114"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components of income/(loss) before tax are as follows:</w:t>
      </w:r>
    </w:p>
    <w:p>
      <w:pPr>
        <w:sectPr>
          <w:pgSz w:w="11900" w:h="16838" w:orient="portrait"/>
          <w:cols w:equalWidth="0" w:num="1">
            <w:col w:w="10800"/>
          </w:cols>
          <w:pgMar w:left="320" w:top="47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Income/(loss)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-110490</wp:posOffset>
            </wp:positionV>
            <wp:extent cx="5749925" cy="134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5749925" cy="134620"/>
                    </a:xfrm>
                    <a:prstGeom prst="rect">
                      <a:avLst/>
                    </a:prstGeom>
                    <a:noFill/>
                  </pic:spPr>
                </pic:pic>
              </a:graphicData>
            </a:graphic>
          </wp:anchor>
        </w:drawing>
      </w:r>
    </w:p>
    <w:p>
      <w:pPr>
        <w:spacing w:after="0" w:line="2" w:lineRule="exact"/>
        <w:rPr>
          <w:sz w:val="20"/>
          <w:szCs w:val="20"/>
          <w:color w:val="auto"/>
        </w:rPr>
      </w:pPr>
    </w:p>
    <w:p>
      <w:pPr>
        <w:ind w:left="1440" w:right="1560"/>
        <w:spacing w:after="0" w:line="265" w:lineRule="auto"/>
        <w:rPr>
          <w:sz w:val="20"/>
          <w:szCs w:val="20"/>
          <w:color w:val="auto"/>
        </w:rPr>
      </w:pPr>
      <w:r>
        <w:rPr>
          <w:rFonts w:ascii="Times New Roman" w:cs="Times New Roman" w:eastAsia="Times New Roman" w:hAnsi="Times New Roman"/>
          <w:sz w:val="17"/>
          <w:szCs w:val="17"/>
          <w:color w:val="auto"/>
        </w:rPr>
        <w:t>Income from Chinese mainland operations (Loss)/income from non-Chinese mainland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-130175</wp:posOffset>
            </wp:positionV>
            <wp:extent cx="5749925" cy="134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5749925" cy="134620"/>
                    </a:xfrm>
                    <a:prstGeom prst="rect">
                      <a:avLst/>
                    </a:prstGeom>
                    <a:noFill/>
                  </pic:spPr>
                </pic:pic>
              </a:graphicData>
            </a:graphic>
          </wp:anchor>
        </w:drawing>
      </w:r>
    </w:p>
    <w:p>
      <w:pPr>
        <w:ind w:left="1100"/>
        <w:spacing w:after="0"/>
        <w:rPr>
          <w:sz w:val="20"/>
          <w:szCs w:val="20"/>
          <w:color w:val="auto"/>
        </w:rPr>
      </w:pPr>
      <w:r>
        <w:rPr>
          <w:rFonts w:ascii="Times New Roman" w:cs="Times New Roman" w:eastAsia="Times New Roman" w:hAnsi="Times New Roman"/>
          <w:sz w:val="18"/>
          <w:szCs w:val="18"/>
          <w:color w:val="auto"/>
        </w:rPr>
        <w:t>Total income before tax</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62877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220"/>
        <w:spacing w:after="0"/>
        <w:tabs>
          <w:tab w:leader="none" w:pos="1100" w:val="left"/>
          <w:tab w:leader="none" w:pos="20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6287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4"/>
          <w:szCs w:val="14"/>
          <w:b w:val="1"/>
          <w:bCs w:val="1"/>
          <w:color w:val="auto"/>
        </w:rPr>
        <w:t>(RMB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22,047</w:t>
            </w:r>
          </w:p>
        </w:tc>
      </w:tr>
      <w:tr>
        <w:trPr>
          <w:trHeight w:val="203"/>
        </w:trPr>
        <w:tc>
          <w:tcPr>
            <w:tcW w:w="840" w:type="dxa"/>
            <w:vAlign w:val="bottom"/>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(1,480)</w:t>
            </w:r>
          </w:p>
        </w:tc>
        <w:tc>
          <w:tcPr>
            <w:tcW w:w="7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3,845</w:t>
            </w:r>
          </w:p>
        </w:tc>
        <w:tc>
          <w:tcPr>
            <w:tcW w:w="9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3,276</w:t>
            </w: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8"/>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31,650</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51,538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25,323</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20" w:space="720"/>
            <w:col w:w="3260"/>
          </w:cols>
          <w:pgMar w:left="320" w:top="476" w:right="779" w:bottom="1440" w:gutter="0" w:footer="0" w:header="0"/>
          <w:type w:val="continuous"/>
        </w:sectPr>
      </w:pPr>
    </w:p>
    <w:p>
      <w:pPr>
        <w:spacing w:after="0" w:line="6" w:lineRule="exact"/>
        <w:rPr>
          <w:sz w:val="20"/>
          <w:szCs w:val="20"/>
          <w:color w:val="auto"/>
        </w:rPr>
      </w:pPr>
    </w:p>
    <w:p>
      <w:pPr>
        <w:ind w:left="240" w:right="200" w:firstLine="431"/>
        <w:spacing w:after="0" w:line="270" w:lineRule="auto"/>
        <w:rPr>
          <w:sz w:val="20"/>
          <w:szCs w:val="20"/>
          <w:color w:val="auto"/>
        </w:rPr>
      </w:pPr>
      <w:r>
        <w:rPr>
          <w:rFonts w:ascii="Times New Roman" w:cs="Times New Roman" w:eastAsia="Times New Roman" w:hAnsi="Times New Roman"/>
          <w:sz w:val="18"/>
          <w:szCs w:val="18"/>
          <w:color w:val="auto"/>
        </w:rPr>
        <w:t>For the year ended December 31, 2025, income tax expenses amounted to RMB1,901 million in Chinese mainland, and income tax expenses amounted to RMB280 million in jurisdictions outside Chinese mainland.</w:t>
      </w:r>
    </w:p>
    <w:p>
      <w:pPr>
        <w:sectPr>
          <w:pgSz w:w="11900" w:h="16838" w:orient="portrait"/>
          <w:cols w:equalWidth="0" w:num="1">
            <w:col w:w="10800"/>
          </w:cols>
          <w:pgMar w:left="320" w:top="476" w:right="779" w:bottom="1440" w:gutter="0" w:footer="0" w:header="0"/>
          <w:type w:val="continuous"/>
        </w:sectPr>
      </w:pP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tax benefits/(expenses) consist of:</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Current income tax expenses</w:t>
      </w:r>
    </w:p>
    <w:p>
      <w:pPr>
        <w:spacing w:after="0" w:line="2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Deferred tax (expenses)/benefits</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 income tax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wp:posOffset>
            </wp:positionV>
            <wp:extent cx="15614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ind w:left="220"/>
        <w:spacing w:after="0"/>
        <w:tabs>
          <w:tab w:leader="none" w:pos="1080" w:val="left"/>
          <w:tab w:leader="none" w:pos="19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15614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1561465" cy="825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4"/>
          <w:szCs w:val="14"/>
          <w:b w:val="1"/>
          <w:bCs w:val="1"/>
          <w:color w:val="auto"/>
        </w:rPr>
        <w:t>(RMB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-5080</wp:posOffset>
            </wp:positionV>
            <wp:extent cx="5749925" cy="134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5749925" cy="134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(7,524)</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(8,022)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03"/>
        </w:trPr>
        <w:tc>
          <w:tcPr>
            <w:tcW w:w="20" w:type="dxa"/>
            <w:vAlign w:val="bottom"/>
          </w:tcPr>
          <w:p>
            <w:pPr>
              <w:spacing w:after="0"/>
              <w:rPr>
                <w:sz w:val="17"/>
                <w:szCs w:val="17"/>
                <w:color w:val="auto"/>
              </w:rPr>
            </w:pPr>
          </w:p>
        </w:tc>
        <w:tc>
          <w:tcPr>
            <w:tcW w:w="80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(869)</w:t>
            </w:r>
          </w:p>
        </w:tc>
        <w:tc>
          <w:tcPr>
            <w:tcW w:w="7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4,742</w:t>
            </w: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3"/>
              </w:rPr>
              <w:t>     (8,393)</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(6,878)</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(2,181)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-158750</wp:posOffset>
            </wp:positionV>
            <wp:extent cx="5749925" cy="134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5749925"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720"/>
            <w:col w:w="3220"/>
          </w:cols>
          <w:pgMar w:left="320" w:top="476" w:right="779" w:bottom="1440" w:gutter="0" w:footer="0" w:header="0"/>
          <w:type w:val="continuous"/>
        </w:sectPr>
      </w:pPr>
    </w:p>
    <w:p>
      <w:pPr>
        <w:spacing w:after="0" w:line="6"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Reconciliation of difference between the PRC statutory income tax rate and the Group’s effective income tax rate for the years ended December 31, 2023 and 2024 is as follows: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4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39"/>
        </w:trPr>
        <w:tc>
          <w:tcPr>
            <w:tcW w:w="374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Statutory income tax rate</w:t>
            </w:r>
          </w:p>
        </w:tc>
        <w:tc>
          <w:tcPr>
            <w:tcW w:w="16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1020"/>
              <w:spacing w:after="0" w:line="205" w:lineRule="exact"/>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preferential tax rates and tax holiday</w:t>
            </w:r>
          </w:p>
        </w:tc>
        <w:tc>
          <w:tcPr>
            <w:tcW w:w="34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tax-exempt entities</w:t>
            </w:r>
          </w:p>
        </w:tc>
        <w:tc>
          <w:tcPr>
            <w:tcW w:w="34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Effect on tax rates in different tax jurisdiction</w:t>
            </w:r>
          </w:p>
        </w:tc>
        <w:tc>
          <w:tcPr>
            <w:tcW w:w="34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non-deductible expenses</w:t>
            </w:r>
          </w:p>
        </w:tc>
        <w:tc>
          <w:tcPr>
            <w:tcW w:w="34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non-taxable income</w:t>
            </w:r>
          </w:p>
        </w:tc>
        <w:tc>
          <w:tcPr>
            <w:tcW w:w="34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Super Deduction and others</w:t>
            </w:r>
          </w:p>
        </w:tc>
        <w:tc>
          <w:tcPr>
            <w:tcW w:w="348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4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9.1%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withholding income tax</w:t>
            </w:r>
          </w:p>
        </w:tc>
        <w:tc>
          <w:tcPr>
            <w:tcW w:w="16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7.6%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16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8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26.5%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740" w:type="dxa"/>
            <w:vAlign w:val="bottom"/>
          </w:tcPr>
          <w:p>
            <w:pPr>
              <w:spacing w:after="0"/>
              <w:rPr>
                <w:sz w:val="24"/>
                <w:szCs w:val="24"/>
                <w:color w:val="auto"/>
              </w:rPr>
            </w:pPr>
          </w:p>
        </w:tc>
        <w:tc>
          <w:tcPr>
            <w:tcW w:w="3480" w:type="dxa"/>
            <w:vAlign w:val="bottom"/>
            <w:gridSpan w:val="3"/>
          </w:tcPr>
          <w:p>
            <w:pPr>
              <w:jc w:val="right"/>
              <w:ind w:right="2940"/>
              <w:spacing w:after="0"/>
              <w:rPr>
                <w:sz w:val="20"/>
                <w:szCs w:val="20"/>
                <w:color w:val="auto"/>
              </w:rPr>
            </w:pPr>
            <w:r>
              <w:rPr>
                <w:rFonts w:ascii="Times New Roman" w:cs="Times New Roman" w:eastAsia="Times New Roman" w:hAnsi="Times New Roman"/>
                <w:sz w:val="18"/>
                <w:szCs w:val="18"/>
                <w:color w:val="auto"/>
              </w:rPr>
              <w:t>F-57</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76" w:right="779" w:bottom="1440" w:gutter="0" w:footer="0" w:header="0"/>
          <w:type w:val="continuous"/>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22" w:lineRule="exact"/>
        <w:rPr>
          <w:sz w:val="20"/>
          <w:szCs w:val="20"/>
          <w:color w:val="auto"/>
        </w:rPr>
      </w:pPr>
    </w:p>
    <w:p>
      <w:pPr>
        <w:ind w:left="660" w:hanging="430"/>
        <w:spacing w:after="0"/>
        <w:tabs>
          <w:tab w:leader="none" w:pos="660" w:val="left"/>
        </w:tabs>
        <w:numPr>
          <w:ilvl w:val="0"/>
          <w:numId w:val="1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b w:val="1"/>
          <w:bCs w:val="1"/>
          <w:color w:val="auto"/>
        </w:rPr>
        <w:t>(Continued)</w:t>
      </w:r>
    </w:p>
    <w:p>
      <w:pPr>
        <w:spacing w:after="0" w:line="114" w:lineRule="exact"/>
        <w:rPr>
          <w:sz w:val="20"/>
          <w:szCs w:val="20"/>
          <w:color w:val="auto"/>
        </w:rPr>
      </w:pPr>
    </w:p>
    <w:p>
      <w:pPr>
        <w:ind w:left="240" w:right="200" w:firstLine="431"/>
        <w:spacing w:after="0" w:line="270" w:lineRule="auto"/>
        <w:rPr>
          <w:sz w:val="20"/>
          <w:szCs w:val="20"/>
          <w:color w:val="auto"/>
        </w:rPr>
      </w:pPr>
      <w:r>
        <w:rPr>
          <w:rFonts w:ascii="Times New Roman" w:cs="Times New Roman" w:eastAsia="Times New Roman" w:hAnsi="Times New Roman"/>
          <w:sz w:val="18"/>
          <w:szCs w:val="18"/>
          <w:color w:val="auto"/>
        </w:rPr>
        <w:t>Upon adoption of ASU 2023-09, as described in Note 2, reconciliation of difference between the PRC statutory income tax rate and the Group’s effective income tax rate for the year ended December 31, 2025 is as follows:</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8060" w:type="dxa"/>
            <w:vAlign w:val="bottom"/>
          </w:tcPr>
          <w:p>
            <w:pPr>
              <w:spacing w:after="0"/>
              <w:rPr>
                <w:sz w:val="14"/>
                <w:szCs w:val="14"/>
                <w:color w:val="auto"/>
              </w:rPr>
            </w:pPr>
          </w:p>
        </w:tc>
        <w:tc>
          <w:tcPr>
            <w:tcW w:w="27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39"/>
        </w:trPr>
        <w:tc>
          <w:tcPr>
            <w:tcW w:w="806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060" w:type="dxa"/>
            <w:vAlign w:val="bottom"/>
          </w:tcPr>
          <w:p>
            <w:pPr>
              <w:spacing w:after="0"/>
              <w:rPr>
                <w:sz w:val="9"/>
                <w:szCs w:val="9"/>
                <w:color w:val="auto"/>
              </w:rPr>
            </w:pPr>
          </w:p>
        </w:tc>
        <w:tc>
          <w:tcPr>
            <w:tcW w:w="1040" w:type="dxa"/>
            <w:vAlign w:val="bottom"/>
            <w:gridSpan w:val="3"/>
          </w:tcPr>
          <w:p>
            <w:pPr>
              <w:jc w:val="right"/>
              <w:ind w:right="340"/>
              <w:spacing w:after="0" w:line="114"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tcPr>
          <w:p>
            <w:pPr>
              <w:spacing w:after="0"/>
              <w:rPr>
                <w:sz w:val="9"/>
                <w:szCs w:val="9"/>
                <w:color w:val="auto"/>
              </w:rPr>
            </w:pPr>
          </w:p>
        </w:tc>
        <w:tc>
          <w:tcPr>
            <w:tcW w:w="820" w:type="dxa"/>
            <w:vAlign w:val="bottom"/>
          </w:tcPr>
          <w:p>
            <w:pPr>
              <w:ind w:left="180"/>
              <w:spacing w:after="0" w:line="114" w:lineRule="exact"/>
              <w:rPr>
                <w:sz w:val="20"/>
                <w:szCs w:val="20"/>
                <w:color w:val="auto"/>
              </w:rPr>
            </w:pPr>
            <w:r>
              <w:rPr>
                <w:rFonts w:ascii="Times New Roman" w:cs="Times New Roman" w:eastAsia="Times New Roman" w:hAnsi="Times New Roman"/>
                <w:sz w:val="13"/>
                <w:szCs w:val="13"/>
                <w:b w:val="1"/>
                <w:bCs w:val="1"/>
                <w:color w:val="auto"/>
              </w:rPr>
              <w:t>Percent</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8060" w:type="dxa"/>
            <w:vAlign w:val="bottom"/>
          </w:tcPr>
          <w:p>
            <w:pPr>
              <w:spacing w:after="0"/>
              <w:rPr>
                <w:sz w:val="12"/>
                <w:szCs w:val="12"/>
                <w:color w:val="auto"/>
              </w:rPr>
            </w:pPr>
          </w:p>
        </w:tc>
        <w:tc>
          <w:tcPr>
            <w:tcW w:w="1040" w:type="dxa"/>
            <w:vAlign w:val="bottom"/>
            <w:gridSpan w:val="3"/>
          </w:tcPr>
          <w:p>
            <w:pPr>
              <w:jc w:val="right"/>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(RMB in</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6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 mainland statutory income tax</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 jurisdictions’ tax effects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Hong Kong</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2"/>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on tax rates in different tax jurisdictions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Cayman</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2"/>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jurisdictions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 tax on undistributed dividends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2"/>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(1,735)</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Preferential tax rates and tax holiday</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(2,716)</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Super Deduction</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(2,267)</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tax rates</w:t>
            </w: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6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680" w:firstLine="431"/>
        <w:spacing w:after="0" w:line="270" w:lineRule="auto"/>
        <w:rPr>
          <w:sz w:val="20"/>
          <w:szCs w:val="20"/>
          <w:color w:val="auto"/>
        </w:rPr>
      </w:pPr>
      <w:r>
        <w:rPr>
          <w:rFonts w:ascii="Times New Roman" w:cs="Times New Roman" w:eastAsia="Times New Roman" w:hAnsi="Times New Roman"/>
          <w:sz w:val="18"/>
          <w:szCs w:val="18"/>
          <w:color w:val="auto"/>
        </w:rPr>
        <w:t>For the year ended December 31, 2025, income taxes paid amounted to RMB8,340 million in Chinese mainland, and RMB357 million in jurisdictions outside Chinese mainland.</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20"/>
          </w:cols>
          <w:pgMar w:left="320" w:top="476" w:right="5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(Continued)</w:t>
      </w:r>
    </w:p>
    <w:p>
      <w:pPr>
        <w:spacing w:after="0" w:line="122" w:lineRule="exact"/>
        <w:rPr>
          <w:sz w:val="20"/>
          <w:szCs w:val="20"/>
          <w:color w:val="auto"/>
        </w:rPr>
      </w:pPr>
    </w:p>
    <w:p>
      <w:pPr>
        <w:ind w:left="660" w:hanging="430"/>
        <w:spacing w:after="0"/>
        <w:tabs>
          <w:tab w:leader="none" w:pos="660" w:val="left"/>
        </w:tabs>
        <w:numPr>
          <w:ilvl w:val="0"/>
          <w:numId w:val="19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Income tax </w:t>
      </w:r>
      <w:r>
        <w:rPr>
          <w:rFonts w:ascii="Times New Roman" w:cs="Times New Roman" w:eastAsia="Times New Roman" w:hAnsi="Times New Roman"/>
          <w:sz w:val="18"/>
          <w:szCs w:val="18"/>
          <w:b w:val="1"/>
          <w:bCs w:val="1"/>
          <w:color w:val="auto"/>
        </w:rPr>
        <w:t>(Continued)</w:t>
      </w:r>
    </w:p>
    <w:p>
      <w:pPr>
        <w:spacing w:after="0" w:line="114" w:lineRule="exact"/>
        <w:rPr>
          <w:rFonts w:ascii="Times New Roman" w:cs="Times New Roman" w:eastAsia="Times New Roman" w:hAnsi="Times New Roman"/>
          <w:sz w:val="18"/>
          <w:szCs w:val="18"/>
          <w:b w:val="1"/>
          <w:bCs w:val="1"/>
          <w:i w:val="1"/>
          <w:iCs w:val="1"/>
          <w:color w:val="auto"/>
        </w:rPr>
      </w:pP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sets forth the effect of tax holiday:</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20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72"/>
              <w:spacing w:after="0" w:line="139"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w w:val="78"/>
              </w:rPr>
              <w:t>2025</w:t>
            </w:r>
          </w:p>
        </w:tc>
        <w:tc>
          <w:tcPr>
            <w:tcW w:w="60" w:type="dxa"/>
            <w:vAlign w:val="bottom"/>
            <w:tcBorders>
              <w:bottom w:val="single" w:sz="8" w:color="CCEEFF"/>
            </w:tcBorders>
          </w:tcPr>
          <w:p>
            <w:pPr>
              <w:spacing w:after="0"/>
              <w:rPr>
                <w:sz w:val="12"/>
                <w:szCs w:val="12"/>
                <w:color w:val="auto"/>
              </w:rPr>
            </w:pPr>
          </w:p>
        </w:tc>
      </w:tr>
      <w:tr>
        <w:trPr>
          <w:trHeight w:val="186"/>
        </w:trPr>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60" w:type="dxa"/>
            <w:vAlign w:val="bottom"/>
            <w:gridSpan w:val="2"/>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Tax holiday effect (RMB in millions)</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6"/>
                <w:szCs w:val="16"/>
                <w:color w:val="auto"/>
              </w:rPr>
            </w:pPr>
          </w:p>
        </w:tc>
      </w:tr>
      <w:tr>
        <w:trPr>
          <w:trHeight w:val="230"/>
        </w:trPr>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2,152</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2,716</w:t>
            </w:r>
          </w:p>
        </w:tc>
        <w:tc>
          <w:tcPr>
            <w:tcW w:w="60" w:type="dxa"/>
            <w:vAlign w:val="bottom"/>
            <w:shd w:val="clear" w:color="auto" w:fill="CCEEFF"/>
          </w:tcPr>
          <w:p>
            <w:pPr>
              <w:spacing w:after="0"/>
              <w:rPr>
                <w:sz w:val="19"/>
                <w:szCs w:val="19"/>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tax holiday on basic net income per share (RMB)</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 on diluted net income per share (RMB)</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60" w:type="dxa"/>
            <w:vAlign w:val="bottom"/>
            <w:shd w:val="clear" w:color="auto" w:fill="CCEEFF"/>
          </w:tcPr>
          <w:p>
            <w:pPr>
              <w:spacing w:after="0"/>
              <w:rPr>
                <w:sz w:val="18"/>
                <w:szCs w:val="18"/>
                <w:color w:val="auto"/>
              </w:rPr>
            </w:pPr>
          </w:p>
        </w:tc>
      </w:tr>
      <w:tr>
        <w:trPr>
          <w:trHeight w:val="56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w:t>
            </w:r>
          </w:p>
        </w:tc>
        <w:tc>
          <w:tcPr>
            <w:tcW w:w="74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deferred tax liabilities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4"/>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60"/>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9"/>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7"/>
          </w:tcPr>
          <w:p>
            <w:pPr>
              <w:jc w:val="right"/>
              <w:ind w:right="160"/>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Net operating loss carry forwards and others</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13,185</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17,303</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Deferred revenues</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84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Inventory valuation allowance</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1,022</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Allowance for doubtful accounts</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w:t>
            </w:r>
          </w:p>
        </w:tc>
        <w:tc>
          <w:tcPr>
            <w:tcW w:w="84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Unrealized fair value losses for certain investments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(13,315)</w:t>
            </w:r>
          </w:p>
        </w:tc>
        <w:tc>
          <w:tcPr>
            <w:tcW w:w="840" w:type="dxa"/>
            <w:vAlign w:val="bottom"/>
            <w:tcBorders>
              <w:right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Long-lived assets arisen from business combinations and asset acquisitions</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5,982</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6,065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Withholding tax on undistributed earnings</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2,570</w:t>
            </w:r>
          </w:p>
        </w:tc>
        <w:tc>
          <w:tcPr>
            <w:tcW w:w="84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Accelerated tax depreciation and others</w:t>
            </w:r>
          </w:p>
        </w:tc>
        <w:tc>
          <w:tcPr>
            <w:tcW w:w="24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946</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
        </w:trPr>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9,498</w:t>
            </w:r>
          </w:p>
        </w:tc>
        <w:tc>
          <w:tcPr>
            <w:tcW w:w="840" w:type="dxa"/>
            <w:vAlign w:val="bottom"/>
            <w:tcBorders>
              <w:right w:val="single" w:sz="8" w:color="CCEEFF"/>
            </w:tcBorders>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accumulated net operating loss that can be carried forward to offset future taxable income, mainly includes:</w:t>
      </w:r>
    </w:p>
    <w:p>
      <w:pPr>
        <w:spacing w:after="0" w:line="22" w:lineRule="exact"/>
        <w:rPr>
          <w:sz w:val="20"/>
          <w:szCs w:val="20"/>
          <w:color w:val="auto"/>
        </w:rPr>
      </w:pPr>
    </w:p>
    <w:p>
      <w:pPr>
        <w:ind w:left="440" w:hanging="210"/>
        <w:spacing w:after="0"/>
        <w:tabs>
          <w:tab w:leader="none" w:pos="4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RMB8,221 million of the Company’s subsidiaries incorporated in Singapore and Hong Kong which can be carried forward indefinitely; and</w:t>
      </w:r>
    </w:p>
    <w:p>
      <w:pPr>
        <w:spacing w:after="0" w:line="4" w:lineRule="exact"/>
        <w:rPr>
          <w:rFonts w:ascii="Times New Roman" w:cs="Times New Roman" w:eastAsia="Times New Roman" w:hAnsi="Times New Roman"/>
          <w:sz w:val="18"/>
          <w:szCs w:val="18"/>
          <w:color w:val="auto"/>
        </w:rPr>
      </w:pPr>
    </w:p>
    <w:p>
      <w:pPr>
        <w:ind w:left="240" w:right="220" w:hanging="10"/>
        <w:spacing w:after="0" w:line="250" w:lineRule="auto"/>
        <w:tabs>
          <w:tab w:leader="none" w:pos="499"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RMB56,257 million arose from the Company’s subsidiaries and consolidated VIEs established in the Chinese mainland and Indonesia, which will expire during the period from 2026 to 2030 except for those arose from HNTEs, which will expire during the period from 2026 to 2035.</w:t>
      </w:r>
    </w:p>
    <w:p>
      <w:pPr>
        <w:spacing w:after="0" w:line="186" w:lineRule="exact"/>
        <w:rPr>
          <w:sz w:val="20"/>
          <w:szCs w:val="20"/>
          <w:color w:val="auto"/>
        </w:rPr>
      </w:pPr>
    </w:p>
    <w:p>
      <w:pPr>
        <w:jc w:val="both"/>
        <w:ind w:left="240" w:firstLine="431"/>
        <w:spacing w:after="0" w:line="258" w:lineRule="auto"/>
        <w:rPr>
          <w:sz w:val="20"/>
          <w:szCs w:val="20"/>
          <w:color w:val="auto"/>
        </w:rPr>
      </w:pPr>
      <w:r>
        <w:rPr>
          <w:rFonts w:ascii="Times New Roman" w:cs="Times New Roman" w:eastAsia="Times New Roman" w:hAnsi="Times New Roman"/>
          <w:sz w:val="18"/>
          <w:szCs w:val="18"/>
          <w:color w:val="auto"/>
        </w:rPr>
        <w:t>A valuation allowance is provided against deferred tax assets when the Group determines that it is more likely than not that the deferred tax assets will not be utilized in the future. In making such determination, the Group evaluates a variety of factors including the Group’s entities’ operating history, accumulated deficit, existence of taxable temporary differences and reversal periods.</w:t>
      </w:r>
    </w:p>
    <w:p>
      <w:pPr>
        <w:spacing w:after="0" w:line="179" w:lineRule="exact"/>
        <w:rPr>
          <w:sz w:val="20"/>
          <w:szCs w:val="20"/>
          <w:color w:val="auto"/>
        </w:rPr>
      </w:pPr>
    </w:p>
    <w:p>
      <w:pPr>
        <w:ind w:left="240" w:right="60" w:firstLine="431"/>
        <w:spacing w:after="0" w:line="253" w:lineRule="auto"/>
        <w:rPr>
          <w:sz w:val="20"/>
          <w:szCs w:val="20"/>
          <w:color w:val="auto"/>
        </w:rPr>
      </w:pPr>
      <w:r>
        <w:rPr>
          <w:rFonts w:ascii="Times New Roman" w:cs="Times New Roman" w:eastAsia="Times New Roman" w:hAnsi="Times New Roman"/>
          <w:sz w:val="18"/>
          <w:szCs w:val="18"/>
          <w:color w:val="auto"/>
        </w:rPr>
        <w:t>Valuation allowances provided on the deferred tax assets mainly related to the net operating loss carry forwards, as the Group’s management does not believe that sufficient positive evidence exists to conclude that the benefits of such deferred tax assets are more likely than not to be realized. The amount of valuation allowance offset in deferred tax assets as of December 31, 2024 and 2025 was RMB13,315 million and RMB14,890 million,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movements of valuation allowance of deferred tax assets are as follows:</w:t>
      </w: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3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3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gridSpan w:val="4"/>
          </w:tcPr>
          <w:p>
            <w:pPr>
              <w:jc w:val="center"/>
              <w:ind w:left="445"/>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100" w:type="dxa"/>
            <w:vAlign w:val="bottom"/>
            <w:shd w:val="clear" w:color="auto" w:fill="CCEEFF"/>
          </w:tcPr>
          <w:p>
            <w:pPr>
              <w:spacing w:after="0"/>
              <w:rPr>
                <w:sz w:val="18"/>
                <w:szCs w:val="18"/>
                <w:color w:val="auto"/>
              </w:rPr>
            </w:pPr>
          </w:p>
        </w:tc>
      </w:tr>
      <w:tr>
        <w:trPr>
          <w:trHeight w:val="212"/>
        </w:trPr>
        <w:tc>
          <w:tcPr>
            <w:tcW w:w="3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w:t>
            </w:r>
          </w:p>
        </w:tc>
        <w:tc>
          <w:tcPr>
            <w:tcW w:w="4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Pr>
          <w:p>
            <w:pPr>
              <w:spacing w:after="0"/>
              <w:rPr>
                <w:sz w:val="18"/>
                <w:szCs w:val="18"/>
                <w:color w:val="auto"/>
              </w:rPr>
            </w:pPr>
          </w:p>
        </w:tc>
      </w:tr>
      <w:tr>
        <w:trPr>
          <w:trHeight w:val="212"/>
        </w:trPr>
        <w:tc>
          <w:tcPr>
            <w:tcW w:w="3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Reversals</w:t>
            </w:r>
          </w:p>
        </w:tc>
        <w:tc>
          <w:tcPr>
            <w:tcW w:w="4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(3,849)</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(5,422)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(7,993)</w:t>
            </w:r>
          </w:p>
        </w:tc>
      </w:tr>
      <w:tr>
        <w:trPr>
          <w:trHeight w:val="21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34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17,057</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3320" w:type="dxa"/>
            <w:vAlign w:val="bottom"/>
          </w:tcPr>
          <w:p>
            <w:pPr>
              <w:spacing w:after="0"/>
              <w:rPr>
                <w:sz w:val="24"/>
                <w:szCs w:val="24"/>
                <w:color w:val="auto"/>
              </w:rPr>
            </w:pPr>
          </w:p>
        </w:tc>
        <w:tc>
          <w:tcPr>
            <w:tcW w:w="4280" w:type="dxa"/>
            <w:vAlign w:val="bottom"/>
            <w:gridSpan w:val="3"/>
          </w:tcPr>
          <w:p>
            <w:pPr>
              <w:jc w:val="right"/>
              <w:ind w:right="2900"/>
              <w:spacing w:after="0"/>
              <w:rPr>
                <w:sz w:val="20"/>
                <w:szCs w:val="20"/>
                <w:color w:val="auto"/>
              </w:rPr>
            </w:pPr>
            <w:r>
              <w:rPr>
                <w:rFonts w:ascii="Times New Roman" w:cs="Times New Roman" w:eastAsia="Times New Roman" w:hAnsi="Times New Roman"/>
                <w:sz w:val="18"/>
                <w:szCs w:val="18"/>
                <w:color w:val="auto"/>
              </w:rPr>
              <w:t>F-59</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76" w:right="5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5380" w:hanging="430"/>
        <w:spacing w:after="0" w:line="369" w:lineRule="auto"/>
        <w:tabs>
          <w:tab w:leader="none" w:pos="652"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Changing in the capital from non-controlling interest shareholder </w:t>
      </w:r>
      <w:r>
        <w:rPr>
          <w:rFonts w:ascii="Times New Roman" w:cs="Times New Roman" w:eastAsia="Times New Roman" w:hAnsi="Times New Roman"/>
          <w:sz w:val="18"/>
          <w:szCs w:val="18"/>
          <w:b w:val="1"/>
          <w:bCs w:val="1"/>
          <w:i w:val="1"/>
          <w:iCs w:val="1"/>
          <w:color w:val="auto"/>
        </w:rPr>
        <w:t>JD Industrials</w:t>
      </w:r>
    </w:p>
    <w:p>
      <w:pPr>
        <w:ind w:left="240" w:right="60" w:firstLine="431"/>
        <w:spacing w:after="0" w:line="250" w:lineRule="auto"/>
        <w:rPr>
          <w:sz w:val="20"/>
          <w:szCs w:val="20"/>
          <w:color w:val="auto"/>
        </w:rPr>
      </w:pPr>
      <w:r>
        <w:rPr>
          <w:rFonts w:ascii="Times New Roman" w:cs="Times New Roman" w:eastAsia="Times New Roman" w:hAnsi="Times New Roman"/>
          <w:sz w:val="18"/>
          <w:szCs w:val="18"/>
          <w:color w:val="auto"/>
        </w:rPr>
        <w:t>In August 2020, January 2021 and March 2023, JD Industrials, the Group’s subsidiary which is the leading industrials supply chain technology and service provider in China, completed series A, series A-1 and series B preference share financing (“JD Industrials Series A, A-1 and B Preference Shares”) with a group of third-party investors. The total amount of financing arising from JD Industrials Series A, A-1 and B Preference Shares was approximately US$545 million. Among above, the total amount of financing arising from JD Industrials Series B Preference Shares was approximately US$210 million, with net proceeds received amounting to RMB431 million recorded as non-controlling interests and RMB1,031 million recorded as additional paid-in capital for the year ended December 31, 2023.</w:t>
      </w:r>
    </w:p>
    <w:p>
      <w:pPr>
        <w:spacing w:after="0" w:line="187" w:lineRule="exact"/>
        <w:rPr>
          <w:sz w:val="20"/>
          <w:szCs w:val="20"/>
          <w:color w:val="auto"/>
        </w:rPr>
      </w:pPr>
    </w:p>
    <w:p>
      <w:pPr>
        <w:ind w:left="240" w:right="200" w:firstLine="431"/>
        <w:spacing w:after="0" w:line="253" w:lineRule="auto"/>
        <w:rPr>
          <w:sz w:val="20"/>
          <w:szCs w:val="20"/>
          <w:color w:val="auto"/>
        </w:rPr>
      </w:pPr>
      <w:r>
        <w:rPr>
          <w:rFonts w:ascii="Times New Roman" w:cs="Times New Roman" w:eastAsia="Times New Roman" w:hAnsi="Times New Roman"/>
          <w:sz w:val="18"/>
          <w:szCs w:val="18"/>
          <w:color w:val="auto"/>
        </w:rPr>
        <w:t>In December 2025, JD Industrials’ initial public offering(“IPO”) was completed with net proceeds after deducting underwriting commissions, share issuance costs and offering expenses approximately amounted to RMB2,555 million, representing 7.86% of the issued share capital of JD Industrials. Upon the completion of JD Industrials IPO, JD Industrials’ Series A, A-1 and B Preference Share have been automatically converted into ordinary shares of JD Industrials.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Dada</w:t>
      </w:r>
    </w:p>
    <w:p>
      <w:pPr>
        <w:spacing w:after="0" w:line="114" w:lineRule="exact"/>
        <w:rPr>
          <w:sz w:val="20"/>
          <w:szCs w:val="20"/>
          <w:color w:val="auto"/>
        </w:rPr>
      </w:pPr>
    </w:p>
    <w:p>
      <w:pPr>
        <w:ind w:left="240" w:firstLine="431"/>
        <w:spacing w:after="0" w:line="248" w:lineRule="auto"/>
        <w:rPr>
          <w:sz w:val="20"/>
          <w:szCs w:val="20"/>
          <w:color w:val="auto"/>
        </w:rPr>
      </w:pPr>
      <w:r>
        <w:rPr>
          <w:rFonts w:ascii="Times New Roman" w:cs="Times New Roman" w:eastAsia="Times New Roman" w:hAnsi="Times New Roman"/>
          <w:sz w:val="18"/>
          <w:szCs w:val="18"/>
          <w:color w:val="auto"/>
        </w:rPr>
        <w:t>In April 2025, Dada entered into an agreement and plan of merger with the Group’s wholly owned subsidiaries (“Going Private” transaction). In June 2025, Dada completed the “Going Private” transaction. Upon the merger contemplated in that agreement completion, Dada becomes the Group’s wholly owned subsidiary held by JD Sunflower. At the completion of the merger, each ADS and ordinary share of Dada was cancelled and ceased to exist in exchange for the right to receive US$2.0 per ADS and US$0.5 per share from the Company, respectively, subject to adjustments as set out in the said agreement. As the Group controls Dada both before and after the transaction, the transaction was accounted for as a common control transaction with the net assets transferred recorded at its carrying amount, and no gain or loss was recognized in the consolidated statements of operations and comprehensive income. For the year ended December 31, 2025, RMB1,116 million was recorded as a reduction of non-controlling interests due to this transaction.</w:t>
      </w:r>
    </w:p>
    <w:p>
      <w:pPr>
        <w:spacing w:after="0" w:line="2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of the non-controlling interests in Kuayue Express</w:t>
      </w:r>
    </w:p>
    <w:p>
      <w:pPr>
        <w:spacing w:after="0" w:line="114" w:lineRule="exact"/>
        <w:rPr>
          <w:sz w:val="20"/>
          <w:szCs w:val="20"/>
          <w:color w:val="auto"/>
        </w:rPr>
      </w:pPr>
    </w:p>
    <w:p>
      <w:pPr>
        <w:ind w:left="240" w:right="80" w:firstLine="431"/>
        <w:spacing w:after="0" w:line="270" w:lineRule="auto"/>
        <w:rPr>
          <w:sz w:val="20"/>
          <w:szCs w:val="20"/>
          <w:color w:val="auto"/>
        </w:rPr>
      </w:pPr>
      <w:r>
        <w:rPr>
          <w:rFonts w:ascii="Times New Roman" w:cs="Times New Roman" w:eastAsia="Times New Roman" w:hAnsi="Times New Roman"/>
          <w:sz w:val="17"/>
          <w:szCs w:val="17"/>
          <w:color w:val="auto"/>
        </w:rPr>
        <w:t>In December 2024, JD Logistics entered into an equity transfer agreement (the “Purchase”) with certain non-controlling interests shareholders of Kuayue-Express Group Co., LTD. (“Kuayue Express”), a non-wholly owned subsidiary of JD Logistics in which JD Logistics held approximately</w:t>
      </w:r>
    </w:p>
    <w:p>
      <w:pPr>
        <w:spacing w:after="0" w:line="1" w:lineRule="exact"/>
        <w:rPr>
          <w:sz w:val="20"/>
          <w:szCs w:val="20"/>
          <w:color w:val="auto"/>
        </w:rPr>
      </w:pPr>
    </w:p>
    <w:p>
      <w:pPr>
        <w:ind w:left="240" w:right="100"/>
        <w:spacing w:after="0" w:line="279" w:lineRule="auto"/>
        <w:rPr>
          <w:sz w:val="20"/>
          <w:szCs w:val="20"/>
          <w:color w:val="auto"/>
        </w:rPr>
      </w:pPr>
      <w:r>
        <w:rPr>
          <w:rFonts w:ascii="Times New Roman" w:cs="Times New Roman" w:eastAsia="Times New Roman" w:hAnsi="Times New Roman"/>
          <w:sz w:val="17"/>
          <w:szCs w:val="17"/>
          <w:color w:val="auto"/>
        </w:rPr>
        <w:t>63.57% equity interest before the Purchase, to acquire the remaining approximately 36.43% equity interest in Kuayue Express upon satisfying certain closing conditions at the total consideration of not more than approximately RMB6,484 million subject to adjustments as set out in the said agreement.</w:t>
      </w:r>
    </w:p>
    <w:p>
      <w:pPr>
        <w:spacing w:after="0" w:line="163" w:lineRule="exact"/>
        <w:rPr>
          <w:sz w:val="20"/>
          <w:szCs w:val="20"/>
          <w:color w:val="auto"/>
        </w:rPr>
      </w:pPr>
    </w:p>
    <w:p>
      <w:pPr>
        <w:ind w:left="240" w:right="40" w:firstLine="431"/>
        <w:spacing w:after="0" w:line="251" w:lineRule="auto"/>
        <w:rPr>
          <w:sz w:val="20"/>
          <w:szCs w:val="20"/>
          <w:color w:val="auto"/>
        </w:rPr>
      </w:pPr>
      <w:r>
        <w:rPr>
          <w:rFonts w:ascii="Times New Roman" w:cs="Times New Roman" w:eastAsia="Times New Roman" w:hAnsi="Times New Roman"/>
          <w:sz w:val="18"/>
          <w:szCs w:val="18"/>
          <w:color w:val="auto"/>
        </w:rPr>
        <w:t>During the year of 2025, JD Logistics completed the first phase equity transfer and the second phase business registration of transferring in accordance with the agreement. Through the transfer, JD Logistics has completed an initial cash payment of RMB2,145 million out of the total consideration, while the remaining RMB4,339 million remains payable as of December 31, 2025. Upon the expected cash payment of the second phase equity transfer in 2026, JD Logistics’ shareholding in Kuayue Express will be raised to 90%, with the residual equity to be acquired in the final phase pursuant to the agreement.</w:t>
      </w:r>
    </w:p>
    <w:p>
      <w:pPr>
        <w:spacing w:after="0" w:line="187" w:lineRule="exact"/>
        <w:rPr>
          <w:sz w:val="20"/>
          <w:szCs w:val="20"/>
          <w:color w:val="auto"/>
        </w:rPr>
      </w:pPr>
    </w:p>
    <w:p>
      <w:pPr>
        <w:jc w:val="center"/>
        <w:ind w:left="460" w:right="520"/>
        <w:spacing w:after="0" w:line="439" w:lineRule="auto"/>
        <w:rPr>
          <w:sz w:val="20"/>
          <w:szCs w:val="20"/>
          <w:color w:val="auto"/>
        </w:rPr>
      </w:pPr>
      <w:r>
        <w:rPr>
          <w:rFonts w:ascii="Times New Roman" w:cs="Times New Roman" w:eastAsia="Times New Roman" w:hAnsi="Times New Roman"/>
          <w:sz w:val="18"/>
          <w:szCs w:val="18"/>
          <w:color w:val="auto"/>
        </w:rPr>
        <w:t>For the year ended December 31, 2025, RMB1,728 million was recorded as a reduction of non-controlling interests due to this transaction. F-60</w:t>
      </w:r>
    </w:p>
    <w:p>
      <w:pPr>
        <w:sectPr>
          <w:pgSz w:w="11900" w:h="16838" w:orient="portrait"/>
          <w:cols w:equalWidth="0" w:num="1">
            <w:col w:w="10960"/>
          </w:cols>
          <w:pgMar w:left="320" w:top="476" w:right="6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12"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In 2022, the Company renewed a strategic cooperation agreement with Tencent Holdings Limited (“Tencent”) originated in 2019 for three years. As part of the total consideration, the Company agreed to issue a certain number of the Company’s Class A ordinary shares as the non-cash consideration of up to US$220 million at prevailing market prices at certain pre-determined dates to Tencent to exchange its traffic support services during the three-year period, of which 2,164,236, 3,761,270 and 4,119,434 of the Company’s Class A ordinary shares had been issued in July 2022, May 2023 and May 2024, respectively. In 2025, the Company renewed the strategic cooperation agreement with Tencent under updated commercial terms with cash consideration only.</w:t>
      </w:r>
    </w:p>
    <w:p>
      <w:pPr>
        <w:spacing w:after="0" w:line="330" w:lineRule="exact"/>
        <w:rPr>
          <w:sz w:val="20"/>
          <w:szCs w:val="20"/>
          <w:color w:val="auto"/>
        </w:rPr>
      </w:pPr>
    </w:p>
    <w:p>
      <w:pPr>
        <w:ind w:left="660" w:hanging="430"/>
        <w:spacing w:after="0"/>
        <w:tabs>
          <w:tab w:leader="none" w:pos="6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12" w:lineRule="exact"/>
        <w:rPr>
          <w:sz w:val="20"/>
          <w:szCs w:val="20"/>
          <w:color w:val="auto"/>
        </w:rPr>
      </w:pPr>
    </w:p>
    <w:p>
      <w:pPr>
        <w:ind w:left="240" w:right="720" w:firstLine="431"/>
        <w:spacing w:after="0" w:line="270" w:lineRule="auto"/>
        <w:rPr>
          <w:sz w:val="20"/>
          <w:szCs w:val="20"/>
          <w:color w:val="auto"/>
        </w:rPr>
      </w:pPr>
      <w:r>
        <w:rPr>
          <w:rFonts w:ascii="Times New Roman" w:cs="Times New Roman" w:eastAsia="Times New Roman" w:hAnsi="Times New Roman"/>
          <w:sz w:val="18"/>
          <w:szCs w:val="18"/>
          <w:color w:val="auto"/>
        </w:rPr>
        <w:t>In March 2023, the Company declared a cash dividend of US$0.31 per ordinary share, or US$0.62 per ADS, for an aggregate amount of approximately US$1.0 billion.</w:t>
      </w:r>
    </w:p>
    <w:p>
      <w:pPr>
        <w:spacing w:after="0" w:line="169" w:lineRule="exact"/>
        <w:rPr>
          <w:sz w:val="20"/>
          <w:szCs w:val="20"/>
          <w:color w:val="auto"/>
        </w:rPr>
      </w:pPr>
    </w:p>
    <w:p>
      <w:pPr>
        <w:ind w:left="240" w:right="20" w:firstLine="431"/>
        <w:spacing w:after="0" w:line="270" w:lineRule="auto"/>
        <w:rPr>
          <w:sz w:val="20"/>
          <w:szCs w:val="20"/>
          <w:color w:val="auto"/>
        </w:rPr>
      </w:pPr>
      <w:r>
        <w:rPr>
          <w:rFonts w:ascii="Times New Roman" w:cs="Times New Roman" w:eastAsia="Times New Roman" w:hAnsi="Times New Roman"/>
          <w:sz w:val="18"/>
          <w:szCs w:val="18"/>
          <w:color w:val="auto"/>
        </w:rPr>
        <w:t>In March 2024, the Company declared an annual cash dividend for the year ended December 31, 2023 of US$0.38 per ordinary share, or US$0.76 per ADS, for an aggregate amount of approximately US$1.2 billion.</w:t>
      </w:r>
    </w:p>
    <w:p>
      <w:pPr>
        <w:spacing w:after="0" w:line="169" w:lineRule="exact"/>
        <w:rPr>
          <w:sz w:val="20"/>
          <w:szCs w:val="20"/>
          <w:color w:val="auto"/>
        </w:rPr>
      </w:pPr>
    </w:p>
    <w:p>
      <w:pPr>
        <w:ind w:left="240" w:right="200" w:firstLine="431"/>
        <w:spacing w:after="0" w:line="270" w:lineRule="auto"/>
        <w:rPr>
          <w:sz w:val="20"/>
          <w:szCs w:val="20"/>
          <w:color w:val="auto"/>
        </w:rPr>
      </w:pPr>
      <w:r>
        <w:rPr>
          <w:rFonts w:ascii="Times New Roman" w:cs="Times New Roman" w:eastAsia="Times New Roman" w:hAnsi="Times New Roman"/>
          <w:sz w:val="18"/>
          <w:szCs w:val="18"/>
          <w:color w:val="auto"/>
        </w:rPr>
        <w:t>In March 2025, the Company declared an annual cash dividend for the year ended December 31, 2024 of US$0.5 per ordinary share, or US$1.0 per ADS, for an aggregate amount of approximately US$1.4 billion.</w:t>
      </w:r>
    </w:p>
    <w:p>
      <w:pPr>
        <w:spacing w:after="0" w:line="312" w:lineRule="exact"/>
        <w:rPr>
          <w:sz w:val="20"/>
          <w:szCs w:val="20"/>
          <w:color w:val="auto"/>
        </w:rPr>
      </w:pPr>
    </w:p>
    <w:p>
      <w:pPr>
        <w:ind w:left="660" w:hanging="430"/>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12" w:lineRule="exact"/>
        <w:rPr>
          <w:sz w:val="20"/>
          <w:szCs w:val="20"/>
          <w:color w:val="auto"/>
        </w:rPr>
      </w:pPr>
    </w:p>
    <w:p>
      <w:pPr>
        <w:jc w:val="both"/>
        <w:ind w:left="240" w:right="240" w:firstLine="431"/>
        <w:spacing w:after="0" w:line="258" w:lineRule="auto"/>
        <w:rPr>
          <w:sz w:val="20"/>
          <w:szCs w:val="20"/>
          <w:color w:val="auto"/>
        </w:rPr>
      </w:pPr>
      <w:r>
        <w:rPr>
          <w:rFonts w:ascii="Times New Roman" w:cs="Times New Roman" w:eastAsia="Times New Roman" w:hAnsi="Times New Roman"/>
          <w:sz w:val="18"/>
          <w:szCs w:val="18"/>
          <w:color w:val="auto"/>
        </w:rPr>
        <w:t>In December 2021, the Board of Directors of the Company approved modifications to the share repurchase program authorized in 2020 (“2020 Share Repurchase Program”) pursuant to which the repurchase authorization increased from US$2.0 billion to US$3.0 billion and was extended until March 2024.</w:t>
      </w:r>
    </w:p>
    <w:p>
      <w:pPr>
        <w:spacing w:after="0" w:line="179"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In March 2024, the Board of Directors of the Company approved a share repurchase program (“2024 Share Repurchase Program”), effective upon the expiry of the company’s 2020 Share Repurchase Program, pursuant to which the Company may repurchase up to US$3.0 billion worth of its shares (including ADSs) over the next 36 months through March 2027.</w:t>
      </w:r>
    </w:p>
    <w:p>
      <w:pPr>
        <w:spacing w:after="0" w:line="179" w:lineRule="exact"/>
        <w:rPr>
          <w:sz w:val="20"/>
          <w:szCs w:val="20"/>
          <w:color w:val="auto"/>
        </w:rPr>
      </w:pPr>
    </w:p>
    <w:p>
      <w:pPr>
        <w:ind w:left="240" w:right="200" w:firstLine="431"/>
        <w:spacing w:after="0" w:line="253" w:lineRule="auto"/>
        <w:rPr>
          <w:sz w:val="20"/>
          <w:szCs w:val="20"/>
          <w:color w:val="auto"/>
        </w:rPr>
      </w:pPr>
      <w:r>
        <w:rPr>
          <w:rFonts w:ascii="Times New Roman" w:cs="Times New Roman" w:eastAsia="Times New Roman" w:hAnsi="Times New Roman"/>
          <w:sz w:val="18"/>
          <w:szCs w:val="18"/>
          <w:color w:val="auto"/>
        </w:rPr>
        <w:t>In August 2024, the Company has fully utilized the repurchase amount authorized under 2024 Share Repurchase Program, and has adopted and announced a new share repurchase program (the “New 2024 Share Repurchase Program”). Pursuant to the New 2024 Share Repurchase Program effective from September 2024, the Company may repurchase up to US$5.0 billion worth of its shares (including ADSs) over the next 36 months through the end of August 2027.</w:t>
      </w:r>
    </w:p>
    <w:p>
      <w:pPr>
        <w:spacing w:after="0" w:line="185" w:lineRule="exact"/>
        <w:rPr>
          <w:sz w:val="20"/>
          <w:szCs w:val="20"/>
          <w:color w:val="auto"/>
        </w:rPr>
      </w:pPr>
    </w:p>
    <w:p>
      <w:pPr>
        <w:ind w:left="240" w:right="40" w:firstLine="431"/>
        <w:spacing w:after="0" w:line="270" w:lineRule="auto"/>
        <w:rPr>
          <w:sz w:val="20"/>
          <w:szCs w:val="20"/>
          <w:color w:val="auto"/>
        </w:rPr>
      </w:pPr>
      <w:r>
        <w:rPr>
          <w:rFonts w:ascii="Times New Roman" w:cs="Times New Roman" w:eastAsia="Times New Roman" w:hAnsi="Times New Roman"/>
          <w:sz w:val="18"/>
          <w:szCs w:val="18"/>
          <w:color w:val="auto"/>
        </w:rPr>
        <w:t>For the years ended December 31, 2023, 2024 and 2025, the Company repurchased 11,339,490 ADSs for US$356 million, 127,639,089 ADSs for US$3,645 million, and 91,619,731 ADSs for US$3,003 million, respectively, on the open market at prevailing market prices.</w:t>
      </w:r>
    </w:p>
    <w:p>
      <w:pPr>
        <w:spacing w:after="0" w:line="169" w:lineRule="exact"/>
        <w:rPr>
          <w:sz w:val="20"/>
          <w:szCs w:val="20"/>
          <w:color w:val="auto"/>
        </w:rPr>
      </w:pPr>
    </w:p>
    <w:p>
      <w:pPr>
        <w:ind w:left="240" w:right="820" w:firstLine="431"/>
        <w:spacing w:after="0" w:line="270" w:lineRule="auto"/>
        <w:rPr>
          <w:sz w:val="20"/>
          <w:szCs w:val="20"/>
          <w:color w:val="auto"/>
        </w:rPr>
      </w:pPr>
      <w:r>
        <w:rPr>
          <w:rFonts w:ascii="Times New Roman" w:cs="Times New Roman" w:eastAsia="Times New Roman" w:hAnsi="Times New Roman"/>
          <w:sz w:val="18"/>
          <w:szCs w:val="18"/>
          <w:color w:val="auto"/>
        </w:rPr>
        <w:t>The Company accounts for the repurchased ordinary shares at cost and includes such uncancelled treasury stock as a component of the shareholders’ equity.</w:t>
      </w:r>
    </w:p>
    <w:p>
      <w:pPr>
        <w:spacing w:after="0" w:line="1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0980"/>
          </w:cols>
          <w:pgMar w:left="320" w:top="476" w:right="5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income/(loss)</w:t>
      </w:r>
    </w:p>
    <w:p>
      <w:pPr>
        <w:spacing w:after="0" w:line="112"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2023 and 2024, other comprehensive income attributable to the Company’s ordinary shareholders were translation adjustments and hedge of net investments in foreign operations (net of tax) amounting to RMB1,862 million and RMB518 million, respectively. For the years ended December 31, 2025, other comprehensive loss attributable to the Company’s ordinary shareholders were translation adjustments and hedge of net investments in foreign operations (net of tax) amounting to RMB2,596 million. Accumulated other comprehensive income were RMB903 million, RMB1,421 million as of December 31, 2023 and 2024, respectively, and accumulated other comprehensive loss was RMB1,175 million as of December 31,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effects related to the accumulated other comprehensive income were insignificant for all periods presented.</w:t>
      </w:r>
    </w:p>
    <w:p>
      <w:pPr>
        <w:spacing w:after="0" w:line="359" w:lineRule="exact"/>
        <w:rPr>
          <w:sz w:val="20"/>
          <w:szCs w:val="20"/>
          <w:color w:val="auto"/>
        </w:rPr>
      </w:pPr>
    </w:p>
    <w:p>
      <w:pPr>
        <w:ind w:left="660" w:hanging="430"/>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allocation of share-based compensation expenses:</w:t>
      </w:r>
    </w:p>
    <w:p>
      <w:pPr>
        <w:spacing w:after="0" w:line="236"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21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68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bottom w:val="single" w:sz="8" w:color="auto"/>
            </w:tcBorders>
            <w:gridSpan w:val="2"/>
          </w:tcPr>
          <w:p>
            <w:pPr>
              <w:jc w:val="right"/>
              <w:ind w:right="52"/>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880" w:type="dxa"/>
            <w:vAlign w:val="bottom"/>
          </w:tcPr>
          <w:p>
            <w:pPr>
              <w:spacing w:after="0"/>
              <w:rPr>
                <w:sz w:val="12"/>
                <w:szCs w:val="12"/>
                <w:color w:val="auto"/>
              </w:rPr>
            </w:pPr>
          </w:p>
        </w:tc>
        <w:tc>
          <w:tcPr>
            <w:tcW w:w="1640" w:type="dxa"/>
            <w:vAlign w:val="bottom"/>
            <w:gridSpan w:val="5"/>
          </w:tcPr>
          <w:p>
            <w:pPr>
              <w:jc w:val="center"/>
              <w:ind w:left="398"/>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r>
      <w:tr>
        <w:trPr>
          <w:trHeight w:val="21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Fulfillment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60" w:type="dxa"/>
            <w:vAlign w:val="bottom"/>
          </w:tcPr>
          <w:p>
            <w:pPr>
              <w:spacing w:after="0"/>
              <w:rPr>
                <w:sz w:val="18"/>
                <w:szCs w:val="18"/>
                <w:color w:val="auto"/>
              </w:rPr>
            </w:pP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shd w:val="clear" w:color="auto" w:fill="CCEEFF"/>
          </w:tcPr>
          <w:p>
            <w:pPr>
              <w:spacing w:after="0"/>
              <w:rPr>
                <w:sz w:val="18"/>
                <w:szCs w:val="18"/>
                <w:color w:val="auto"/>
              </w:rPr>
            </w:pPr>
          </w:p>
        </w:tc>
      </w:tr>
      <w:tr>
        <w:trPr>
          <w:trHeight w:val="21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tcPr>
          <w:p>
            <w:pPr>
              <w:spacing w:after="0"/>
              <w:rPr>
                <w:sz w:val="18"/>
                <w:szCs w:val="18"/>
                <w:color w:val="auto"/>
              </w:rPr>
            </w:pPr>
          </w:p>
        </w:tc>
      </w:tr>
      <w:tr>
        <w:trPr>
          <w:trHeight w:val="212"/>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shd w:val="clear" w:color="auto" w:fill="CCEEFF"/>
          </w:tcPr>
          <w:p>
            <w:pPr>
              <w:spacing w:after="0"/>
              <w:rPr>
                <w:sz w:val="18"/>
                <w:szCs w:val="18"/>
                <w:color w:val="auto"/>
              </w:rPr>
            </w:pP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6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114" w:lineRule="exact"/>
        <w:rPr>
          <w:sz w:val="20"/>
          <w:szCs w:val="20"/>
          <w:color w:val="auto"/>
        </w:rPr>
      </w:pPr>
    </w:p>
    <w:p>
      <w:pPr>
        <w:ind w:left="240" w:firstLine="431"/>
        <w:spacing w:after="0" w:line="253" w:lineRule="auto"/>
        <w:rPr>
          <w:sz w:val="20"/>
          <w:szCs w:val="20"/>
          <w:color w:val="auto"/>
        </w:rPr>
      </w:pPr>
      <w:r>
        <w:rPr>
          <w:rFonts w:ascii="Times New Roman" w:cs="Times New Roman" w:eastAsia="Times New Roman" w:hAnsi="Times New Roman"/>
          <w:sz w:val="18"/>
          <w:szCs w:val="18"/>
          <w:color w:val="auto"/>
        </w:rPr>
        <w:t>In November 2023, the Board of Directors approved a share incentive plan (“2023 Plan”) which will expire in December 2033, as a renewal of the prior share incentive plan adopted in November 2014 (“2014 Plan”, collectively with the 2023 Plan, “Share Incentive Plans”). The Company granted share-based awards to eligible employees and non-employees pursuant to the Share Incentive Plans, which govern the terms of the awards. The RSUs and share options are mainly scheduled to be vested over four or six years.</w:t>
      </w:r>
    </w:p>
    <w:p>
      <w:pPr>
        <w:spacing w:after="0" w:line="185" w:lineRule="exact"/>
        <w:rPr>
          <w:sz w:val="20"/>
          <w:szCs w:val="20"/>
          <w:color w:val="auto"/>
        </w:rPr>
      </w:pPr>
    </w:p>
    <w:p>
      <w:pPr>
        <w:ind w:left="240" w:right="12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2024 and 2025, the Group had reserved 213,472,791 and 211,980,037 ordinary shares available to be granted as share-based awards under the Share Incentive Plans.</w:t>
      </w:r>
    </w:p>
    <w:p>
      <w:pPr>
        <w:spacing w:after="0" w:line="169"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Subsequent to June 2020, the employees’ status of JD Technology changed from non-employees of the Company to employees of the Company’s equity method investee. Share-based awards granted by the Company to employees of JD Technology and share-based awards granted by JD Technology to employees of the Company were insignificant for all periods presented.</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00"/>
          </w:cols>
          <w:pgMar w:left="320" w:top="476" w:right="5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22" w:lineRule="exact"/>
        <w:rPr>
          <w:sz w:val="20"/>
          <w:szCs w:val="20"/>
          <w:color w:val="auto"/>
        </w:rPr>
      </w:pPr>
    </w:p>
    <w:p>
      <w:pPr>
        <w:ind w:left="660" w:right="7180" w:hanging="430"/>
        <w:spacing w:after="0" w:line="370" w:lineRule="auto"/>
        <w:tabs>
          <w:tab w:leader="none" w:pos="652" w:val="left"/>
        </w:tabs>
        <w:numPr>
          <w:ilvl w:val="0"/>
          <w:numId w:val="2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 of the Company RSUs</w:t>
      </w: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summary of activities of the service-based RSUs for the years ended December 31, 2025 is presented as follows:</w:t>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5"/>
        </w:trPr>
        <w:tc>
          <w:tcPr>
            <w:tcW w:w="6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6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Grant-Date</w:t>
            </w:r>
          </w:p>
        </w:tc>
        <w:tc>
          <w:tcPr>
            <w:tcW w:w="0" w:type="dxa"/>
            <w:vAlign w:val="bottom"/>
          </w:tcPr>
          <w:p>
            <w:pPr>
              <w:spacing w:after="0"/>
              <w:rPr>
                <w:sz w:val="1"/>
                <w:szCs w:val="1"/>
                <w:color w:val="auto"/>
              </w:rPr>
            </w:pPr>
          </w:p>
        </w:tc>
      </w:tr>
      <w:tr>
        <w:trPr>
          <w:trHeight w:val="170"/>
        </w:trPr>
        <w:tc>
          <w:tcPr>
            <w:tcW w:w="612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9"/>
        </w:trPr>
        <w:tc>
          <w:tcPr>
            <w:tcW w:w="6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January 1, 2025</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70,983,422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19.53</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31,551,310</w:t>
            </w:r>
          </w:p>
        </w:tc>
        <w:tc>
          <w:tcPr>
            <w:tcW w:w="4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(21,301,372)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(9,370,294)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71,863,066</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right="2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2024 and 2025, 1,865,542 and 1,957,950 outstanding service-based RSUs were held by non-employees and employees of the Company’s equity method investee, respectively, mainly including employees of JD Technology.</w:t>
      </w:r>
    </w:p>
    <w:p>
      <w:pPr>
        <w:spacing w:after="0" w:line="169" w:lineRule="exact"/>
        <w:rPr>
          <w:sz w:val="20"/>
          <w:szCs w:val="20"/>
          <w:color w:val="auto"/>
        </w:rPr>
      </w:pPr>
    </w:p>
    <w:p>
      <w:pPr>
        <w:ind w:left="240" w:right="80" w:firstLine="431"/>
        <w:spacing w:after="0" w:line="270" w:lineRule="auto"/>
        <w:rPr>
          <w:sz w:val="20"/>
          <w:szCs w:val="20"/>
          <w:color w:val="auto"/>
        </w:rPr>
      </w:pPr>
      <w:r>
        <w:rPr>
          <w:rFonts w:ascii="Times New Roman" w:cs="Times New Roman" w:eastAsia="Times New Roman" w:hAnsi="Times New Roman"/>
          <w:sz w:val="18"/>
          <w:szCs w:val="18"/>
          <w:color w:val="auto"/>
        </w:rPr>
        <w:t>For the years ended December 31, 2023, 2024 and 2025, total share-based compensation expenses recognized by the Group for the service-based RSUs granted were RMB1,840 million, RMB1,024 million and RMB2,442 million, respectively.</w:t>
      </w:r>
    </w:p>
    <w:p>
      <w:pPr>
        <w:spacing w:after="0" w:line="169" w:lineRule="exact"/>
        <w:rPr>
          <w:sz w:val="20"/>
          <w:szCs w:val="20"/>
          <w:color w:val="auto"/>
        </w:rPr>
      </w:pPr>
    </w:p>
    <w:p>
      <w:pPr>
        <w:ind w:left="240" w:firstLine="431"/>
        <w:spacing w:after="0" w:line="251" w:lineRule="auto"/>
        <w:rPr>
          <w:sz w:val="20"/>
          <w:szCs w:val="20"/>
          <w:color w:val="auto"/>
        </w:rPr>
      </w:pPr>
      <w:r>
        <w:rPr>
          <w:rFonts w:ascii="Times New Roman" w:cs="Times New Roman" w:eastAsia="Times New Roman" w:hAnsi="Times New Roman"/>
          <w:sz w:val="18"/>
          <w:szCs w:val="18"/>
          <w:color w:val="auto"/>
        </w:rPr>
        <w:t>As of December 31, 2025, there were RMB3,435 million of unrecognized share-based compensation expenses related to the service-based RSUs granted. The expenses are expected to be recognized over a weighted-average period of 3.2 years. The total fair value of service-based RSUs vested was RMB2,930 million, RMB1,909 million and RMB2,947 million for the years ended December 31, 2023, 2024 and 2025, respectively. The weighted average granted fair value of the RSUs granted during the years ended December 31, 2023, 2024 and 2025 was US$18.24, US$15.33 and US$18.27 per RSU, respectively.</w:t>
      </w:r>
    </w:p>
    <w:p>
      <w:pPr>
        <w:spacing w:after="0" w:line="187" w:lineRule="exact"/>
        <w:rPr>
          <w:sz w:val="20"/>
          <w:szCs w:val="20"/>
          <w:color w:val="auto"/>
        </w:rPr>
      </w:pPr>
    </w:p>
    <w:p>
      <w:pPr>
        <w:ind w:left="240" w:right="540" w:firstLine="431"/>
        <w:spacing w:after="0" w:line="300" w:lineRule="auto"/>
        <w:rPr>
          <w:sz w:val="20"/>
          <w:szCs w:val="20"/>
          <w:color w:val="auto"/>
        </w:rPr>
      </w:pPr>
      <w:r>
        <w:rPr>
          <w:rFonts w:ascii="Times New Roman" w:cs="Times New Roman" w:eastAsia="Times New Roman" w:hAnsi="Times New Roman"/>
          <w:sz w:val="17"/>
          <w:szCs w:val="17"/>
          <w:color w:val="auto"/>
        </w:rPr>
        <w:t>In May 2025, Mr. Liu was granted 10,000,000 service-based RSUs under the Company’s Share Incentive Plans, subject to a 5-year vesting schedule. For the year ended December 31, 2025, total share-based compensation expense recognized for these RSUs was RMB367 million.</w:t>
      </w:r>
    </w:p>
    <w:p>
      <w:pPr>
        <w:spacing w:after="0" w:line="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0980"/>
          </w:cols>
          <w:pgMar w:left="320" w:top="476" w:right="5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22" w:lineRule="exact"/>
        <w:rPr>
          <w:sz w:val="20"/>
          <w:szCs w:val="20"/>
          <w:color w:val="auto"/>
        </w:rPr>
      </w:pPr>
    </w:p>
    <w:p>
      <w:pPr>
        <w:ind w:left="660" w:right="6200" w:hanging="430"/>
        <w:spacing w:after="0" w:line="370" w:lineRule="auto"/>
        <w:tabs>
          <w:tab w:leader="none" w:pos="652" w:val="left"/>
        </w:tabs>
        <w:numPr>
          <w:ilvl w:val="0"/>
          <w:numId w:val="20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Share-based compensation of the Company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b w:val="1"/>
          <w:bCs w:val="1"/>
          <w:i w:val="1"/>
          <w:iCs w:val="1"/>
          <w:color w:val="auto"/>
        </w:rPr>
        <w:t xml:space="preserve"> Share options</w:t>
      </w:r>
    </w:p>
    <w:p>
      <w:pPr>
        <w:ind w:left="66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summary of activities of the service-based share options for the years ended December 31, 2025 is presented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2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128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w:t>
            </w:r>
          </w:p>
        </w:tc>
        <w:tc>
          <w:tcPr>
            <w:tcW w:w="106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68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70"/>
        </w:trPr>
        <w:tc>
          <w:tcPr>
            <w:tcW w:w="57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14"/>
        </w:trPr>
        <w:tc>
          <w:tcPr>
            <w:tcW w:w="57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480" w:type="dxa"/>
            <w:vAlign w:val="bottom"/>
          </w:tcPr>
          <w:p>
            <w:pPr>
              <w:spacing w:after="0"/>
              <w:rPr>
                <w:sz w:val="9"/>
                <w:szCs w:val="9"/>
                <w:color w:val="auto"/>
              </w:rPr>
            </w:pPr>
          </w:p>
        </w:tc>
        <w:tc>
          <w:tcPr>
            <w:tcW w:w="74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Year</w:t>
            </w:r>
          </w:p>
        </w:tc>
        <w:tc>
          <w:tcPr>
            <w:tcW w:w="460" w:type="dxa"/>
            <w:vAlign w:val="bottom"/>
          </w:tcPr>
          <w:p>
            <w:pPr>
              <w:spacing w:after="0"/>
              <w:rPr>
                <w:sz w:val="9"/>
                <w:szCs w:val="9"/>
                <w:color w:val="auto"/>
              </w:rPr>
            </w:pPr>
          </w:p>
        </w:tc>
        <w:tc>
          <w:tcPr>
            <w:tcW w:w="62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in millions</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17,645,740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5,272,500</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(352,086)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cancelled</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22,566,154</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2025</w:t>
            </w:r>
          </w:p>
        </w:tc>
        <w:tc>
          <w:tcPr>
            <w:tcW w:w="1280" w:type="dxa"/>
            <w:vAlign w:val="bottom"/>
            <w:gridSpan w:val="2"/>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480" w:type="dxa"/>
            <w:vAlign w:val="bottom"/>
          </w:tcPr>
          <w:p>
            <w:pPr>
              <w:spacing w:after="0" w:line="20" w:lineRule="exact"/>
              <w:rPr>
                <w:sz w:val="1"/>
                <w:szCs w:val="1"/>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04"/>
        </w:trPr>
        <w:tc>
          <w:tcPr>
            <w:tcW w:w="5700" w:type="dxa"/>
            <w:vAlign w:val="bottom"/>
            <w:vMerge w:val="continue"/>
          </w:tcPr>
          <w:p>
            <w:pPr>
              <w:spacing w:after="0"/>
              <w:rPr>
                <w:sz w:val="17"/>
                <w:szCs w:val="17"/>
                <w:color w:val="auto"/>
              </w:rPr>
            </w:pPr>
          </w:p>
        </w:tc>
        <w:tc>
          <w:tcPr>
            <w:tcW w:w="8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22,484,404</w:t>
            </w:r>
          </w:p>
        </w:tc>
        <w:tc>
          <w:tcPr>
            <w:tcW w:w="4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17,293,654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40" w:right="16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2024 and 2025, 40,536 and 7,200 outstanding share options were held by non-employees and employees of the Company’s equity method investee, respectively, mainly including employees of JD Technology.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intrinsic value of share options exercised during the years ended December 31, 2023, 2024 and 2025 was RMB98 million,</w:t>
      </w:r>
    </w:p>
    <w:p>
      <w:pPr>
        <w:spacing w:after="0" w:line="22" w:lineRule="exact"/>
        <w:rPr>
          <w:sz w:val="20"/>
          <w:szCs w:val="20"/>
          <w:color w:val="auto"/>
        </w:rPr>
      </w:pPr>
    </w:p>
    <w:p>
      <w:pPr>
        <w:ind w:left="240"/>
        <w:spacing w:after="0" w:line="250" w:lineRule="auto"/>
        <w:rPr>
          <w:sz w:val="20"/>
          <w:szCs w:val="20"/>
          <w:color w:val="auto"/>
        </w:rPr>
      </w:pPr>
      <w:r>
        <w:rPr>
          <w:rFonts w:ascii="Times New Roman" w:cs="Times New Roman" w:eastAsia="Times New Roman" w:hAnsi="Times New Roman"/>
          <w:sz w:val="18"/>
          <w:szCs w:val="18"/>
          <w:color w:val="auto"/>
        </w:rPr>
        <w:t>RMB2 million and RMB10 million, respectively. The intrinsic value is calculated as the difference between the market value on the date of exercise and the exercise price of the share options.</w:t>
      </w:r>
    </w:p>
    <w:p>
      <w:pPr>
        <w:spacing w:after="0" w:line="186" w:lineRule="exact"/>
        <w:rPr>
          <w:sz w:val="20"/>
          <w:szCs w:val="20"/>
          <w:color w:val="auto"/>
        </w:rPr>
      </w:pPr>
    </w:p>
    <w:p>
      <w:pPr>
        <w:ind w:left="240" w:right="40" w:firstLine="431"/>
        <w:spacing w:after="0" w:line="249" w:lineRule="auto"/>
        <w:rPr>
          <w:sz w:val="20"/>
          <w:szCs w:val="20"/>
          <w:color w:val="auto"/>
        </w:rPr>
      </w:pPr>
      <w:r>
        <w:rPr>
          <w:rFonts w:ascii="Times New Roman" w:cs="Times New Roman" w:eastAsia="Times New Roman" w:hAnsi="Times New Roman"/>
          <w:sz w:val="18"/>
          <w:szCs w:val="18"/>
          <w:color w:val="auto"/>
        </w:rPr>
        <w:t>For the year ended December 31, 2025, total share-based compensation expenses recognized for the share options granted over the vesting period were RMB1,004 million, which were insignificant for the years ended December 31, 2023 and 2024. In 2025, the Board of Directors of the Company approved extending the exercise period for the unexercised options held by the grantees under the Share Incentive Plans, for another 10 years upon the expiration of the existing 10-year exercise periods (“Extension of Exercise Period”). The Extension of Exercise Period generated incremental share-based compensation expenses of RMB914 million for the year ended December 31, 2025, which was recognized in full on the date of the modification. As of December 31, 2025, there were RMB202 million of unrecognized share-based compensation expenses related to the share options granted. The expenses are expected to be recognized over a weighted-average period of 4.3 years.</w:t>
      </w:r>
    </w:p>
    <w:p>
      <w:pPr>
        <w:spacing w:after="0" w:line="189" w:lineRule="exact"/>
        <w:rPr>
          <w:sz w:val="20"/>
          <w:szCs w:val="20"/>
          <w:color w:val="auto"/>
        </w:rPr>
      </w:pPr>
    </w:p>
    <w:p>
      <w:pPr>
        <w:ind w:left="240" w:right="20" w:firstLine="431"/>
        <w:spacing w:after="0" w:line="250" w:lineRule="auto"/>
        <w:rPr>
          <w:sz w:val="20"/>
          <w:szCs w:val="20"/>
          <w:color w:val="auto"/>
        </w:rPr>
      </w:pPr>
      <w:r>
        <w:rPr>
          <w:rFonts w:ascii="Times New Roman" w:cs="Times New Roman" w:eastAsia="Times New Roman" w:hAnsi="Times New Roman"/>
          <w:sz w:val="18"/>
          <w:szCs w:val="18"/>
          <w:color w:val="auto"/>
        </w:rPr>
        <w:t>In May 2015, Mr. Liu was granted an option to acquire a total of 26,000,000 Class A ordinary shares of the Company with an exercise price of US$16.70 per share (or US$33.40 per ADS) under the Company’s Share Incentive Plans, subject to a 10-year vesting schedule with 10% of the awards vesting on each anniversary of the grant date. In May 2025, Mr. Liu was granted an option to acquire a total of 5,000,000 Class A ordinary shares of the Company with an exercise price of US$17.175 per share (or US$34.35 per ADS), subject to a 5-year vesting schedule with 20% of the awards vesting on each anniversary of the grant date. For the years ended December 31, 2023, 2024 and 2025, the total share-based compensation expenses recognized were RMB38 million, RMB21 million and RMB1,000 million, respectively.</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0960"/>
          </w:cols>
          <w:pgMar w:left="320" w:top="476" w:right="61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22" w:lineRule="exact"/>
        <w:rPr>
          <w:sz w:val="20"/>
          <w:szCs w:val="20"/>
          <w:color w:val="auto"/>
        </w:rPr>
      </w:pPr>
    </w:p>
    <w:p>
      <w:pPr>
        <w:ind w:left="660" w:hanging="430"/>
        <w:spacing w:after="0"/>
        <w:tabs>
          <w:tab w:leader="none" w:pos="660" w:val="left"/>
        </w:tabs>
        <w:numPr>
          <w:ilvl w:val="0"/>
          <w:numId w:val="2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Share-based compensation of the Company </w:t>
      </w:r>
      <w:r>
        <w:rPr>
          <w:rFonts w:ascii="Times New Roman" w:cs="Times New Roman" w:eastAsia="Times New Roman" w:hAnsi="Times New Roman"/>
          <w:sz w:val="18"/>
          <w:szCs w:val="18"/>
          <w:b w:val="1"/>
          <w:bCs w:val="1"/>
          <w:color w:val="auto"/>
        </w:rPr>
        <w:t>(Continued)</w:t>
      </w:r>
    </w:p>
    <w:p>
      <w:pPr>
        <w:spacing w:after="0" w:line="114" w:lineRule="exact"/>
        <w:rPr>
          <w:sz w:val="20"/>
          <w:szCs w:val="20"/>
          <w:color w:val="auto"/>
        </w:rPr>
      </w:pPr>
    </w:p>
    <w:p>
      <w:pPr>
        <w:ind w:left="240" w:right="260" w:firstLine="431"/>
        <w:spacing w:after="0" w:line="27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 ended December 31, 2025 was US$7.85 per share, estimated on the grant date or modification date using the Binominal option-pricing model with the following assumptions:</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6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4"/>
                <w:szCs w:val="14"/>
                <w:color w:val="auto"/>
              </w:rPr>
            </w:pPr>
          </w:p>
        </w:tc>
      </w:tr>
      <w:tr>
        <w:trPr>
          <w:trHeight w:val="205"/>
        </w:trPr>
        <w:tc>
          <w:tcPr>
            <w:tcW w:w="62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Expected volatility</w:t>
            </w:r>
            <w:r>
              <w:rPr>
                <w:rFonts w:ascii="Times New Roman" w:cs="Times New Roman" w:eastAsia="Times New Roman" w:hAnsi="Times New Roman"/>
                <w:sz w:val="21"/>
                <w:szCs w:val="21"/>
                <w:color w:val="auto"/>
                <w:vertAlign w:val="superscript"/>
              </w:rPr>
              <w:t>(i)</w:t>
            </w:r>
          </w:p>
        </w:tc>
        <w:tc>
          <w:tcPr>
            <w:tcW w:w="10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48%~49%</w:t>
            </w:r>
          </w:p>
        </w:tc>
        <w:tc>
          <w:tcPr>
            <w:tcW w:w="40" w:type="dxa"/>
            <w:vAlign w:val="bottom"/>
            <w:shd w:val="clear" w:color="auto" w:fill="CCEEFF"/>
          </w:tcPr>
          <w:p>
            <w:pPr>
              <w:spacing w:after="0"/>
              <w:rPr>
                <w:sz w:val="17"/>
                <w:szCs w:val="17"/>
                <w:color w:val="auto"/>
              </w:rPr>
            </w:pPr>
          </w:p>
        </w:tc>
      </w:tr>
      <w:tr>
        <w:trPr>
          <w:trHeight w:val="212"/>
        </w:trPr>
        <w:tc>
          <w:tcPr>
            <w:tcW w:w="62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Exercise multiples</w:t>
            </w:r>
            <w:r>
              <w:rPr>
                <w:rFonts w:ascii="Times New Roman" w:cs="Times New Roman" w:eastAsia="Times New Roman" w:hAnsi="Times New Roman"/>
                <w:sz w:val="21"/>
                <w:szCs w:val="21"/>
                <w:color w:val="auto"/>
                <w:vertAlign w:val="superscript"/>
              </w:rPr>
              <w:t>(ii)</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62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Expected dividend yield</w:t>
            </w:r>
            <w:r>
              <w:rPr>
                <w:rFonts w:ascii="Times New Roman" w:cs="Times New Roman" w:eastAsia="Times New Roman" w:hAnsi="Times New Roman"/>
                <w:sz w:val="21"/>
                <w:szCs w:val="21"/>
                <w:color w:val="auto"/>
                <w:vertAlign w:val="superscript"/>
              </w:rPr>
              <w:t>(iii)</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2"/>
        </w:trPr>
        <w:tc>
          <w:tcPr>
            <w:tcW w:w="620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Expected term (in years) </w:t>
            </w:r>
            <w:r>
              <w:rPr>
                <w:rFonts w:ascii="Times New Roman" w:cs="Times New Roman" w:eastAsia="Times New Roman" w:hAnsi="Times New Roman"/>
                <w:sz w:val="21"/>
                <w:szCs w:val="21"/>
                <w:color w:val="auto"/>
                <w:vertAlign w:val="superscript"/>
              </w:rPr>
              <w:t>(iv)</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2"/>
        </w:trPr>
        <w:tc>
          <w:tcPr>
            <w:tcW w:w="620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Risk-free interest rate</w:t>
            </w:r>
            <w:r>
              <w:rPr>
                <w:rFonts w:ascii="Times New Roman" w:cs="Times New Roman" w:eastAsia="Times New Roman" w:hAnsi="Times New Roman"/>
                <w:sz w:val="21"/>
                <w:szCs w:val="21"/>
                <w:color w:val="auto"/>
                <w:vertAlign w:val="superscript"/>
              </w:rPr>
              <w:t>(v)</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4.26%~4.61%</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the underlying shares on the date of option grants (US$ per share)</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16.35~17.18</w:t>
            </w:r>
          </w:p>
        </w:tc>
      </w:tr>
    </w:tbl>
    <w:p>
      <w:pPr>
        <w:spacing w:after="0" w:line="202" w:lineRule="exact"/>
        <w:rPr>
          <w:sz w:val="20"/>
          <w:szCs w:val="20"/>
          <w:color w:val="auto"/>
        </w:rPr>
      </w:pPr>
    </w:p>
    <w:p>
      <w:pPr>
        <w:ind w:left="660" w:right="220" w:hanging="430"/>
        <w:spacing w:after="0" w:line="255"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assumption was estimated based on historical volatility of the Company’s share price for the period of time close to the expected time to exercise.</w:t>
      </w:r>
    </w:p>
    <w:p>
      <w:pPr>
        <w:ind w:left="660" w:right="20" w:hanging="430"/>
        <w:spacing w:after="0" w:line="245" w:lineRule="auto"/>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multiple was estimated as the ratio of fair value of underlying shares over exercise price as at the time the option is exercised, which comes from the historical exercise pattern of the Company.</w:t>
      </w:r>
    </w:p>
    <w:p>
      <w:pPr>
        <w:ind w:left="660" w:hanging="430"/>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yield was estimated based on its expected dividend policy over the expected term of the options.</w:t>
      </w:r>
    </w:p>
    <w:p>
      <w:pPr>
        <w:spacing w:after="0" w:line="4"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the expected term were based on the vesting and contractual terms.</w:t>
      </w:r>
    </w:p>
    <w:p>
      <w:pPr>
        <w:spacing w:after="0" w:line="4" w:lineRule="exact"/>
        <w:rPr>
          <w:rFonts w:ascii="Times New Roman" w:cs="Times New Roman" w:eastAsia="Times New Roman" w:hAnsi="Times New Roman"/>
          <w:sz w:val="18"/>
          <w:szCs w:val="18"/>
          <w:color w:val="auto"/>
        </w:rPr>
      </w:pPr>
    </w:p>
    <w:p>
      <w:pPr>
        <w:ind w:left="660" w:hanging="430"/>
        <w:spacing w:after="0"/>
        <w:tabs>
          <w:tab w:leader="none" w:pos="66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for periods within the contractual life of the option is based upon the U.S. treasury yield curve in effect at the time of grant.</w:t>
      </w:r>
    </w:p>
    <w:p>
      <w:pPr>
        <w:spacing w:after="0" w:line="351" w:lineRule="exact"/>
        <w:rPr>
          <w:sz w:val="20"/>
          <w:szCs w:val="20"/>
          <w:color w:val="auto"/>
        </w:rPr>
      </w:pPr>
    </w:p>
    <w:p>
      <w:pPr>
        <w:ind w:left="660" w:right="7240" w:hanging="430"/>
        <w:spacing w:after="0" w:line="370" w:lineRule="auto"/>
        <w:tabs>
          <w:tab w:leader="none" w:pos="652" w:val="left"/>
        </w:tabs>
        <w:numPr>
          <w:ilvl w:val="0"/>
          <w:numId w:val="2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Share-based compensation of subsidiaries JD Logistics</w:t>
      </w: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JD Logistics adopted a Pre-IPO share incentive plan on March 31, 2018 and a Post- IPO share option scheme and a Post-IPO share award scheme on May 10, 2021, collectively the “JD Logistics Plan”. The JD Logistics Plan consists of share options, RSUs and other types of awards.</w:t>
      </w:r>
    </w:p>
    <w:p>
      <w:pPr>
        <w:spacing w:after="0" w:line="169" w:lineRule="exact"/>
        <w:rPr>
          <w:sz w:val="20"/>
          <w:szCs w:val="20"/>
          <w:color w:val="auto"/>
        </w:rPr>
      </w:pPr>
    </w:p>
    <w:p>
      <w:pPr>
        <w:ind w:left="240" w:right="140" w:firstLine="431"/>
        <w:spacing w:after="0" w:line="280" w:lineRule="auto"/>
        <w:rPr>
          <w:sz w:val="20"/>
          <w:szCs w:val="20"/>
          <w:color w:val="auto"/>
        </w:rPr>
      </w:pPr>
      <w:r>
        <w:rPr>
          <w:rFonts w:ascii="Times New Roman" w:cs="Times New Roman" w:eastAsia="Times New Roman" w:hAnsi="Times New Roman"/>
          <w:sz w:val="17"/>
          <w:szCs w:val="17"/>
          <w:color w:val="auto"/>
        </w:rPr>
        <w:t>There was no share option granted from 2023 to 2025. For the years ended December 31, 2023, 2024 and 2025, total share-based compensation expenses for the share options granted under the JD Logistics Plan were RMB387 million, RMB143 million and RMB5 million, respectively. As of December 31, 2025, the unrecognized share-based compensation expenses related to the share options granted were insignificant.</w:t>
      </w:r>
    </w:p>
    <w:p>
      <w:pPr>
        <w:spacing w:after="0" w:line="162" w:lineRule="exact"/>
        <w:rPr>
          <w:sz w:val="20"/>
          <w:szCs w:val="20"/>
          <w:color w:val="auto"/>
        </w:rPr>
      </w:pPr>
    </w:p>
    <w:p>
      <w:pPr>
        <w:ind w:left="240" w:firstLine="431"/>
        <w:spacing w:after="0" w:line="280" w:lineRule="auto"/>
        <w:rPr>
          <w:sz w:val="20"/>
          <w:szCs w:val="20"/>
          <w:color w:val="auto"/>
        </w:rPr>
      </w:pPr>
      <w:r>
        <w:rPr>
          <w:rFonts w:ascii="Times New Roman" w:cs="Times New Roman" w:eastAsia="Times New Roman" w:hAnsi="Times New Roman"/>
          <w:sz w:val="17"/>
          <w:szCs w:val="17"/>
          <w:color w:val="auto"/>
        </w:rPr>
        <w:t>In October 2020, share options to acquire 99,186,705 ordinary shares of JD Logistics with an exercise price of US$0.01 per share were granted to Mr. Liu according to the JD Logistics Plan. The grant was awarded to Mr. Liu to motivate him to continue leading the future success of JD Logistics. The grant by JD Logistics is subject to a 6-year vesting schedule with 16.7% of the awards vesting on each anniversary of the grant date.</w:t>
      </w:r>
    </w:p>
    <w:p>
      <w:pPr>
        <w:spacing w:after="0" w:line="162" w:lineRule="exact"/>
        <w:rPr>
          <w:sz w:val="20"/>
          <w:szCs w:val="20"/>
          <w:color w:val="auto"/>
        </w:rPr>
      </w:pPr>
    </w:p>
    <w:p>
      <w:pPr>
        <w:ind w:left="240" w:right="20" w:firstLine="431"/>
        <w:spacing w:after="0" w:line="249" w:lineRule="auto"/>
        <w:rPr>
          <w:sz w:val="20"/>
          <w:szCs w:val="20"/>
          <w:color w:val="auto"/>
        </w:rPr>
      </w:pPr>
      <w:r>
        <w:rPr>
          <w:rFonts w:ascii="Times New Roman" w:cs="Times New Roman" w:eastAsia="Times New Roman" w:hAnsi="Times New Roman"/>
          <w:sz w:val="18"/>
          <w:szCs w:val="18"/>
          <w:color w:val="auto"/>
        </w:rPr>
        <w:t>JD Logistics granted 55,937,435, 59,551,652 and 48,581,929 RSUs of JD Logistics to its employees and non-employees for the years ended December 31, 2023, 2024 and 2025, respectively. The estimated fair value of each RSU granted is based on market value of the JD Logistics’ shares on each date of grant. The weighted average grant date fair value of RSUs granted for the years ended December 31, 2023, 2024 and 2025 was equivalent to HK$12.93, HK$9.88 and HK$12.78 per share, respectively. For the years ended December 31, 2023, 2024 and 2025, total share-based compensation expenses for the RSUs granted under JD Logistics Plan were RMB406 million, RMB389 million and RMB385 million, respectively. As of December 31, 2025, there were RMB428 million of unrecognized share-based compensation expenses related to the RSUs granted. The expenses are expected to be recognized over a weighted-average period of 2.7 years.</w:t>
      </w:r>
    </w:p>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0940"/>
          </w:cols>
          <w:pgMar w:left="320" w:top="476" w:right="6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 (Continued)</w:t>
      </w:r>
    </w:p>
    <w:p>
      <w:pPr>
        <w:spacing w:after="0" w:line="122" w:lineRule="exact"/>
        <w:rPr>
          <w:sz w:val="20"/>
          <w:szCs w:val="20"/>
          <w:color w:val="auto"/>
        </w:rPr>
      </w:pPr>
    </w:p>
    <w:p>
      <w:pPr>
        <w:ind w:left="660" w:right="6360" w:hanging="430"/>
        <w:spacing w:after="0" w:line="370" w:lineRule="auto"/>
        <w:tabs>
          <w:tab w:leader="none" w:pos="652" w:val="left"/>
        </w:tabs>
        <w:numPr>
          <w:ilvl w:val="0"/>
          <w:numId w:val="2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Share-based compensation of subsidiaries </w:t>
      </w:r>
      <w:r>
        <w:rPr>
          <w:rFonts w:ascii="Times New Roman" w:cs="Times New Roman" w:eastAsia="Times New Roman" w:hAnsi="Times New Roman"/>
          <w:sz w:val="18"/>
          <w:szCs w:val="18"/>
          <w:b w:val="1"/>
          <w:bCs w:val="1"/>
          <w:color w:val="auto"/>
        </w:rPr>
        <w:t>(Continued)</w:t>
      </w:r>
      <w:r>
        <w:rPr>
          <w:rFonts w:ascii="Times New Roman" w:cs="Times New Roman" w:eastAsia="Times New Roman" w:hAnsi="Times New Roman"/>
          <w:sz w:val="18"/>
          <w:szCs w:val="18"/>
          <w:b w:val="1"/>
          <w:bCs w:val="1"/>
          <w:i w:val="1"/>
          <w:iCs w:val="1"/>
          <w:color w:val="auto"/>
        </w:rPr>
        <w:t xml:space="preserve"> JD Health</w:t>
      </w:r>
    </w:p>
    <w:p>
      <w:pPr>
        <w:jc w:val="both"/>
        <w:ind w:left="240" w:right="40" w:firstLine="431"/>
        <w:spacing w:after="0" w:line="300" w:lineRule="auto"/>
        <w:rPr>
          <w:sz w:val="20"/>
          <w:szCs w:val="20"/>
          <w:color w:val="auto"/>
        </w:rPr>
      </w:pPr>
      <w:r>
        <w:rPr>
          <w:rFonts w:ascii="Times New Roman" w:cs="Times New Roman" w:eastAsia="Times New Roman" w:hAnsi="Times New Roman"/>
          <w:sz w:val="17"/>
          <w:szCs w:val="17"/>
          <w:color w:val="auto"/>
        </w:rPr>
        <w:t>JD Health approved and adopted a Pre-IPO share incentive plan on September 14, 2020 and a Post-IPO share option scheme and a Post-IPO share award scheme on November 23, 2020, collectively the “JD Health Plan”. The JD Health Plan consists of share options, RSUs and other types of awards.</w:t>
      </w:r>
    </w:p>
    <w:p>
      <w:pPr>
        <w:spacing w:after="0" w:line="146" w:lineRule="exact"/>
        <w:rPr>
          <w:sz w:val="20"/>
          <w:szCs w:val="20"/>
          <w:color w:val="auto"/>
        </w:rPr>
      </w:pPr>
    </w:p>
    <w:p>
      <w:pPr>
        <w:ind w:left="240" w:right="100" w:firstLine="431"/>
        <w:spacing w:after="0" w:line="253" w:lineRule="auto"/>
        <w:rPr>
          <w:sz w:val="20"/>
          <w:szCs w:val="20"/>
          <w:color w:val="auto"/>
        </w:rPr>
      </w:pPr>
      <w:r>
        <w:rPr>
          <w:rFonts w:ascii="Times New Roman" w:cs="Times New Roman" w:eastAsia="Times New Roman" w:hAnsi="Times New Roman"/>
          <w:sz w:val="18"/>
          <w:szCs w:val="18"/>
          <w:color w:val="auto"/>
        </w:rPr>
        <w:t>There was no share option granted from 2023 to 2025. For the years ended December 31, 2023, 2024 and 2025, total share-based compensation expenses for the share options granted under the JD Health Plan were RMB617 million, RMB141 million and RMB146 million, respectively. As of December 31, 2025, there were RMB80 million of unrecognized share-based compensation expenses related to the share options granted. The expenses are expected to be recognized over a weighted-average period of 1.4 years.</w:t>
      </w:r>
    </w:p>
    <w:p>
      <w:pPr>
        <w:spacing w:after="0" w:line="185" w:lineRule="exact"/>
        <w:rPr>
          <w:sz w:val="20"/>
          <w:szCs w:val="20"/>
          <w:color w:val="auto"/>
        </w:rPr>
      </w:pPr>
    </w:p>
    <w:p>
      <w:pPr>
        <w:ind w:left="240" w:firstLine="431"/>
        <w:spacing w:after="0" w:line="258" w:lineRule="auto"/>
        <w:rPr>
          <w:sz w:val="20"/>
          <w:szCs w:val="20"/>
          <w:color w:val="auto"/>
        </w:rPr>
      </w:pPr>
      <w:r>
        <w:rPr>
          <w:rFonts w:ascii="Times New Roman" w:cs="Times New Roman" w:eastAsia="Times New Roman" w:hAnsi="Times New Roman"/>
          <w:sz w:val="18"/>
          <w:szCs w:val="18"/>
          <w:color w:val="auto"/>
        </w:rPr>
        <w:t>In October 2020, share options to acquire 53,042,516 ordinary shares of JD Health with an exercise price of US$0.0000005 per share were granted to Mr. Liu according to the JD Health Plan. The grant was awarded to Mr. Liu to motivate him to continue leading the future success of JD Health. The grant by JD Health is subject to a 6-year vesting schedule with 16.7% of the awards vesting on each anniversary of the grant date.</w:t>
      </w:r>
    </w:p>
    <w:p>
      <w:pPr>
        <w:spacing w:after="0" w:line="179" w:lineRule="exact"/>
        <w:rPr>
          <w:sz w:val="20"/>
          <w:szCs w:val="20"/>
          <w:color w:val="auto"/>
        </w:rPr>
      </w:pPr>
    </w:p>
    <w:p>
      <w:pPr>
        <w:ind w:left="240" w:right="60" w:firstLine="431"/>
        <w:spacing w:after="0" w:line="249" w:lineRule="auto"/>
        <w:rPr>
          <w:sz w:val="20"/>
          <w:szCs w:val="20"/>
          <w:color w:val="auto"/>
        </w:rPr>
      </w:pPr>
      <w:r>
        <w:rPr>
          <w:rFonts w:ascii="Times New Roman" w:cs="Times New Roman" w:eastAsia="Times New Roman" w:hAnsi="Times New Roman"/>
          <w:sz w:val="18"/>
          <w:szCs w:val="18"/>
          <w:color w:val="auto"/>
        </w:rPr>
        <w:t>JD Health granted 6,051,558, 8,706,890 and 5,240,780 RSUs of JD Health to its employees and non-employees for the years ended December 31, 2023, 2024 and 2025, respectively. The estimated fair value of each RSU granted is based on market value of the JD Health’s shares on each date of grant. The weighted average grant date fair value of RSUs granted for the years ended December 31, 2023, 2024 and 2025 was equivalent to HK$52.87, HK$30.64 and HK$35.81 per share, respectively. For the years ended December 31, 2023, 2024 and 2025, total share-based compensation expenses for the RSUs granted under the JD Health Plan were RMB1,161 million, RMB1,002 million and RMB470 million, respectively. As of December 31, 2025, there were RMB306 million of unrecognized share-based compensation expenses related to the RSUs granted. The expenses are expected to be recognized over a weighted-average period of 2.0 years.</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Subsidiaries</w:t>
      </w:r>
    </w:p>
    <w:p>
      <w:pPr>
        <w:spacing w:after="0" w:line="114" w:lineRule="exact"/>
        <w:rPr>
          <w:sz w:val="20"/>
          <w:szCs w:val="20"/>
          <w:color w:val="auto"/>
        </w:rPr>
      </w:pPr>
    </w:p>
    <w:p>
      <w:pPr>
        <w:ind w:left="240" w:right="60" w:firstLine="431"/>
        <w:spacing w:after="0" w:line="270" w:lineRule="auto"/>
        <w:rPr>
          <w:sz w:val="20"/>
          <w:szCs w:val="20"/>
          <w:color w:val="auto"/>
        </w:rPr>
      </w:pPr>
      <w:r>
        <w:rPr>
          <w:rFonts w:ascii="Times New Roman" w:cs="Times New Roman" w:eastAsia="Times New Roman" w:hAnsi="Times New Roman"/>
          <w:sz w:val="18"/>
          <w:szCs w:val="18"/>
          <w:color w:val="auto"/>
        </w:rPr>
        <w:t>Other than those disclosed above, the share-based compensation expenses of other subsidiaries in aggregate were insignificant for the years ended December 31, 2023, 2024 and 2025.</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20"/>
          </w:cols>
          <w:pgMar w:left="320" w:top="476" w:right="5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share/ADS</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income per share/ADS for each of the years presented are calculated as follows:</w:t>
      </w:r>
    </w:p>
    <w:p>
      <w:pPr>
        <w:spacing w:after="0" w:line="236"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660"/>
        <w:spacing w:after="0" w:line="230"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0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14"/>
        </w:trPr>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180" w:type="dxa"/>
            <w:vAlign w:val="bottom"/>
            <w:gridSpan w:val="6"/>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(RMB in millions, except share</w:t>
            </w:r>
          </w:p>
        </w:tc>
        <w:tc>
          <w:tcPr>
            <w:tcW w:w="100" w:type="dxa"/>
            <w:vAlign w:val="bottom"/>
          </w:tcPr>
          <w:p>
            <w:pPr>
              <w:spacing w:after="0"/>
              <w:rPr>
                <w:sz w:val="9"/>
                <w:szCs w:val="9"/>
                <w:color w:val="auto"/>
              </w:rPr>
            </w:pPr>
          </w:p>
        </w:tc>
      </w:t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80" w:type="dxa"/>
            <w:vAlign w:val="bottom"/>
            <w:gridSpan w:val="5"/>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60" w:type="dxa"/>
            <w:vAlign w:val="bottom"/>
            <w:gridSpan w:val="3"/>
          </w:tcPr>
          <w:p>
            <w:pPr>
              <w:spacing w:after="0" w:line="172" w:lineRule="exact"/>
              <w:rPr>
                <w:sz w:val="20"/>
                <w:szCs w:val="20"/>
                <w:color w:val="auto"/>
              </w:rPr>
            </w:pPr>
            <w:r>
              <w:rPr>
                <w:rFonts w:ascii="Times New Roman" w:cs="Times New Roman" w:eastAsia="Times New Roman" w:hAnsi="Times New Roman"/>
                <w:sz w:val="18"/>
                <w:szCs w:val="18"/>
                <w:color w:val="auto"/>
              </w:rPr>
              <w:t>Numerator:</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Company’s ordinary shareholders – basic</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19,631</w:t>
            </w:r>
          </w:p>
        </w:tc>
        <w:tc>
          <w:tcPr>
            <w:tcW w:w="10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subsidiaries and equity method investees’ dilutive earnings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impact of the Convertible Senior Notes</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r>
      <w:tr>
        <w:trPr>
          <w:trHeight w:val="218"/>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the Company’s ordinary shareholders – diluted</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2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19,210</w:t>
            </w:r>
          </w:p>
        </w:tc>
        <w:tc>
          <w:tcPr>
            <w:tcW w:w="100" w:type="dxa"/>
            <w:vAlign w:val="bottom"/>
          </w:tcPr>
          <w:p>
            <w:pPr>
              <w:spacing w:after="0"/>
              <w:rPr>
                <w:sz w:val="18"/>
                <w:szCs w:val="18"/>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w w:val="93"/>
              </w:rPr>
              <w:t>Denominator:</w:t>
            </w:r>
          </w:p>
        </w:tc>
        <w:tc>
          <w:tcPr>
            <w:tcW w:w="58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number of shares – basic (million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dilutive securities: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Dilutive share options and RSUs (million 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Senior Notes (million shares)</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r>
      <w:tr>
        <w:trPr>
          <w:trHeight w:val="218"/>
        </w:trPr>
        <w:tc>
          <w:tcPr>
            <w:tcW w:w="6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 (million shares)</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the Company’s ordinary shareholders (RMB)</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the Company’s ordinary shareholders (RMB)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net income per ADS (RMB)</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ADS (RMB)</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F-67</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60"/>
          </w:cols>
          <w:pgMar w:left="320" w:top="476" w:right="141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the major related parties and their relationships with the Group as of December 31, 2025:</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Name of related parties</w:t>
            </w:r>
          </w:p>
        </w:tc>
        <w:tc>
          <w:tcPr>
            <w:tcW w:w="4200" w:type="dxa"/>
            <w:vAlign w:val="bottom"/>
          </w:tcPr>
          <w:p>
            <w:pPr>
              <w:spacing w:after="0"/>
              <w:rPr>
                <w:sz w:val="16"/>
                <w:szCs w:val="16"/>
                <w:color w:val="auto"/>
              </w:rPr>
            </w:pPr>
          </w:p>
        </w:tc>
        <w:tc>
          <w:tcPr>
            <w:tcW w:w="51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80"/>
        </w:trPr>
        <w:tc>
          <w:tcPr>
            <w:tcW w:w="1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JD Technology</w:t>
            </w:r>
          </w:p>
        </w:tc>
        <w:tc>
          <w:tcPr>
            <w:tcW w:w="4200" w:type="dxa"/>
            <w:vAlign w:val="bottom"/>
          </w:tcPr>
          <w:p>
            <w:pPr>
              <w:spacing w:after="0"/>
              <w:rPr>
                <w:sz w:val="15"/>
                <w:szCs w:val="15"/>
                <w:color w:val="auto"/>
              </w:rPr>
            </w:pPr>
          </w:p>
        </w:tc>
        <w:tc>
          <w:tcPr>
            <w:tcW w:w="518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An investee of the Group, and controlled by the Founder</w:t>
            </w:r>
          </w:p>
        </w:tc>
      </w:t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Property Funds</w:t>
            </w:r>
          </w:p>
        </w:tc>
        <w:tc>
          <w:tcPr>
            <w:tcW w:w="420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Investees of the Group</w:t>
            </w:r>
          </w:p>
        </w:tc>
      </w:tr>
    </w:tbl>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(a)The Group entered into the following transactions with the major related parties:</w:t>
      </w:r>
    </w:p>
    <w:p>
      <w:pPr>
        <w:spacing w:after="0" w:line="23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860"/>
        <w:spacing w:after="0" w:line="230"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00" w:type="dxa"/>
        <w:tblCellMar>
          <w:top w:w="0" w:type="dxa"/>
          <w:left w:w="0" w:type="dxa"/>
          <w:bottom w:w="0" w:type="dxa"/>
          <w:right w:w="0" w:type="dxa"/>
        </w:tblCellMar>
      </w:tblPr>
      <w:tr>
        <w:trPr>
          <w:trHeight w:val="139"/>
        </w:trPr>
        <w:tc>
          <w:tcPr>
            <w:tcW w:w="69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top w:val="single" w:sz="8" w:color="auto"/>
              <w:bottom w:val="single" w:sz="8" w:color="auto"/>
            </w:tcBorders>
          </w:tcPr>
          <w:p>
            <w:pPr>
              <w:jc w:val="right"/>
              <w:ind w:right="3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920" w:type="dxa"/>
            <w:vAlign w:val="bottom"/>
          </w:tcPr>
          <w:p>
            <w:pPr>
              <w:spacing w:after="0"/>
              <w:rPr>
                <w:sz w:val="12"/>
                <w:szCs w:val="12"/>
                <w:color w:val="auto"/>
              </w:rPr>
            </w:pPr>
          </w:p>
        </w:tc>
        <w:tc>
          <w:tcPr>
            <w:tcW w:w="160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 provided and products sold to JD Technology</w:t>
            </w: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1,696</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1,701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60" w:type="dxa"/>
            <w:vAlign w:val="bottom"/>
          </w:tcPr>
          <w:p>
            <w:pPr>
              <w:spacing w:after="0"/>
              <w:rPr>
                <w:sz w:val="18"/>
                <w:szCs w:val="18"/>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 provided to Property Funds</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shd w:val="clear" w:color="auto" w:fill="CCEEFF"/>
          </w:tcPr>
          <w:p>
            <w:pPr>
              <w:spacing w:after="0"/>
              <w:rPr>
                <w:sz w:val="18"/>
                <w:szCs w:val="18"/>
                <w:color w:val="auto"/>
              </w:rPr>
            </w:pP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and operating expenses: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processing and other services received from JD Technology</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13,833</w:t>
            </w: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13,693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15,511</w:t>
            </w:r>
          </w:p>
        </w:tc>
        <w:tc>
          <w:tcPr>
            <w:tcW w:w="60" w:type="dxa"/>
            <w:vAlign w:val="bottom"/>
            <w:shd w:val="clear" w:color="auto" w:fill="CCEEFF"/>
          </w:tcPr>
          <w:p>
            <w:pPr>
              <w:spacing w:after="0"/>
              <w:rPr>
                <w:sz w:val="18"/>
                <w:szCs w:val="18"/>
                <w:color w:val="auto"/>
              </w:rPr>
            </w:pPr>
          </w:p>
        </w:tc>
      </w:tr>
      <w:tr>
        <w:trPr>
          <w:trHeight w:val="212"/>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and property management services received from Property Funds</w:t>
            </w: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1,681</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1,765</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60" w:type="dxa"/>
            <w:vAlign w:val="bottom"/>
          </w:tcPr>
          <w:p>
            <w:pPr>
              <w:spacing w:after="0"/>
              <w:rPr>
                <w:sz w:val="18"/>
                <w:szCs w:val="18"/>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from loans provided to JD Technology</w:t>
            </w:r>
          </w:p>
        </w:tc>
        <w:tc>
          <w:tcPr>
            <w:tcW w:w="6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287</w:t>
            </w: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r>
      <w:tr>
        <w:trPr>
          <w:trHeight w:val="212"/>
        </w:trPr>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from loans provided to Property Funds</w:t>
            </w:r>
          </w:p>
        </w:tc>
        <w:tc>
          <w:tcPr>
            <w:tcW w:w="6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r>
    </w:tbl>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216" w:lineRule="exact"/>
        <w:rPr>
          <w:sz w:val="20"/>
          <w:szCs w:val="20"/>
          <w:color w:val="auto"/>
        </w:rPr>
      </w:pPr>
    </w:p>
    <w:p>
      <w:pPr>
        <w:ind w:left="240" w:right="100" w:firstLine="431"/>
        <w:spacing w:after="0" w:line="253" w:lineRule="auto"/>
        <w:rPr>
          <w:sz w:val="20"/>
          <w:szCs w:val="20"/>
          <w:color w:val="auto"/>
        </w:rPr>
      </w:pPr>
      <w:r>
        <w:rPr>
          <w:rFonts w:ascii="Times New Roman" w:cs="Times New Roman" w:eastAsia="Times New Roman" w:hAnsi="Times New Roman"/>
          <w:sz w:val="18"/>
          <w:szCs w:val="18"/>
          <w:color w:val="auto"/>
        </w:rPr>
        <w:t>Revenues from related parties, excluding those from the major related parties as stated above, were not significant compared to total net revenues of the Group for the years ended December 31, 2023, 2024 and 2025. Transactions with related parties included in cost of revenues and operating expenses, excluding those with the major related parties as stated above, were not significant compared to total cost of revenues and operating expenses of the Group for the years ended December 31, 2023, 2024 and 2025.</w:t>
      </w:r>
    </w:p>
    <w:p>
      <w:pPr>
        <w:spacing w:after="0" w:line="330"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8"/>
          <w:szCs w:val="18"/>
          <w:color w:val="auto"/>
        </w:rPr>
        <w:t>(b)</w:t>
        <w:tab/>
        <w:t>The Group had the following balances with the major related parties:</w:t>
      </w:r>
    </w:p>
    <w:p>
      <w:pPr>
        <w:spacing w:after="0" w:line="236"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9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920" w:type="dxa"/>
            <w:vAlign w:val="bottom"/>
          </w:tcPr>
          <w:p>
            <w:pPr>
              <w:spacing w:after="0"/>
              <w:rPr>
                <w:sz w:val="12"/>
                <w:szCs w:val="12"/>
                <w:color w:val="auto"/>
              </w:rPr>
            </w:pPr>
          </w:p>
        </w:tc>
        <w:tc>
          <w:tcPr>
            <w:tcW w:w="122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60" w:type="dxa"/>
            <w:vAlign w:val="bottom"/>
          </w:tcPr>
          <w:p>
            <w:pPr>
              <w:spacing w:after="0"/>
              <w:rPr>
                <w:sz w:val="12"/>
                <w:szCs w:val="1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from/(to) JD Technology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2"/>
        </w:trPr>
        <w:tc>
          <w:tcPr>
            <w:tcW w:w="6920" w:type="dxa"/>
            <w:vAlign w:val="bottom"/>
          </w:tcPr>
          <w:p>
            <w:pPr>
              <w:ind w:left="360"/>
              <w:spacing w:after="0" w:line="212" w:lineRule="exact"/>
              <w:rPr>
                <w:sz w:val="20"/>
                <w:szCs w:val="20"/>
                <w:color w:val="auto"/>
              </w:rPr>
            </w:pPr>
            <w:r>
              <w:rPr>
                <w:rFonts w:ascii="Times New Roman" w:cs="Times New Roman" w:eastAsia="Times New Roman" w:hAnsi="Times New Roman"/>
                <w:sz w:val="18"/>
                <w:szCs w:val="18"/>
                <w:color w:val="auto"/>
              </w:rPr>
              <w:t xml:space="preserve">Loans provided to JD Technology </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w:t>
            </w:r>
          </w:p>
        </w:tc>
      </w:tr>
      <w:tr>
        <w:trPr>
          <w:trHeight w:val="212"/>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(payables to)/receivables from JD Technology</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Due from Property Funds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6920" w:type="dxa"/>
            <w:vAlign w:val="bottom"/>
            <w:shd w:val="clear" w:color="auto" w:fill="CCEEFF"/>
          </w:tcPr>
          <w:p>
            <w:pPr>
              <w:ind w:left="360"/>
              <w:spacing w:after="0" w:line="212" w:lineRule="exact"/>
              <w:rPr>
                <w:sz w:val="20"/>
                <w:szCs w:val="20"/>
                <w:color w:val="auto"/>
              </w:rPr>
            </w:pPr>
            <w:r>
              <w:rPr>
                <w:rFonts w:ascii="Times New Roman" w:cs="Times New Roman" w:eastAsia="Times New Roman" w:hAnsi="Times New Roman"/>
                <w:sz w:val="18"/>
                <w:szCs w:val="18"/>
                <w:color w:val="auto"/>
              </w:rPr>
              <w:t xml:space="preserve">Loans provided to Property Funds </w:t>
            </w:r>
            <w:r>
              <w:rPr>
                <w:rFonts w:ascii="Times New Roman" w:cs="Times New Roman" w:eastAsia="Times New Roman" w:hAnsi="Times New Roman"/>
                <w:sz w:val="21"/>
                <w:szCs w:val="21"/>
                <w:color w:val="auto"/>
                <w:vertAlign w:val="superscript"/>
              </w:rPr>
              <w:t>(1)</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2,457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w:t>
            </w:r>
          </w:p>
        </w:tc>
      </w:tr>
      <w:tr>
        <w:trPr>
          <w:trHeight w:val="212"/>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 from Property Funds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6"/>
        </w:trPr>
        <w:tc>
          <w:tcPr>
            <w:tcW w:w="6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1,919</w:t>
            </w:r>
          </w:p>
        </w:tc>
      </w:tr>
      <w:tr>
        <w:trPr>
          <w:trHeight w:val="20"/>
        </w:trPr>
        <w:tc>
          <w:tcPr>
            <w:tcW w:w="6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right="120" w:hanging="430"/>
        <w:spacing w:after="0" w:line="270" w:lineRule="auto"/>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loans provided to JD Technology and Property Funds, the Group charged JD Technology and Property Funds interests, and cash flows resulted from the loans were presented within investing activities in the consolidated statements of cash flows.</w:t>
      </w:r>
    </w:p>
    <w:p>
      <w:pPr>
        <w:spacing w:after="0" w:line="1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020"/>
          </w:cols>
          <w:pgMar w:left="320" w:top="476" w:right="5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126" w:lineRule="exact"/>
        <w:rPr>
          <w:sz w:val="20"/>
          <w:szCs w:val="20"/>
          <w:color w:val="auto"/>
        </w:rPr>
      </w:pPr>
    </w:p>
    <w:p>
      <w:pPr>
        <w:ind w:left="660" w:hanging="430"/>
        <w:spacing w:after="0"/>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had the following balances with the major related parties (Continued):</w:t>
      </w:r>
    </w:p>
    <w:p>
      <w:pPr>
        <w:spacing w:after="0" w:line="110" w:lineRule="exact"/>
        <w:rPr>
          <w:sz w:val="20"/>
          <w:szCs w:val="20"/>
          <w:color w:val="auto"/>
        </w:rPr>
      </w:pPr>
    </w:p>
    <w:p>
      <w:pPr>
        <w:ind w:left="240" w:right="100" w:firstLine="431"/>
        <w:spacing w:after="0" w:line="253" w:lineRule="auto"/>
        <w:rPr>
          <w:sz w:val="20"/>
          <w:szCs w:val="20"/>
          <w:color w:val="auto"/>
        </w:rPr>
      </w:pPr>
      <w:r>
        <w:rPr>
          <w:rFonts w:ascii="Times New Roman" w:cs="Times New Roman" w:eastAsia="Times New Roman" w:hAnsi="Times New Roman"/>
          <w:sz w:val="18"/>
          <w:szCs w:val="18"/>
          <w:color w:val="auto"/>
        </w:rPr>
        <w:t>As of December 31, 2024 and 2025, the amounts due from related parties other than the major related parties as stated above were not significant compared to the Group’s total accounts receivable, net and prepayments and other current assets. As of December 31, 2024 and 2025, the amounts due to related parties other than the major related parties were not significant compared to the Group’s total accounts payable, advance from customers, accrued expenses and other current liabilities, deferred revenues and other non-current liabilities.</w:t>
      </w:r>
    </w:p>
    <w:p>
      <w:pPr>
        <w:spacing w:after="0" w:line="211" w:lineRule="exact"/>
        <w:rPr>
          <w:sz w:val="20"/>
          <w:szCs w:val="20"/>
          <w:color w:val="auto"/>
        </w:rPr>
      </w:pPr>
    </w:p>
    <w:p>
      <w:pPr>
        <w:ind w:left="660" w:hanging="430"/>
        <w:spacing w:after="0"/>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related to related party transactions:</w:t>
      </w:r>
    </w:p>
    <w:p>
      <w:pPr>
        <w:spacing w:after="0" w:line="216" w:lineRule="exact"/>
        <w:rPr>
          <w:sz w:val="20"/>
          <w:szCs w:val="20"/>
          <w:color w:val="auto"/>
        </w:rPr>
      </w:pPr>
    </w:p>
    <w:p>
      <w:pPr>
        <w:ind w:left="240" w:right="60" w:firstLine="431"/>
        <w:spacing w:after="0" w:line="250" w:lineRule="auto"/>
        <w:rPr>
          <w:sz w:val="20"/>
          <w:szCs w:val="20"/>
          <w:color w:val="auto"/>
        </w:rPr>
      </w:pPr>
      <w:r>
        <w:rPr>
          <w:rFonts w:ascii="Times New Roman" w:cs="Times New Roman" w:eastAsia="Times New Roman" w:hAnsi="Times New Roman"/>
          <w:sz w:val="18"/>
          <w:szCs w:val="18"/>
          <w:color w:val="auto"/>
        </w:rPr>
        <w:t>Based on a series of agreements signed on January 1, 2016, JD Technology performs the credit risk assessment and other related services in relation to consumer financing business and obtain the returns from such services, and JD Technology purchases the consumer financing receivables past due over certain agreed period of time from the Group at carrying values without recourse and also agrees to bear other cost in direct relation to the consumer financing business to absorb the risks. In connection with the agreements, the total amount of past-due consumer financing receivable related to the consumer financing business sold from the Group to JD Technology were RMB240 million, RMB176 million and RMB106 million for the years ended December 31, 2023, 2024 and 2025, respectively.</w:t>
      </w:r>
    </w:p>
    <w:p>
      <w:pPr>
        <w:spacing w:after="0" w:line="187" w:lineRule="exact"/>
        <w:rPr>
          <w:sz w:val="20"/>
          <w:szCs w:val="20"/>
          <w:color w:val="auto"/>
        </w:rPr>
      </w:pPr>
    </w:p>
    <w:p>
      <w:pPr>
        <w:ind w:left="240" w:right="120" w:firstLine="431"/>
        <w:spacing w:after="0" w:line="258" w:lineRule="auto"/>
        <w:rPr>
          <w:sz w:val="20"/>
          <w:szCs w:val="20"/>
          <w:color w:val="auto"/>
        </w:rPr>
      </w:pPr>
      <w:r>
        <w:rPr>
          <w:rFonts w:ascii="Times New Roman" w:cs="Times New Roman" w:eastAsia="Times New Roman" w:hAnsi="Times New Roman"/>
          <w:sz w:val="18"/>
          <w:szCs w:val="18"/>
          <w:color w:val="auto"/>
        </w:rPr>
        <w:t>In addition, the Group transfers ownership for some of its accounts receivable originated from qualified corporate customers to JD Technology without recourse. The accounts receivable transferred without recourse were RMB55,028 million, RMB56,202 million and RMB72,032 million for the years ended December 31, 2023, 2024 and 2025, respectively, and were derecognized.</w:t>
      </w:r>
    </w:p>
    <w:p>
      <w:pPr>
        <w:spacing w:after="0" w:line="179" w:lineRule="exact"/>
        <w:rPr>
          <w:sz w:val="20"/>
          <w:szCs w:val="20"/>
          <w:color w:val="auto"/>
        </w:rPr>
      </w:pPr>
    </w:p>
    <w:p>
      <w:pPr>
        <w:ind w:left="240" w:right="40" w:firstLine="431"/>
        <w:spacing w:after="0" w:line="253" w:lineRule="auto"/>
        <w:rPr>
          <w:sz w:val="20"/>
          <w:szCs w:val="20"/>
          <w:color w:val="auto"/>
        </w:rPr>
      </w:pPr>
      <w:r>
        <w:rPr>
          <w:rFonts w:ascii="Times New Roman" w:cs="Times New Roman" w:eastAsia="Times New Roman" w:hAnsi="Times New Roman"/>
          <w:sz w:val="18"/>
          <w:szCs w:val="18"/>
          <w:color w:val="auto"/>
        </w:rPr>
        <w:t>Mr. Richard Qiangdong Liu, the Group’s Chairman of the board since the Group’s inception and the Chief Executive Officer since the Group’s inception to April 2022, has purchased his own aircraft for both business and personal use. The use of the aircraft in connection with the performance of his duty is free of charge to the Group, and the Group has agreed to assume the cost of maintenance, crew and operations of the aircraft relating to the use of the aircraft. Such maintenance and incidental costs were insignificant for all periods presented.</w:t>
      </w:r>
    </w:p>
    <w:p>
      <w:pPr>
        <w:spacing w:after="0" w:line="185" w:lineRule="exact"/>
        <w:rPr>
          <w:sz w:val="20"/>
          <w:szCs w:val="20"/>
          <w:color w:val="auto"/>
        </w:rPr>
      </w:pPr>
    </w:p>
    <w:p>
      <w:pPr>
        <w:ind w:left="240" w:right="20" w:firstLine="431"/>
        <w:spacing w:after="0" w:line="270" w:lineRule="auto"/>
        <w:rPr>
          <w:sz w:val="20"/>
          <w:szCs w:val="20"/>
          <w:color w:val="auto"/>
        </w:rPr>
      </w:pPr>
      <w:r>
        <w:rPr>
          <w:rFonts w:ascii="Times New Roman" w:cs="Times New Roman" w:eastAsia="Times New Roman" w:hAnsi="Times New Roman"/>
          <w:sz w:val="18"/>
          <w:szCs w:val="18"/>
          <w:color w:val="auto"/>
        </w:rPr>
        <w:t>The terms of the agreements with the related parties are determined based on contracted prices negotiated with other parties in normal commercial terms.</w:t>
      </w:r>
    </w:p>
    <w:p>
      <w:pPr>
        <w:spacing w:after="0" w:line="312" w:lineRule="exact"/>
        <w:rPr>
          <w:sz w:val="20"/>
          <w:szCs w:val="20"/>
          <w:color w:val="auto"/>
        </w:rPr>
      </w:pPr>
    </w:p>
    <w:p>
      <w:pPr>
        <w:ind w:left="660" w:hanging="430"/>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2" w:lineRule="exact"/>
        <w:rPr>
          <w:sz w:val="20"/>
          <w:szCs w:val="20"/>
          <w:color w:val="auto"/>
        </w:rPr>
      </w:pPr>
    </w:p>
    <w:p>
      <w:pPr>
        <w:ind w:left="240" w:right="40" w:firstLine="431"/>
        <w:spacing w:after="0" w:line="250" w:lineRule="auto"/>
        <w:rPr>
          <w:sz w:val="20"/>
          <w:szCs w:val="20"/>
          <w:color w:val="auto"/>
        </w:rPr>
      </w:pPr>
      <w:r>
        <w:rPr>
          <w:rFonts w:ascii="Times New Roman" w:cs="Times New Roman" w:eastAsia="Times New Roman" w:hAnsi="Times New Roman"/>
          <w:sz w:val="18"/>
          <w:szCs w:val="18"/>
          <w:color w:val="auto"/>
        </w:rPr>
        <w:t>The Group derives the results of the segments directly from its internal management reporting system. The CODM measures the performance of each segment based on metrics of revenues and earnings from operations and uses these results to evaluate the performance of, and to allocate resources to, each of the segments. The Group currently does not allocate assets, share-based compensation expenses, impairment of goodwill and intangible assets and certain operating expenses to its segments, as the CODM does not use such information to allocate resources to or evaluate the performance of the operating segments. As most of the Group’s long-lived assets are located in the PRC and most of the Group’s revenues are derived from the PRC, no geographical information is presented.</w:t>
      </w:r>
    </w:p>
    <w:p>
      <w:pPr>
        <w:spacing w:after="0" w:line="187"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As disclosed in Note 2(nn), from the first quarter of 2024, the Company started to report three reportable segments, JD Retail, JD Logistics and New Businesses, to reflect changes made to the reporting structure whose financial information is reviewed by the CODM under its ongoing operating strategies. The Company allocates to segment results the operating expenses “Fulfillment”, “Marketing”, “Research and development” and “General and administrative” based on usage, which is generally reflected in the segment in which the expenses are incurred. The CODM manages the business primarily by reviewing consolidated results by segment on a quarterly basis, and using those results along with forecasts and other non-financial information in the Company’s annual financing planning process. The prior periods’ segment operating results have been retrospectively recast in 2024 to conform to current period presentation.</w:t>
      </w:r>
    </w:p>
    <w:p>
      <w:pPr>
        <w:spacing w:after="0" w:line="1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000"/>
          </w:cols>
          <w:pgMar w:left="320" w:top="476" w:right="5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238"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28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6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JD Retail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945,343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1,015,948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1,126,399</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JD Logistics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217,146</w:t>
            </w: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Businesses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49,282</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ind w:left="340"/>
              <w:spacing w:after="0" w:line="212"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1"/>
                <w:szCs w:val="21"/>
                <w:color w:val="auto"/>
                <w:vertAlign w:val="superscript"/>
              </w:rPr>
              <w:t>(1)</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(53,923)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(59,123)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(83,742)</w:t>
            </w:r>
          </w:p>
        </w:tc>
      </w:tr>
      <w:tr>
        <w:trPr>
          <w:trHeight w:val="21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net revenues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1,084,662</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1,158,819</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1,309,085</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cost of revenues: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JD Retail</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(798,380)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(847,917)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(928,261)</w:t>
            </w:r>
          </w:p>
        </w:tc>
      </w:tr>
      <w:tr>
        <w:trPr>
          <w:trHeight w:val="212"/>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JD Logistics</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(154,494)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(164,689)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(198,039)</w:t>
            </w: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Businesses</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(21,004)</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(15,109)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(49,995)</w:t>
            </w:r>
          </w:p>
        </w:tc>
      </w:tr>
      <w:tr>
        <w:trPr>
          <w:trHeight w:val="212"/>
        </w:trPr>
        <w:tc>
          <w:tcPr>
            <w:tcW w:w="6260" w:type="dxa"/>
            <w:vAlign w:val="bottom"/>
            <w:shd w:val="clear" w:color="auto" w:fill="CCEEFF"/>
          </w:tcPr>
          <w:p>
            <w:pPr>
              <w:ind w:left="340"/>
              <w:spacing w:after="0" w:line="212"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77,325</w:t>
            </w: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Less: operating expenses</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JD Retail</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(111,038)</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(126,954)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(146,736)</w:t>
            </w: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JD Logistics</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(11,126)</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(11,831)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(13,838)</w:t>
            </w:r>
          </w:p>
        </w:tc>
      </w:tr>
      <w:tr>
        <w:trPr>
          <w:trHeight w:val="212"/>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Businesses</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(7,102)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(7,413)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(46,315)</w:t>
            </w:r>
          </w:p>
        </w:tc>
      </w:tr>
      <w:tr>
        <w:trPr>
          <w:trHeight w:val="212"/>
        </w:trPr>
        <w:tc>
          <w:tcPr>
            <w:tcW w:w="6260" w:type="dxa"/>
            <w:vAlign w:val="bottom"/>
          </w:tcPr>
          <w:p>
            <w:pPr>
              <w:ind w:left="340"/>
              <w:spacing w:after="0" w:line="212" w:lineRule="exact"/>
              <w:rPr>
                <w:sz w:val="20"/>
                <w:szCs w:val="20"/>
                <w:color w:val="auto"/>
              </w:rPr>
            </w:pPr>
            <w:r>
              <w:rPr>
                <w:rFonts w:ascii="Times New Roman" w:cs="Times New Roman" w:eastAsia="Times New Roman" w:hAnsi="Times New Roman"/>
                <w:sz w:val="18"/>
                <w:szCs w:val="18"/>
                <w:color w:val="auto"/>
              </w:rPr>
              <w:t>Inter-segment eliminations</w:t>
            </w:r>
            <w:r>
              <w:rPr>
                <w:rFonts w:ascii="Times New Roman" w:cs="Times New Roman" w:eastAsia="Times New Roman" w:hAnsi="Times New Roman"/>
                <w:sz w:val="21"/>
                <w:szCs w:val="21"/>
                <w:color w:val="auto"/>
                <w:vertAlign w:val="superscript"/>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JD Retail</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JD Logistics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Businesses</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(46,641)</w:t>
            </w:r>
          </w:p>
        </w:tc>
      </w:tr>
      <w:tr>
        <w:trPr>
          <w:trHeight w:val="212"/>
        </w:trPr>
        <w:tc>
          <w:tcPr>
            <w:tcW w:w="6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Including:</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ind w:left="780"/>
              <w:spacing w:after="0"/>
              <w:rPr>
                <w:sz w:val="20"/>
                <w:szCs w:val="20"/>
                <w:color w:val="auto"/>
              </w:rPr>
            </w:pPr>
            <w:r>
              <w:rPr>
                <w:rFonts w:ascii="Times New Roman" w:cs="Times New Roman" w:eastAsia="Times New Roman" w:hAnsi="Times New Roman"/>
                <w:sz w:val="18"/>
                <w:szCs w:val="18"/>
                <w:i w:val="1"/>
                <w:iCs w:val="1"/>
                <w:color w:val="auto"/>
              </w:rPr>
              <w:t>Gain on sale of development properties (Note 17)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2,283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1,527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387</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(1,123)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(1,027)</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— </w:t>
            </w:r>
          </w:p>
        </w:tc>
      </w:tr>
      <w:tr>
        <w:trPr>
          <w:trHeight w:val="21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income from operations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36,601</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44,529</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spacing w:after="0" w:line="212" w:lineRule="exact"/>
              <w:rPr>
                <w:sz w:val="20"/>
                <w:szCs w:val="20"/>
                <w:color w:val="auto"/>
              </w:rPr>
            </w:pPr>
            <w:r>
              <w:rPr>
                <w:rFonts w:ascii="Times New Roman" w:cs="Times New Roman" w:eastAsia="Times New Roman" w:hAnsi="Times New Roman"/>
                <w:sz w:val="18"/>
                <w:szCs w:val="18"/>
                <w:color w:val="auto"/>
              </w:rPr>
              <w:t>Unallocated items</w:t>
            </w:r>
            <w:r>
              <w:rPr>
                <w:rFonts w:ascii="Times New Roman" w:cs="Times New Roman" w:eastAsia="Times New Roman" w:hAnsi="Times New Roman"/>
                <w:sz w:val="21"/>
                <w:szCs w:val="21"/>
                <w:color w:val="auto"/>
                <w:vertAlign w:val="superscript"/>
              </w:rPr>
              <w:t>(3)</w:t>
            </w:r>
          </w:p>
        </w:tc>
        <w:tc>
          <w:tcPr>
            <w:tcW w:w="9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(10,576)</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(7,256)</w:t>
            </w:r>
          </w:p>
        </w:tc>
      </w:tr>
      <w:tr>
        <w:trPr>
          <w:trHeight w:val="21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from operations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38,736</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8"/>
                <w:szCs w:val="18"/>
                <w:color w:val="auto"/>
              </w:rPr>
            </w:pPr>
          </w:p>
        </w:tc>
      </w:tr>
      <w:tr>
        <w:trPr>
          <w:trHeight w:val="21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100" w:type="dxa"/>
            <w:vAlign w:val="bottom"/>
            <w:shd w:val="clear" w:color="auto" w:fill="CCEEFF"/>
          </w:tcPr>
          <w:p>
            <w:pPr>
              <w:spacing w:after="0"/>
              <w:rPr>
                <w:sz w:val="18"/>
                <w:szCs w:val="18"/>
                <w:color w:val="auto"/>
              </w:rPr>
            </w:pPr>
          </w:p>
        </w:tc>
      </w:tr>
      <w:tr>
        <w:trPr>
          <w:trHeight w:val="212"/>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(2,881)</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(2,803)</w:t>
            </w:r>
          </w:p>
        </w:tc>
      </w:tr>
      <w:tr>
        <w:trPr>
          <w:trHeight w:val="21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net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17,327</w:t>
            </w:r>
          </w:p>
        </w:tc>
        <w:tc>
          <w:tcPr>
            <w:tcW w:w="100" w:type="dxa"/>
            <w:vAlign w:val="bottom"/>
            <w:shd w:val="clear" w:color="auto" w:fill="CCEEFF"/>
          </w:tcPr>
          <w:p>
            <w:pPr>
              <w:spacing w:after="0"/>
              <w:rPr>
                <w:sz w:val="18"/>
                <w:szCs w:val="18"/>
                <w:color w:val="auto"/>
              </w:rPr>
            </w:pPr>
          </w:p>
        </w:tc>
      </w:tr>
      <w:tr>
        <w:trPr>
          <w:trHeight w:val="21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before tax</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51,538</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25,323</w:t>
            </w:r>
          </w:p>
        </w:tc>
        <w:tc>
          <w:tcPr>
            <w:tcW w:w="10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hanging="430"/>
        <w:spacing w:after="0" w:line="250" w:lineRule="auto"/>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inter-segment eliminations mainly consist of revenues from supply chain solutions and logistics services provided by JD Logistics to JD Retail and New Businesses and property leasing services provided by JD Property to JD Logistics. Transactions between segments are mainly determined based on the arm’s length basis. Among them, net revenues generated from the services provided by JD Logistics to other reportable segments were RMB50,063 million, RMB55,062 million and RMB80,314 million for the years ended December 31, 2023, 2024 and 2025, respectively. Other than that, inter-segment net revenues for JD Retail and New Businesses were not material. All net revenues from each reportable segment were generated from external customers except for the inter-segment net revenues mentioned above.</w:t>
      </w:r>
    </w:p>
    <w:p>
      <w:pPr>
        <w:spacing w:after="0" w:line="213" w:lineRule="exact"/>
        <w:rPr>
          <w:rFonts w:ascii="Times New Roman" w:cs="Times New Roman" w:eastAsia="Times New Roman" w:hAnsi="Times New Roman"/>
          <w:sz w:val="18"/>
          <w:szCs w:val="18"/>
          <w:color w:val="auto"/>
        </w:rPr>
      </w:pPr>
    </w:p>
    <w:p>
      <w:pPr>
        <w:ind w:left="660" w:hanging="430"/>
        <w:spacing w:after="0" w:line="207" w:lineRule="exact"/>
        <w:tabs>
          <w:tab w:leader="none" w:pos="6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depreciation and amortization expenses for the years presented is as follows</w:t>
      </w:r>
      <w:r>
        <w:rPr>
          <w:rFonts w:ascii="MS PGothic" w:cs="MS PGothic" w:eastAsia="MS PGothic" w:hAnsi="MS PGothic"/>
          <w:sz w:val="15"/>
          <w:szCs w:val="15"/>
          <w:color w:val="auto"/>
        </w:rPr>
        <w:t>：</w:t>
      </w:r>
    </w:p>
    <w:p>
      <w:pPr>
        <w:spacing w:after="0" w:line="249"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63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39"/>
        </w:trPr>
        <w:tc>
          <w:tcPr>
            <w:tcW w:w="27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30"/>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top w:val="single" w:sz="8" w:color="auto"/>
              <w:bottom w:val="single" w:sz="8" w:color="auto"/>
            </w:tcBorders>
          </w:tcPr>
          <w:p>
            <w:pPr>
              <w:jc w:val="right"/>
              <w:ind w:right="35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jc w:val="right"/>
              <w:ind w:right="76"/>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39"/>
        </w:trPr>
        <w:tc>
          <w:tcPr>
            <w:tcW w:w="27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4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JD Retail</w:t>
            </w:r>
          </w:p>
        </w:tc>
        <w:tc>
          <w:tcPr>
            <w:tcW w:w="4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w:t>
            </w: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(978)</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(1,655)</w:t>
            </w:r>
          </w:p>
        </w:tc>
      </w:tr>
      <w:tr>
        <w:trPr>
          <w:trHeight w:val="21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JD Logistics</w:t>
            </w:r>
          </w:p>
        </w:tc>
        <w:tc>
          <w:tcPr>
            <w:tcW w:w="4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(4,346)</w:t>
            </w: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(4,650)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(5,102)</w:t>
            </w:r>
          </w:p>
        </w:tc>
      </w:tr>
      <w:tr>
        <w:trPr>
          <w:trHeight w:val="212"/>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Businesses</w:t>
            </w:r>
          </w:p>
        </w:tc>
        <w:tc>
          <w:tcPr>
            <w:tcW w:w="4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(2,071)</w:t>
            </w: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(2,266)</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(1,944)</w:t>
            </w:r>
          </w:p>
        </w:tc>
      </w:tr>
      <w:tr>
        <w:trPr>
          <w:trHeight w:val="356"/>
        </w:trPr>
        <w:tc>
          <w:tcPr>
            <w:tcW w:w="2760" w:type="dxa"/>
            <w:vAlign w:val="bottom"/>
          </w:tcPr>
          <w:p>
            <w:pPr>
              <w:spacing w:after="0"/>
              <w:rPr>
                <w:sz w:val="24"/>
                <w:szCs w:val="24"/>
                <w:color w:val="auto"/>
              </w:rPr>
            </w:pPr>
          </w:p>
        </w:tc>
        <w:tc>
          <w:tcPr>
            <w:tcW w:w="4880" w:type="dxa"/>
            <w:vAlign w:val="bottom"/>
            <w:gridSpan w:val="2"/>
          </w:tcPr>
          <w:p>
            <w:pPr>
              <w:jc w:val="right"/>
              <w:ind w:right="2870"/>
              <w:spacing w:after="0"/>
              <w:rPr>
                <w:sz w:val="20"/>
                <w:szCs w:val="20"/>
                <w:color w:val="auto"/>
              </w:rPr>
            </w:pPr>
            <w:r>
              <w:rPr>
                <w:rFonts w:ascii="Times New Roman" w:cs="Times New Roman" w:eastAsia="Times New Roman" w:hAnsi="Times New Roman"/>
                <w:sz w:val="18"/>
                <w:szCs w:val="18"/>
                <w:color w:val="auto"/>
              </w:rPr>
              <w:t>F-70</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20"/>
          </w:cols>
          <w:pgMar w:left="320" w:top="476" w:right="7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(Continued)</w:t>
      </w:r>
    </w:p>
    <w:p>
      <w:pPr>
        <w:spacing w:after="0" w:line="126" w:lineRule="exact"/>
        <w:rPr>
          <w:sz w:val="20"/>
          <w:szCs w:val="20"/>
          <w:color w:val="auto"/>
        </w:rPr>
      </w:pPr>
    </w:p>
    <w:p>
      <w:pPr>
        <w:ind w:left="660" w:hanging="430"/>
        <w:spacing w:after="0" w:line="207" w:lineRule="exact"/>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unallocated items for the years presented is as follows</w:t>
      </w:r>
      <w:r>
        <w:rPr>
          <w:rFonts w:ascii="MS PGothic" w:cs="MS PGothic" w:eastAsia="MS PGothic" w:hAnsi="MS PGothic"/>
          <w:sz w:val="15"/>
          <w:szCs w:val="15"/>
          <w:color w:val="auto"/>
        </w:rPr>
        <w:t>：</w:t>
      </w:r>
    </w:p>
    <w:p>
      <w:pPr>
        <w:spacing w:after="0" w:line="249" w:lineRule="exact"/>
        <w:rPr>
          <w:sz w:val="20"/>
          <w:szCs w:val="20"/>
          <w:color w:val="auto"/>
        </w:rPr>
      </w:pPr>
    </w:p>
    <w:tbl>
      <w:tblPr>
        <w:tblLayout w:type="fixed"/>
        <w:tblInd w:w="11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140" w:type="dxa"/>
            <w:vAlign w:val="bottom"/>
            <w:gridSpan w:val="7"/>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r>
      <w:tr>
        <w:trPr>
          <w:trHeight w:val="139"/>
        </w:trPr>
        <w:tc>
          <w:tcPr>
            <w:tcW w:w="69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39"/>
        </w:trPr>
        <w:tc>
          <w:tcPr>
            <w:tcW w:w="6920" w:type="dxa"/>
            <w:vAlign w:val="bottom"/>
          </w:tcPr>
          <w:p>
            <w:pPr>
              <w:spacing w:after="0"/>
              <w:rPr>
                <w:sz w:val="12"/>
                <w:szCs w:val="12"/>
                <w:color w:val="auto"/>
              </w:rPr>
            </w:pPr>
          </w:p>
        </w:tc>
        <w:tc>
          <w:tcPr>
            <w:tcW w:w="1560" w:type="dxa"/>
            <w:vAlign w:val="bottom"/>
            <w:gridSpan w:val="5"/>
          </w:tcPr>
          <w:p>
            <w:pPr>
              <w:jc w:val="center"/>
              <w:ind w:left="378"/>
              <w:spacing w:after="0" w:line="139" w:lineRule="exact"/>
              <w:rPr>
                <w:sz w:val="20"/>
                <w:szCs w:val="20"/>
                <w:color w:val="auto"/>
              </w:rPr>
            </w:pPr>
            <w:r>
              <w:rPr>
                <w:rFonts w:ascii="Times New Roman" w:cs="Times New Roman" w:eastAsia="Times New Roman" w:hAnsi="Times New Roman"/>
                <w:sz w:val="14"/>
                <w:szCs w:val="14"/>
                <w:b w:val="1"/>
                <w:bCs w:val="1"/>
                <w:color w:val="auto"/>
              </w:rPr>
              <w:t>(RMB 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(4,804)</w:t>
            </w:r>
          </w:p>
        </w:tc>
        <w:tc>
          <w:tcPr>
            <w:tcW w:w="7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(2,999)</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5"/>
              </w:rPr>
              <w:t>(4,726)</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resulting from assets and business acquisitions</w:t>
            </w:r>
          </w:p>
        </w:tc>
        <w:tc>
          <w:tcPr>
            <w:tcW w:w="8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(1,281)</w:t>
            </w:r>
          </w:p>
        </w:tc>
        <w:tc>
          <w:tcPr>
            <w:tcW w:w="7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(1,010)</w:t>
            </w:r>
          </w:p>
        </w:tc>
        <w:tc>
          <w:tcPr>
            <w:tcW w:w="4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(1,046)</w:t>
            </w: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business cooperation arrangements</w:t>
            </w:r>
          </w:p>
        </w:tc>
        <w:tc>
          <w:tcPr>
            <w:tcW w:w="8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(446)</w:t>
            </w:r>
          </w:p>
        </w:tc>
        <w:tc>
          <w:tcPr>
            <w:tcW w:w="7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(450)</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w:t>
            </w:r>
          </w:p>
        </w:tc>
      </w:tr>
      <w:tr>
        <w:trPr>
          <w:trHeight w:val="212"/>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80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(3,143)</w:t>
            </w:r>
          </w:p>
        </w:tc>
        <w:tc>
          <w:tcPr>
            <w:tcW w:w="7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(799)</w:t>
            </w:r>
          </w:p>
        </w:tc>
        <w:tc>
          <w:tcPr>
            <w:tcW w:w="40" w:type="dxa"/>
            <w:vAlign w:val="bottom"/>
          </w:tcPr>
          <w:p>
            <w:pPr>
              <w:spacing w:after="0"/>
              <w:rPr>
                <w:sz w:val="18"/>
                <w:szCs w:val="18"/>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5"/>
              </w:rPr>
              <w:t>(1,303)</w:t>
            </w:r>
          </w:p>
        </w:tc>
      </w:tr>
      <w:tr>
        <w:trPr>
          <w:trHeight w:val="212"/>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80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(902)</w:t>
            </w:r>
          </w:p>
        </w:tc>
        <w:tc>
          <w:tcPr>
            <w:tcW w:w="7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(535)</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— </w:t>
            </w:r>
          </w:p>
        </w:tc>
      </w:tr>
      <w:tr>
        <w:trPr>
          <w:trHeight w:val="218"/>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(7,256</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69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ind w:left="660" w:hanging="430"/>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w:t>
      </w:r>
    </w:p>
    <w:p>
      <w:pPr>
        <w:spacing w:after="0" w:line="112" w:lineRule="exact"/>
        <w:rPr>
          <w:sz w:val="20"/>
          <w:szCs w:val="20"/>
          <w:color w:val="auto"/>
        </w:rPr>
      </w:pPr>
    </w:p>
    <w:p>
      <w:pPr>
        <w:jc w:val="both"/>
        <w:ind w:left="240" w:firstLine="431"/>
        <w:spacing w:after="0" w:line="267" w:lineRule="auto"/>
        <w:rPr>
          <w:sz w:val="20"/>
          <w:szCs w:val="20"/>
          <w:color w:val="auto"/>
        </w:rPr>
      </w:pPr>
      <w:r>
        <w:rPr>
          <w:rFonts w:ascii="Times New Roman" w:cs="Times New Roman" w:eastAsia="Times New Roman" w:hAnsi="Times New Roman"/>
          <w:sz w:val="17"/>
          <w:szCs w:val="17"/>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consolidated VIEs of the Group make contributions to the government for these benefits based on certain percentages of the employees’ salaries, up to a maximum amount specified by the local government. The Group has no legal obligation for the benefits beyond the contributions made. The total amounts for such employee benefit expenses recorded in cost of revenues and expenses, which were expensed as incurred, were approximately RMB12,659 million, RMB14,220 million and RMB18,200 million for the years ended December 31, 2023, 2024 and 2025, respectively.</w:t>
      </w:r>
    </w:p>
    <w:p>
      <w:pPr>
        <w:spacing w:after="0" w:line="319" w:lineRule="exact"/>
        <w:rPr>
          <w:sz w:val="20"/>
          <w:szCs w:val="20"/>
          <w:color w:val="auto"/>
        </w:rPr>
      </w:pPr>
    </w:p>
    <w:p>
      <w:pPr>
        <w:ind w:left="660" w:hanging="430"/>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Debts and lines of credit</w:t>
      </w:r>
    </w:p>
    <w:p>
      <w:pPr>
        <w:spacing w:after="0" w:line="11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the Group’s debts were classified into different types as follows:</w:t>
      </w:r>
    </w:p>
    <w:p>
      <w:pPr>
        <w:spacing w:after="0" w:line="236"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3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9"/>
        </w:trPr>
        <w:tc>
          <w:tcPr>
            <w:tcW w:w="68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gridSpan w:val="2"/>
          </w:tcPr>
          <w:p>
            <w:pPr>
              <w:jc w:val="right"/>
              <w:ind w:right="32"/>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r>
      <w:tr>
        <w:trPr>
          <w:trHeight w:val="139"/>
        </w:trPr>
        <w:tc>
          <w:tcPr>
            <w:tcW w:w="6860" w:type="dxa"/>
            <w:vAlign w:val="bottom"/>
          </w:tcPr>
          <w:p>
            <w:pPr>
              <w:spacing w:after="0"/>
              <w:rPr>
                <w:sz w:val="12"/>
                <w:szCs w:val="12"/>
                <w:color w:val="auto"/>
              </w:rPr>
            </w:pPr>
          </w:p>
        </w:tc>
        <w:tc>
          <w:tcPr>
            <w:tcW w:w="128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60" w:type="dxa"/>
            <w:vAlign w:val="bottom"/>
          </w:tcPr>
          <w:p>
            <w:pPr>
              <w:spacing w:after="0"/>
              <w:rPr>
                <w:sz w:val="12"/>
                <w:szCs w:val="12"/>
                <w:color w:val="auto"/>
              </w:rPr>
            </w:pPr>
          </w:p>
        </w:tc>
      </w:tr>
      <w:tr>
        <w:trPr>
          <w:trHeight w:val="21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7,581</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8,014</w:t>
            </w:r>
          </w:p>
        </w:tc>
      </w:tr>
      <w:tr>
        <w:trPr>
          <w:trHeight w:val="212"/>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debts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4,817</w:t>
            </w:r>
          </w:p>
        </w:tc>
      </w:tr>
      <w:tr>
        <w:trPr>
          <w:trHeight w:val="212"/>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debts due within one year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w:t>
            </w:r>
          </w:p>
        </w:tc>
      </w:tr>
      <w:tr>
        <w:trPr>
          <w:trHeight w:val="21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debts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31,705</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41,675</w:t>
            </w:r>
          </w:p>
        </w:tc>
      </w:tr>
      <w:tr>
        <w:trPr>
          <w:trHeight w:val="21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3" w:lineRule="exact"/>
        <w:rPr>
          <w:sz w:val="20"/>
          <w:szCs w:val="20"/>
          <w:color w:val="auto"/>
        </w:rPr>
      </w:pPr>
    </w:p>
    <w:p>
      <w:pPr>
        <w:ind w:left="660" w:right="280" w:hanging="430"/>
        <w:spacing w:after="0" w:line="255" w:lineRule="auto"/>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all short-term debts were unsecured, and the weighted average interest rate for the outstanding short-term debts was 1.7% per annum.</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As of December 31, 2025, the major long-term debts were listed as below.</w:t>
      </w:r>
    </w:p>
    <w:p>
      <w:pPr>
        <w:spacing w:after="0" w:line="199" w:lineRule="exact"/>
        <w:rPr>
          <w:sz w:val="20"/>
          <w:szCs w:val="20"/>
          <w:color w:val="auto"/>
        </w:rPr>
      </w:pPr>
    </w:p>
    <w:p>
      <w:pPr>
        <w:ind w:left="240" w:right="140" w:firstLine="431"/>
        <w:spacing w:after="0" w:line="280" w:lineRule="auto"/>
        <w:rPr>
          <w:sz w:val="20"/>
          <w:szCs w:val="20"/>
          <w:color w:val="auto"/>
        </w:rPr>
      </w:pPr>
      <w:r>
        <w:rPr>
          <w:rFonts w:ascii="Times New Roman" w:cs="Times New Roman" w:eastAsia="Times New Roman" w:hAnsi="Times New Roman"/>
          <w:sz w:val="17"/>
          <w:szCs w:val="17"/>
          <w:color w:val="auto"/>
        </w:rPr>
        <w:t>In December 2023, the Group entered into a RMB8,500 million term loan agreement with interest rate at 65 basis points below Loan Prime Rate (“LPR”) to refinance the loan and drew down RMB8,286 million, which was expected to be repaid through December 2028 in installments. As of December 31, 2025, the Group had RMB7,966 million long-term borrowings, among which RMB249 million was repayable within one year.</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00"/>
          </w:cols>
          <w:pgMar w:left="320" w:top="476" w:right="5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Debts and lines of credit (Continued)</w:t>
      </w:r>
    </w:p>
    <w:p>
      <w:pPr>
        <w:spacing w:after="0" w:line="112" w:lineRule="exact"/>
        <w:rPr>
          <w:sz w:val="20"/>
          <w:szCs w:val="20"/>
          <w:color w:val="auto"/>
        </w:rPr>
      </w:pPr>
    </w:p>
    <w:p>
      <w:pPr>
        <w:ind w:left="240" w:firstLine="431"/>
        <w:spacing w:after="0" w:line="250" w:lineRule="auto"/>
        <w:rPr>
          <w:sz w:val="20"/>
          <w:szCs w:val="20"/>
          <w:color w:val="auto"/>
        </w:rPr>
      </w:pPr>
      <w:r>
        <w:rPr>
          <w:rFonts w:ascii="Times New Roman" w:cs="Times New Roman" w:eastAsia="Times New Roman" w:hAnsi="Times New Roman"/>
          <w:sz w:val="18"/>
          <w:szCs w:val="18"/>
          <w:color w:val="auto"/>
        </w:rPr>
        <w:t>In December 2021, the Group entered into a five-year US$2,000 million unsecured term and revolving loan facility with 5 lead arrangers. The term and revolving loans under this facility were priced at 85 basis points over London Interbank Offered Rate, which was amended to the secured overnight financing rate (“SOFR”) in September 2022. In the second quarter of 2022, the Group drew down US$1,000 million under the facility commitment, which will be due in 2027 and was further extended to 2030 in January 2025. As of December 31, 2025, the Group had RMB7,029 million long-term borrowings and the undrawn balance was US$1,000 million under the credit facilities agreement. Subsequently in March 2026, all outstanding balances of the borrowings was early repaid in full.</w:t>
      </w:r>
    </w:p>
    <w:p>
      <w:pPr>
        <w:spacing w:after="0" w:line="187" w:lineRule="exact"/>
        <w:rPr>
          <w:sz w:val="20"/>
          <w:szCs w:val="20"/>
          <w:color w:val="auto"/>
        </w:rPr>
      </w:pPr>
    </w:p>
    <w:p>
      <w:pPr>
        <w:ind w:left="240" w:right="180" w:firstLine="431"/>
        <w:spacing w:after="0" w:line="253" w:lineRule="auto"/>
        <w:rPr>
          <w:sz w:val="20"/>
          <w:szCs w:val="20"/>
          <w:color w:val="auto"/>
        </w:rPr>
      </w:pPr>
      <w:r>
        <w:rPr>
          <w:rFonts w:ascii="Times New Roman" w:cs="Times New Roman" w:eastAsia="Times New Roman" w:hAnsi="Times New Roman"/>
          <w:sz w:val="18"/>
          <w:szCs w:val="18"/>
          <w:color w:val="auto"/>
        </w:rPr>
        <w:t>In December 2022, the Group entered into a seven-year RMB3,000 million term loan facility agreement. The term loans under this facility were priced at 145 basis points below LPR. The Group drew down RMB2,000 million and RMB1,000 million under the facility commitment in December 2022 and December 2023, respectively. In 2025, the Group repaid borrowings of RMB180 million. As of December 31, 2025, the Group had RMB2,760 million long-term borrowings, among which RMB180 million was repayable within one year.</w:t>
      </w:r>
    </w:p>
    <w:p>
      <w:pPr>
        <w:spacing w:after="0" w:line="185" w:lineRule="exact"/>
        <w:rPr>
          <w:sz w:val="20"/>
          <w:szCs w:val="20"/>
          <w:color w:val="auto"/>
        </w:rPr>
      </w:pPr>
    </w:p>
    <w:p>
      <w:pPr>
        <w:ind w:left="240" w:right="40" w:firstLine="431"/>
        <w:spacing w:after="0" w:line="273" w:lineRule="auto"/>
        <w:rPr>
          <w:sz w:val="20"/>
          <w:szCs w:val="20"/>
          <w:color w:val="auto"/>
        </w:rPr>
      </w:pPr>
      <w:r>
        <w:rPr>
          <w:rFonts w:ascii="Times New Roman" w:cs="Times New Roman" w:eastAsia="Times New Roman" w:hAnsi="Times New Roman"/>
          <w:sz w:val="17"/>
          <w:szCs w:val="17"/>
          <w:color w:val="auto"/>
        </w:rPr>
        <w:t>In 2025, the Group was granted approval by the China Securities Regulatory Commission of issuing public offering corporate bonds to professional investors with an aggregate registered principal amount of up to RMB10,000 million. During the year ended December 31, 2025, RMB6,000 million was issued in three tranches under the program, with coupon rates ranging from 1.55% to 1.87% per annum and tenors ranging from 1 to 5 years. As of December 31, 2025, the Group had RMB2,000 million short-term debts and RMB4,000 million long-term debts, respectively.</w:t>
      </w:r>
    </w:p>
    <w:p>
      <w:pPr>
        <w:spacing w:after="0" w:line="168" w:lineRule="exact"/>
        <w:rPr>
          <w:sz w:val="20"/>
          <w:szCs w:val="20"/>
          <w:color w:val="auto"/>
        </w:rPr>
      </w:pPr>
    </w:p>
    <w:p>
      <w:pPr>
        <w:ind w:left="240" w:right="160" w:firstLine="431"/>
        <w:spacing w:after="0" w:line="258" w:lineRule="auto"/>
        <w:rPr>
          <w:sz w:val="20"/>
          <w:szCs w:val="20"/>
          <w:color w:val="auto"/>
        </w:rPr>
      </w:pPr>
      <w:r>
        <w:rPr>
          <w:rFonts w:ascii="Times New Roman" w:cs="Times New Roman" w:eastAsia="Times New Roman" w:hAnsi="Times New Roman"/>
          <w:sz w:val="18"/>
          <w:szCs w:val="18"/>
          <w:color w:val="auto"/>
        </w:rPr>
        <w:t>As of December 31, 2025, in addition to the above unsecured long-term debts, RMB19,933 million debts were recorded in long-term debts, including the portion due within one year, with collateral of RMB38,138 million which mainly comprised construction in progress, buildings, land use rights and certain subsidiary’s equity interests measured at fair value.</w:t>
      </w:r>
    </w:p>
    <w:p>
      <w:pPr>
        <w:spacing w:after="0" w:line="179" w:lineRule="exact"/>
        <w:rPr>
          <w:sz w:val="20"/>
          <w:szCs w:val="20"/>
          <w:color w:val="auto"/>
        </w:rPr>
      </w:pPr>
    </w:p>
    <w:p>
      <w:pPr>
        <w:ind w:left="240" w:right="44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2025, the long-term debts, including the portion due within one year which were recorded in “short-term debts”, will be repaid according to the following schedule:</w:t>
      </w:r>
    </w:p>
    <w:p>
      <w:pPr>
        <w:spacing w:after="0" w:line="17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0"/>
        </w:trPr>
        <w:tc>
          <w:tcPr>
            <w:tcW w:w="61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39"/>
        </w:trPr>
        <w:tc>
          <w:tcPr>
            <w:tcW w:w="61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(RMB in millions)</w:t>
            </w:r>
          </w:p>
        </w:tc>
        <w:tc>
          <w:tcPr>
            <w:tcW w:w="40" w:type="dxa"/>
            <w:vAlign w:val="bottom"/>
          </w:tcPr>
          <w:p>
            <w:pPr>
              <w:spacing w:after="0"/>
              <w:rPr>
                <w:sz w:val="12"/>
                <w:szCs w:val="12"/>
                <w:color w:val="auto"/>
              </w:rPr>
            </w:pP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3,197</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13,111</w:t>
            </w:r>
          </w:p>
        </w:tc>
      </w:tr>
      <w:tr>
        <w:trPr>
          <w:trHeight w:val="21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r>
      <w:tr>
        <w:trPr>
          <w:trHeight w:val="212"/>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9,667</w:t>
            </w:r>
          </w:p>
        </w:tc>
      </w:tr>
      <w:tr>
        <w:trPr>
          <w:trHeight w:val="21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40" w:type="dxa"/>
            <w:vAlign w:val="bottom"/>
          </w:tcPr>
          <w:p>
            <w:pPr>
              <w:spacing w:after="0"/>
              <w:rPr>
                <w:sz w:val="18"/>
                <w:szCs w:val="18"/>
                <w:color w:val="auto"/>
              </w:rPr>
            </w:pPr>
          </w:p>
        </w:tc>
      </w:tr>
      <w:tr>
        <w:trPr>
          <w:trHeight w:val="212"/>
        </w:trPr>
        <w:tc>
          <w:tcPr>
            <w:tcW w:w="6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44,872</w:t>
            </w:r>
          </w:p>
        </w:tc>
      </w:tr>
      <w:tr>
        <w:trPr>
          <w:trHeight w:val="20"/>
        </w:trPr>
        <w:tc>
          <w:tcPr>
            <w:tcW w:w="6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right="20" w:firstLine="431"/>
        <w:spacing w:after="0" w:line="253" w:lineRule="auto"/>
        <w:rPr>
          <w:sz w:val="20"/>
          <w:szCs w:val="20"/>
          <w:color w:val="auto"/>
        </w:rPr>
      </w:pPr>
      <w:r>
        <w:rPr>
          <w:rFonts w:ascii="Times New Roman" w:cs="Times New Roman" w:eastAsia="Times New Roman" w:hAnsi="Times New Roman"/>
          <w:sz w:val="18"/>
          <w:szCs w:val="18"/>
          <w:color w:val="auto"/>
        </w:rPr>
        <w:t>As of December 31, 2025, the Group had agreements with reputable commercial banks for unsecured revolving lines of credit, and increased its revolving lines of credit to RMB303,950 million, which can be used for borrowings, bank acceptance, bank guarantee, etc., pursuant to the underlying agreements. The Group was in compliance with the financial covenants, if any, under those lines of credit as of December 31, 2025. As of December 31, 2025, under the lines of credit, the Group mainly had RMB243,097 million unused.</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00"/>
          </w:cols>
          <w:pgMar w:left="320" w:top="476" w:right="5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right="7900" w:hanging="430"/>
        <w:spacing w:after="0" w:line="390" w:lineRule="auto"/>
        <w:tabs>
          <w:tab w:leader="none" w:pos="652" w:val="left"/>
        </w:tabs>
        <w:numPr>
          <w:ilvl w:val="0"/>
          <w:numId w:val="2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Capital commitments</w:t>
      </w:r>
    </w:p>
    <w:p>
      <w:pPr>
        <w:spacing w:after="0" w:line="1" w:lineRule="exact"/>
        <w:rPr>
          <w:sz w:val="20"/>
          <w:szCs w:val="20"/>
          <w:color w:val="auto"/>
        </w:rPr>
      </w:pPr>
    </w:p>
    <w:p>
      <w:pPr>
        <w:jc w:val="both"/>
        <w:ind w:left="240" w:right="40" w:firstLine="431"/>
        <w:spacing w:after="0" w:line="258" w:lineRule="auto"/>
        <w:rPr>
          <w:sz w:val="20"/>
          <w:szCs w:val="20"/>
          <w:color w:val="auto"/>
        </w:rPr>
      </w:pPr>
      <w:r>
        <w:rPr>
          <w:rFonts w:ascii="Times New Roman" w:cs="Times New Roman" w:eastAsia="Times New Roman" w:hAnsi="Times New Roman"/>
          <w:sz w:val="18"/>
          <w:szCs w:val="18"/>
          <w:color w:val="auto"/>
        </w:rPr>
        <w:t>The Group’s capital commitments primarily relate to commitments on construction and purchase of office buildings and warehouses. Total capital commitments contracted but not yet reflected in the consolidated financial statements amounted to RMB2,682 million as of December 31, 2025. All of these capital commitments will be fulfilled in the following years according to the construction progress.</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commitments</w:t>
      </w:r>
    </w:p>
    <w:p>
      <w:pPr>
        <w:spacing w:after="0" w:line="112" w:lineRule="exact"/>
        <w:rPr>
          <w:sz w:val="20"/>
          <w:szCs w:val="20"/>
          <w:color w:val="auto"/>
        </w:rPr>
      </w:pPr>
    </w:p>
    <w:p>
      <w:pPr>
        <w:ind w:left="240" w:right="600" w:firstLine="431"/>
        <w:spacing w:after="0" w:line="300" w:lineRule="auto"/>
        <w:rPr>
          <w:sz w:val="20"/>
          <w:szCs w:val="20"/>
          <w:color w:val="auto"/>
        </w:rPr>
      </w:pPr>
      <w:r>
        <w:rPr>
          <w:rFonts w:ascii="Times New Roman" w:cs="Times New Roman" w:eastAsia="Times New Roman" w:hAnsi="Times New Roman"/>
          <w:sz w:val="17"/>
          <w:szCs w:val="17"/>
          <w:color w:val="auto"/>
        </w:rPr>
        <w:t>The Group’s investment commitments primarily related to capital contribution obligation for certain fund investments. Total investment commitments contracted but not yet reflected in the consolidated financial statements amounted to RMB1,510 million as of December 31, 2025.</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debt obligations</w:t>
      </w:r>
    </w:p>
    <w:p>
      <w:pPr>
        <w:spacing w:after="0" w:line="112" w:lineRule="exact"/>
        <w:rPr>
          <w:sz w:val="20"/>
          <w:szCs w:val="20"/>
          <w:color w:val="auto"/>
        </w:rPr>
      </w:pPr>
    </w:p>
    <w:p>
      <w:pPr>
        <w:ind w:left="240" w:right="80" w:firstLine="431"/>
        <w:spacing w:after="0" w:line="300" w:lineRule="auto"/>
        <w:rPr>
          <w:sz w:val="20"/>
          <w:szCs w:val="20"/>
          <w:color w:val="auto"/>
        </w:rPr>
      </w:pPr>
      <w:r>
        <w:rPr>
          <w:rFonts w:ascii="Times New Roman" w:cs="Times New Roman" w:eastAsia="Times New Roman" w:hAnsi="Times New Roman"/>
          <w:sz w:val="17"/>
          <w:szCs w:val="17"/>
          <w:color w:val="auto"/>
        </w:rPr>
        <w:t>The Group’s long-term debt obligations include unsecured senior notes and long-term debts. The amounts exclude the corresponding interest payable. The expected repayment schedule of the unsecured senior notes and long-term debts have been disclosed in Note 15 and Note 30, respectively.</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2" w:lineRule="exact"/>
        <w:rPr>
          <w:sz w:val="20"/>
          <w:szCs w:val="20"/>
          <w:color w:val="auto"/>
        </w:rPr>
      </w:pPr>
    </w:p>
    <w:p>
      <w:pPr>
        <w:ind w:left="240" w:firstLine="431"/>
        <w:spacing w:after="0" w:line="249" w:lineRule="auto"/>
        <w:rPr>
          <w:sz w:val="20"/>
          <w:szCs w:val="20"/>
          <w:color w:val="auto"/>
        </w:rPr>
      </w:pPr>
      <w:r>
        <w:rPr>
          <w:rFonts w:ascii="Times New Roman" w:cs="Times New Roman" w:eastAsia="Times New Roman" w:hAnsi="Times New Roman"/>
          <w:sz w:val="18"/>
          <w:szCs w:val="18"/>
          <w:color w:val="auto"/>
        </w:rPr>
        <w:t>From time to time, the Group is subject to legal proceedings and claims in the ordinary course of business. Third parties assert patent infringement claims against the Group from time to time in the form of letters, lawsuits and other forms of communication. In addition, from time to time, the Group receives notification from customers claiming that they are entitled to indemnification or other obligations from the Group related to infringement claims made against them by third parties. Litigation, even if the Group is ultimately successful, can be costly and divert management’s attention away from the day-to-day operations of the Group.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2025.</w:t>
      </w:r>
    </w:p>
    <w:p>
      <w:pPr>
        <w:spacing w:after="0" w:line="1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00"/>
          </w:cols>
          <w:pgMar w:left="320" w:top="476" w:right="5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12" w:lineRule="exact"/>
        <w:rPr>
          <w:sz w:val="20"/>
          <w:szCs w:val="20"/>
          <w:color w:val="auto"/>
        </w:rPr>
      </w:pPr>
    </w:p>
    <w:p>
      <w:pPr>
        <w:ind w:left="240" w:firstLine="431"/>
        <w:spacing w:after="0" w:line="251"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Company’s subsidiaries and consolidated VIEs incorporated in the PRC only out of their retained earnings, if any, as determined in accordance with the PRC accounting standards and regulations. The results of operations reflected in the financial statements prepared in accordance with U.S. GAAP differ from those reflected in the statutory financial statements of the Company’s subsidiaries.</w:t>
      </w:r>
    </w:p>
    <w:p>
      <w:pPr>
        <w:spacing w:after="0" w:line="187" w:lineRule="exact"/>
        <w:rPr>
          <w:sz w:val="20"/>
          <w:szCs w:val="20"/>
          <w:color w:val="auto"/>
        </w:rPr>
      </w:pPr>
    </w:p>
    <w:p>
      <w:pPr>
        <w:ind w:left="240" w:right="20" w:firstLine="431"/>
        <w:spacing w:after="0" w:line="249" w:lineRule="auto"/>
        <w:rPr>
          <w:sz w:val="20"/>
          <w:szCs w:val="20"/>
          <w:color w:val="auto"/>
        </w:rPr>
      </w:pPr>
      <w:r>
        <w:rPr>
          <w:rFonts w:ascii="Times New Roman" w:cs="Times New Roman" w:eastAsia="Times New Roman" w:hAnsi="Times New Roman"/>
          <w:sz w:val="18"/>
          <w:szCs w:val="18"/>
          <w:color w:val="auto"/>
        </w:rPr>
        <w:t>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w:t>
      </w:r>
    </w:p>
    <w:p>
      <w:pPr>
        <w:spacing w:after="0" w:line="189" w:lineRule="exact"/>
        <w:rPr>
          <w:sz w:val="20"/>
          <w:szCs w:val="20"/>
          <w:color w:val="auto"/>
        </w:rPr>
      </w:pPr>
    </w:p>
    <w:p>
      <w:pPr>
        <w:ind w:left="240" w:right="20" w:firstLine="431"/>
        <w:spacing w:after="0" w:line="251" w:lineRule="auto"/>
        <w:rPr>
          <w:sz w:val="20"/>
          <w:szCs w:val="20"/>
          <w:color w:val="auto"/>
        </w:rPr>
      </w:pPr>
      <w:r>
        <w:rPr>
          <w:rFonts w:ascii="Times New Roman" w:cs="Times New Roman" w:eastAsia="Times New Roman" w:hAnsi="Times New Roman"/>
          <w:sz w:val="18"/>
          <w:szCs w:val="18"/>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87"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As a result of these PRC laws and regulations that require annual appropriations of 10% of net after-tax profits to be set aside prior to payment of dividends as general reserve fund or statutory surplus fund, the Company’s PRC subsidiaries and consolidated VIEs are restricted in their ability to transfer a portion of their net assets to the Company.</w:t>
      </w:r>
    </w:p>
    <w:p>
      <w:pPr>
        <w:spacing w:after="0" w:line="179" w:lineRule="exact"/>
        <w:rPr>
          <w:sz w:val="20"/>
          <w:szCs w:val="20"/>
          <w:color w:val="auto"/>
        </w:rPr>
      </w:pPr>
    </w:p>
    <w:p>
      <w:pPr>
        <w:jc w:val="both"/>
        <w:ind w:left="240" w:right="120" w:firstLine="431"/>
        <w:spacing w:after="0" w:line="258" w:lineRule="auto"/>
        <w:rPr>
          <w:sz w:val="20"/>
          <w:szCs w:val="20"/>
          <w:color w:val="auto"/>
        </w:rPr>
      </w:pPr>
      <w:r>
        <w:rPr>
          <w:rFonts w:ascii="Times New Roman" w:cs="Times New Roman" w:eastAsia="Times New Roman" w:hAnsi="Times New Roman"/>
          <w:sz w:val="18"/>
          <w:szCs w:val="18"/>
          <w:color w:val="auto"/>
        </w:rPr>
        <w:t>Amounts restricted include paid-in capital, additional paid-in capital and statutory reserve funds, totaling approximately RMB78,159 million, or 35% of the Company’s total consolidated net assets, as of December 31, 2025. Except for the above, there is no other restriction on the use of proceeds generated by the Company’s subsidiaries and consolidated VIEs to satisfy any obligations of the Company.</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0980"/>
          </w:cols>
          <w:pgMar w:left="320" w:top="476" w:right="5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Acquisition of CECONOMY AG</w:t>
      </w:r>
    </w:p>
    <w:p>
      <w:pPr>
        <w:spacing w:after="0" w:line="114" w:lineRule="exact"/>
        <w:rPr>
          <w:sz w:val="20"/>
          <w:szCs w:val="20"/>
          <w:color w:val="auto"/>
        </w:rPr>
      </w:pPr>
    </w:p>
    <w:p>
      <w:pPr>
        <w:ind w:left="240" w:right="180" w:firstLine="431"/>
        <w:spacing w:after="0" w:line="250" w:lineRule="auto"/>
        <w:rPr>
          <w:sz w:val="20"/>
          <w:szCs w:val="20"/>
          <w:color w:val="auto"/>
        </w:rPr>
      </w:pPr>
      <w:r>
        <w:rPr>
          <w:rFonts w:ascii="Times New Roman" w:cs="Times New Roman" w:eastAsia="Times New Roman" w:hAnsi="Times New Roman"/>
          <w:sz w:val="18"/>
          <w:szCs w:val="18"/>
          <w:color w:val="auto"/>
        </w:rPr>
        <w:t>On September 1, 2025, the Group, through its wholly-owned indirect subsidiary JINGDONG Holding Germany GmbH, published the Offer Document for its voluntary public takeover offer to all shareholders of CECONOMY AG (“CECONOMY”) (XETRA: CEC), the parent company of leading European consumer electronics retailers MediaMarkt and Saturn, to acquire all issued and outstanding bearer shares in CECONOMY (“CECONOMY shares”) for a cash consideration of EUR 4.60 per share. The Group has successfully secured 59.8% of CECONOMY shares after the end of the additional acceptance period for a consideration of EUR1,335 million. This results in a total shareholding of 85.2% in CECONOMY in combination with the retained stake of the Group’s future partner Convergenta Invest GmbH and related shareholders.</w:t>
      </w:r>
    </w:p>
    <w:p>
      <w:pPr>
        <w:spacing w:after="0" w:line="187" w:lineRule="exact"/>
        <w:rPr>
          <w:sz w:val="20"/>
          <w:szCs w:val="20"/>
          <w:color w:val="auto"/>
        </w:rPr>
      </w:pPr>
    </w:p>
    <w:p>
      <w:pPr>
        <w:ind w:left="240" w:right="20" w:firstLine="431"/>
        <w:spacing w:after="0" w:line="270" w:lineRule="auto"/>
        <w:rPr>
          <w:sz w:val="20"/>
          <w:szCs w:val="20"/>
          <w:color w:val="auto"/>
        </w:rPr>
      </w:pPr>
      <w:r>
        <w:rPr>
          <w:rFonts w:ascii="Times New Roman" w:cs="Times New Roman" w:eastAsia="Times New Roman" w:hAnsi="Times New Roman"/>
          <w:sz w:val="18"/>
          <w:szCs w:val="18"/>
          <w:color w:val="auto"/>
        </w:rPr>
        <w:t>As of the reporting date, the closing of the transaction remains subject to customary regulatory clearances. Upon the closing of the transaction, the Group expects to consolidate the financial results of CECONOMY into its consolidated financial statements.</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Voluntary Delisting of Deppon</w:t>
      </w:r>
    </w:p>
    <w:p>
      <w:pPr>
        <w:spacing w:after="0" w:line="114" w:lineRule="exact"/>
        <w:rPr>
          <w:sz w:val="20"/>
          <w:szCs w:val="20"/>
          <w:color w:val="auto"/>
        </w:rPr>
      </w:pPr>
    </w:p>
    <w:p>
      <w:pPr>
        <w:ind w:left="240" w:firstLine="431"/>
        <w:spacing w:after="0" w:line="266" w:lineRule="auto"/>
        <w:rPr>
          <w:sz w:val="20"/>
          <w:szCs w:val="20"/>
          <w:color w:val="auto"/>
        </w:rPr>
      </w:pPr>
      <w:r>
        <w:rPr>
          <w:rFonts w:ascii="Times New Roman" w:cs="Times New Roman" w:eastAsia="Times New Roman" w:hAnsi="Times New Roman"/>
          <w:sz w:val="17"/>
          <w:szCs w:val="17"/>
          <w:color w:val="auto"/>
        </w:rPr>
        <w:t>On January 13, 2026, Deppon Logistics Co., Ltd. (“Deppon”) (stock code: 603056), a consolidated subsidiary of JD Logistics, announced a voluntary delisting from the Shanghai Stock Exchange. In conjunction with the delisting, JD Logistics provided a cash option to Deppon’s minority shareholders, at a price of RMB 19.0 per share and a total consideration of RMB3.8 billion (US$0.5 billion). The Boards of Deppon and JD Logistics have approved the transaction on January 13, 2026 and the shareholders of Deppon have approved the transaction on January 29, 2026. On February 13, 2026, a total of 197,259,820 Deppon shares which represent 19.5% of the total Deppon shares have submitted valid applications for the cash option. Upon the completion of the cash option in February 2026, the Group held approximately 99.7% of the total Deppon shares. The delisting of Deppon was approved by the Shanghai Stock Exchange in March 2026. The Deppon shares were delisted from the Shanghai Stock Exchange on March 31, 2026.</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4" w:lineRule="exact"/>
        <w:rPr>
          <w:sz w:val="20"/>
          <w:szCs w:val="20"/>
          <w:color w:val="auto"/>
        </w:rPr>
      </w:pPr>
    </w:p>
    <w:p>
      <w:pPr>
        <w:ind w:left="240" w:right="40" w:firstLine="431"/>
        <w:spacing w:after="0" w:line="270" w:lineRule="auto"/>
        <w:rPr>
          <w:sz w:val="20"/>
          <w:szCs w:val="20"/>
          <w:color w:val="auto"/>
        </w:rPr>
      </w:pPr>
      <w:r>
        <w:rPr>
          <w:rFonts w:ascii="Times New Roman" w:cs="Times New Roman" w:eastAsia="Times New Roman" w:hAnsi="Times New Roman"/>
          <w:sz w:val="18"/>
          <w:szCs w:val="18"/>
          <w:color w:val="auto"/>
        </w:rPr>
        <w:t>In March 2026, the Company declared an annual cash dividend for the year ended December 31, 2025 of US$0.50 per ordinary share, or US$1.00 per ADS, for an aggregate amount of approximately US$1.4 billion based on the number of shares on record date.</w:t>
      </w: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Offering of unsecured senior notes</w:t>
      </w:r>
    </w:p>
    <w:p>
      <w:pPr>
        <w:spacing w:after="0" w:line="114" w:lineRule="exact"/>
        <w:rPr>
          <w:sz w:val="20"/>
          <w:szCs w:val="20"/>
          <w:color w:val="auto"/>
        </w:rPr>
      </w:pPr>
    </w:p>
    <w:p>
      <w:pPr>
        <w:ind w:left="240" w:right="80" w:firstLine="431"/>
        <w:spacing w:after="0" w:line="258" w:lineRule="auto"/>
        <w:rPr>
          <w:sz w:val="20"/>
          <w:szCs w:val="20"/>
          <w:color w:val="auto"/>
        </w:rPr>
      </w:pPr>
      <w:r>
        <w:rPr>
          <w:rFonts w:ascii="Times New Roman" w:cs="Times New Roman" w:eastAsia="Times New Roman" w:hAnsi="Times New Roman"/>
          <w:sz w:val="18"/>
          <w:szCs w:val="18"/>
          <w:color w:val="auto"/>
        </w:rPr>
        <w:t>On April 10, 2026, the Company completed its offering of RMB7,500 million 2.05% notes due 2031 and RMB2,500 million 2.75% notes due 2036 in reliance on Regulation S under the United States Securities Act of 1933, as amended. The proceeds have been received in full and was partially used to repay certain existing borrowings and related interest.</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000"/>
          </w:cols>
          <w:pgMar w:left="320" w:top="476" w:right="5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660" w:hanging="430"/>
        <w:spacing w:after="0"/>
        <w:tabs>
          <w:tab w:leader="none" w:pos="6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condensed financial information</w:t>
      </w:r>
    </w:p>
    <w:p>
      <w:pPr>
        <w:spacing w:after="0" w:line="112" w:lineRule="exact"/>
        <w:rPr>
          <w:sz w:val="20"/>
          <w:szCs w:val="20"/>
          <w:color w:val="auto"/>
        </w:rPr>
      </w:pPr>
    </w:p>
    <w:p>
      <w:pPr>
        <w:ind w:left="240" w:right="540" w:firstLine="431"/>
        <w:spacing w:after="0" w:line="300" w:lineRule="auto"/>
        <w:rPr>
          <w:sz w:val="20"/>
          <w:szCs w:val="20"/>
          <w:color w:val="auto"/>
        </w:rPr>
      </w:pPr>
      <w:r>
        <w:rPr>
          <w:rFonts w:ascii="Times New Roman" w:cs="Times New Roman" w:eastAsia="Times New Roman" w:hAnsi="Times New Roman"/>
          <w:sz w:val="17"/>
          <w:szCs w:val="17"/>
          <w:color w:val="auto"/>
        </w:rPr>
        <w:t>The Company performed a test on the restricted net assets of the consolidated subsidiaries and VIEs in accordance with Rule 5-04 (c) of Regulation S-X, and concluded that it was applicable for the Company to disclose the financial information for the parent company only.</w:t>
      </w:r>
    </w:p>
    <w:p>
      <w:pPr>
        <w:spacing w:after="0" w:line="146" w:lineRule="exact"/>
        <w:rPr>
          <w:sz w:val="20"/>
          <w:szCs w:val="20"/>
          <w:color w:val="auto"/>
        </w:rPr>
      </w:pPr>
    </w:p>
    <w:p>
      <w:pPr>
        <w:ind w:left="240" w:firstLine="431"/>
        <w:spacing w:after="0" w:line="270" w:lineRule="auto"/>
        <w:rPr>
          <w:sz w:val="20"/>
          <w:szCs w:val="20"/>
          <w:color w:val="auto"/>
        </w:rPr>
      </w:pPr>
      <w:r>
        <w:rPr>
          <w:rFonts w:ascii="Times New Roman" w:cs="Times New Roman" w:eastAsia="Times New Roman" w:hAnsi="Times New Roman"/>
          <w:sz w:val="18"/>
          <w:szCs w:val="18"/>
          <w:color w:val="auto"/>
        </w:rPr>
        <w:t>As of December 31, 2025, the Company did not have significant capital commitments and other significant commitments, or guarantees, except for those which have been separately disclosed in the consolidated financial statements.</w:t>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060" w:type="dxa"/>
            <w:vAlign w:val="bottom"/>
          </w:tcPr>
          <w:p>
            <w:pPr>
              <w:spacing w:after="0"/>
              <w:rPr>
                <w:sz w:val="12"/>
                <w:szCs w:val="12"/>
                <w:color w:val="auto"/>
              </w:rPr>
            </w:pPr>
          </w:p>
        </w:tc>
        <w:tc>
          <w:tcPr>
            <w:tcW w:w="700" w:type="dxa"/>
            <w:vAlign w:val="bottom"/>
            <w:tcBorders>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060" w:type="dxa"/>
            <w:vAlign w:val="bottom"/>
          </w:tcPr>
          <w:p>
            <w:pPr>
              <w:spacing w:after="0"/>
              <w:rPr>
                <w:sz w:val="9"/>
                <w:szCs w:val="9"/>
                <w:color w:val="auto"/>
              </w:rPr>
            </w:pPr>
          </w:p>
        </w:tc>
        <w:tc>
          <w:tcPr>
            <w:tcW w:w="700" w:type="dxa"/>
            <w:vAlign w:val="bottom"/>
          </w:tcPr>
          <w:p>
            <w:pPr>
              <w:jc w:val="right"/>
              <w:ind w:right="95"/>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340" w:type="dxa"/>
            <w:vAlign w:val="bottom"/>
            <w:gridSpan w:val="2"/>
          </w:tcPr>
          <w:p>
            <w:pPr>
              <w:spacing w:after="0"/>
              <w:rPr>
                <w:sz w:val="9"/>
                <w:szCs w:val="9"/>
                <w:color w:val="auto"/>
              </w:rPr>
            </w:pPr>
          </w:p>
        </w:tc>
        <w:tc>
          <w:tcPr>
            <w:tcW w:w="1040" w:type="dxa"/>
            <w:vAlign w:val="bottom"/>
            <w:gridSpan w:val="2"/>
          </w:tcPr>
          <w:p>
            <w:pPr>
              <w:jc w:val="center"/>
              <w:ind w:right="34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640" w:type="dxa"/>
            <w:vAlign w:val="bottom"/>
          </w:tcPr>
          <w:p>
            <w:pPr>
              <w:jc w:val="right"/>
              <w:ind w:right="94"/>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 2(g)</w:t>
            </w:r>
          </w:p>
        </w:tc>
        <w:tc>
          <w:tcPr>
            <w:tcW w:w="0" w:type="dxa"/>
            <w:vAlign w:val="bottom"/>
          </w:tcPr>
          <w:p>
            <w:pPr>
              <w:spacing w:after="0"/>
              <w:rPr>
                <w:sz w:val="1"/>
                <w:szCs w:val="1"/>
                <w:color w:val="auto"/>
              </w:rPr>
            </w:pPr>
          </w:p>
        </w:tc>
      </w:tr>
      <w:tr>
        <w:trPr>
          <w:trHeight w:val="168"/>
        </w:trPr>
        <w:tc>
          <w:tcPr>
            <w:tcW w:w="7060" w:type="dxa"/>
            <w:vAlign w:val="bottom"/>
          </w:tcPr>
          <w:p>
            <w:pPr>
              <w:spacing w:after="0"/>
              <w:rPr>
                <w:sz w:val="14"/>
                <w:szCs w:val="14"/>
                <w:color w:val="auto"/>
              </w:rPr>
            </w:pPr>
          </w:p>
        </w:tc>
        <w:tc>
          <w:tcPr>
            <w:tcW w:w="28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rPr>
              <w:t>(in millions, except share and per share data)</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3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Internal balance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35,639</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3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subsidiaries and consolidated VIEs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230,090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35,514</w:t>
            </w:r>
          </w:p>
        </w:tc>
        <w:tc>
          <w:tcPr>
            <w:tcW w:w="0" w:type="dxa"/>
            <w:vAlign w:val="bottom"/>
          </w:tcPr>
          <w:p>
            <w:pPr>
              <w:spacing w:after="0"/>
              <w:rPr>
                <w:sz w:val="1"/>
                <w:szCs w:val="1"/>
                <w:color w:val="auto"/>
              </w:rPr>
            </w:pPr>
          </w:p>
        </w:tc>
      </w:tr>
      <w:tr>
        <w:trPr>
          <w:trHeight w:val="218"/>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271,631</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256,751</w:t>
            </w: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 senior notes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24,898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24,434</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3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31,711</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60" w:type="dxa"/>
            <w:vAlign w:val="bottom"/>
          </w:tcPr>
          <w:p>
            <w:pPr>
              <w:ind w:left="360"/>
              <w:spacing w:after="0" w:line="193" w:lineRule="exact"/>
              <w:rPr>
                <w:sz w:val="20"/>
                <w:szCs w:val="20"/>
                <w:color w:val="auto"/>
              </w:rPr>
            </w:pPr>
            <w:r>
              <w:rPr>
                <w:rFonts w:ascii="Times New Roman" w:cs="Times New Roman" w:eastAsia="Times New Roman" w:hAnsi="Times New Roman"/>
                <w:sz w:val="18"/>
                <w:szCs w:val="18"/>
                <w:color w:val="auto"/>
              </w:rPr>
              <w:t>Ordinary shares (US$0.00002 par value; 100,000,000,000 shares authorized;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2,865,069,999 Class A ordinary shares issued and 2,587,296,615 outstanding,</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322,483,772 Class B ordinary shares issued and 316,136,640 outstanding as of</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2,496,519,005 Class A ordinary shares issued and 2,426,347,757 outstanding,</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321,776,028 Class B ordinary shares issued and 315,499,494 outstanding as of</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2025.)</w:t>
            </w:r>
          </w:p>
        </w:tc>
        <w:tc>
          <w:tcPr>
            <w:tcW w:w="10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3"/>
              </w:rPr>
              <w:t>—  *</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182,404</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141,515</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20,236</w:t>
            </w:r>
          </w:p>
        </w:tc>
        <w:tc>
          <w:tcPr>
            <w:tcW w:w="0" w:type="dxa"/>
            <w:vAlign w:val="bottom"/>
          </w:tcPr>
          <w:p>
            <w:pPr>
              <w:spacing w:after="0"/>
              <w:rPr>
                <w:sz w:val="1"/>
                <w:szCs w:val="1"/>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3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10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(27,739)</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(7,874)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12"/>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76,573</w:t>
            </w:r>
          </w:p>
        </w:tc>
        <w:tc>
          <w:tcPr>
            <w:tcW w:w="3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84,957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12,149</w:t>
            </w: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225,040</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271,631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256,751</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15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0800"/>
          </w:cols>
          <w:pgMar w:left="320" w:top="476" w:right="7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240" w:right="4900" w:hanging="10"/>
        <w:spacing w:after="0" w:line="395" w:lineRule="auto"/>
        <w:tabs>
          <w:tab w:leader="none" w:pos="663"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Parent company only condensed financial information (Continued) Condensed Statements of Operations and Comprehensive Income</w:t>
      </w:r>
    </w:p>
    <w:tbl>
      <w:tblPr>
        <w:tblLayout w:type="fixed"/>
        <w:tblInd w:w="66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540" w:type="dxa"/>
            <w:vAlign w:val="bottom"/>
            <w:tcBorders>
              <w:bottom w:val="single" w:sz="8" w:color="auto"/>
            </w:tcBorders>
          </w:tcPr>
          <w:p>
            <w:pPr>
              <w:jc w:val="right"/>
              <w:ind w:right="35"/>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640" w:type="dxa"/>
            <w:vAlign w:val="bottom"/>
          </w:tcPr>
          <w:p>
            <w:pPr>
              <w:spacing w:after="0"/>
              <w:rPr>
                <w:sz w:val="9"/>
                <w:szCs w:val="9"/>
                <w:color w:val="auto"/>
              </w:rPr>
            </w:pPr>
          </w:p>
        </w:tc>
        <w:tc>
          <w:tcPr>
            <w:tcW w:w="540" w:type="dxa"/>
            <w:vAlign w:val="bottom"/>
          </w:tcPr>
          <w:p>
            <w:pPr>
              <w:jc w:val="right"/>
              <w:ind w:right="15"/>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gridSpan w:val="2"/>
          </w:tcPr>
          <w:p>
            <w:pPr>
              <w:spacing w:after="0"/>
              <w:rPr>
                <w:sz w:val="9"/>
                <w:szCs w:val="9"/>
                <w:color w:val="auto"/>
              </w:rPr>
            </w:pPr>
          </w:p>
        </w:tc>
        <w:tc>
          <w:tcPr>
            <w:tcW w:w="560" w:type="dxa"/>
            <w:vAlign w:val="bottom"/>
          </w:tcPr>
          <w:p>
            <w:pPr>
              <w:jc w:val="right"/>
              <w:ind w:right="36"/>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320" w:type="dxa"/>
            <w:vAlign w:val="bottom"/>
          </w:tcPr>
          <w:p>
            <w:pPr>
              <w:spacing w:after="0"/>
              <w:rPr>
                <w:sz w:val="9"/>
                <w:szCs w:val="9"/>
                <w:color w:val="auto"/>
              </w:rPr>
            </w:pPr>
          </w:p>
        </w:tc>
        <w:tc>
          <w:tcPr>
            <w:tcW w:w="880" w:type="dxa"/>
            <w:vAlign w:val="bottom"/>
            <w:gridSpan w:val="2"/>
          </w:tcPr>
          <w:p>
            <w:pPr>
              <w:jc w:val="right"/>
              <w:ind w:right="440"/>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540" w:type="dxa"/>
            <w:vAlign w:val="bottom"/>
          </w:tcPr>
          <w:p>
            <w:pPr>
              <w:ind w:left="140"/>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(in millions)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Note 2(g)</w:t>
            </w:r>
          </w:p>
        </w:tc>
        <w:tc>
          <w:tcPr>
            <w:tcW w:w="0" w:type="dxa"/>
            <w:vAlign w:val="bottom"/>
          </w:tcPr>
          <w:p>
            <w:pPr>
              <w:spacing w:after="0"/>
              <w:rPr>
                <w:sz w:val="1"/>
                <w:szCs w:val="1"/>
                <w:color w:val="auto"/>
              </w:rPr>
            </w:pPr>
          </w:p>
        </w:tc>
      </w:tr>
      <w:tr>
        <w:trPr>
          <w:trHeight w:val="143"/>
        </w:trPr>
        <w:tc>
          <w:tcPr>
            <w:tcW w:w="6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Marketing</w:t>
            </w:r>
          </w:p>
        </w:tc>
        <w:tc>
          <w:tcPr>
            <w:tcW w:w="8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(204)</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(208)</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subsidiaries and consolidated VIEs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24,967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41,991</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21,983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(591)</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(483)</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19,631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2"/>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expenses</w:t>
            </w: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19,631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8"/>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518</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(2,596)</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41,877</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340" w:type="dxa"/>
            <w:vAlign w:val="bottom"/>
          </w:tcPr>
          <w:p>
            <w:pPr>
              <w:spacing w:after="0"/>
              <w:rPr>
                <w:sz w:val="18"/>
                <w:szCs w:val="18"/>
                <w:color w:val="auto"/>
              </w:rPr>
            </w:pPr>
          </w:p>
        </w:tc>
        <w:tc>
          <w:tcPr>
            <w:tcW w:w="5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2,436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Absolute value is less than RMB1 million or US$1 million.</w:t>
      </w:r>
    </w:p>
    <w:p>
      <w:pPr>
        <w:spacing w:after="0" w:line="15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0580"/>
          </w:cols>
          <w:pgMar w:left="320" w:top="476" w:right="9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30" w:lineRule="exact"/>
        <w:rPr>
          <w:sz w:val="20"/>
          <w:szCs w:val="20"/>
          <w:color w:val="auto"/>
        </w:rPr>
      </w:pPr>
    </w:p>
    <w:p>
      <w:pPr>
        <w:ind w:left="240" w:right="5180" w:hanging="10"/>
        <w:spacing w:after="0" w:line="373" w:lineRule="auto"/>
        <w:tabs>
          <w:tab w:leader="none" w:pos="663"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condensed financial information (Continued) Condensed Statements of Cash Flows</w:t>
      </w:r>
    </w:p>
    <w:tbl>
      <w:tblPr>
        <w:tblLayout w:type="fixed"/>
        <w:tblInd w:w="66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580" w:type="dxa"/>
            <w:vAlign w:val="bottom"/>
          </w:tcPr>
          <w:p>
            <w:pPr>
              <w:spacing w:after="0"/>
              <w:rPr>
                <w:sz w:val="12"/>
                <w:szCs w:val="12"/>
                <w:color w:val="auto"/>
              </w:rPr>
            </w:pPr>
          </w:p>
        </w:tc>
        <w:tc>
          <w:tcPr>
            <w:tcW w:w="560" w:type="dxa"/>
            <w:vAlign w:val="bottom"/>
          </w:tcPr>
          <w:p>
            <w:pPr>
              <w:jc w:val="right"/>
              <w:ind w:right="54"/>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79"/>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92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580" w:type="dxa"/>
            <w:vAlign w:val="bottom"/>
          </w:tcPr>
          <w:p>
            <w:pPr>
              <w:spacing w:after="0"/>
              <w:rPr>
                <w:sz w:val="9"/>
                <w:szCs w:val="9"/>
                <w:color w:val="auto"/>
              </w:rPr>
            </w:pPr>
          </w:p>
        </w:tc>
        <w:tc>
          <w:tcPr>
            <w:tcW w:w="560" w:type="dxa"/>
            <w:vAlign w:val="bottom"/>
            <w:tcBorders>
              <w:top w:val="single" w:sz="8" w:color="auto"/>
            </w:tcBorders>
          </w:tcPr>
          <w:p>
            <w:pPr>
              <w:jc w:val="right"/>
              <w:ind w:right="34"/>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top w:val="single" w:sz="8" w:color="auto"/>
            </w:tcBorders>
          </w:tcPr>
          <w:p>
            <w:pPr>
              <w:jc w:val="right"/>
              <w:ind w:right="59"/>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300" w:type="dxa"/>
            <w:vAlign w:val="bottom"/>
          </w:tcPr>
          <w:p>
            <w:pPr>
              <w:spacing w:after="0"/>
              <w:rPr>
                <w:sz w:val="9"/>
                <w:szCs w:val="9"/>
                <w:color w:val="auto"/>
              </w:rPr>
            </w:pPr>
          </w:p>
        </w:tc>
        <w:tc>
          <w:tcPr>
            <w:tcW w:w="920" w:type="dxa"/>
            <w:vAlign w:val="bottom"/>
            <w:tcBorders>
              <w:top w:val="single" w:sz="8" w:color="auto"/>
            </w:tcBorders>
            <w:gridSpan w:val="2"/>
          </w:tcPr>
          <w:p>
            <w:pPr>
              <w:jc w:val="right"/>
              <w:ind w:right="363"/>
              <w:spacing w:after="0" w:line="114" w:lineRule="exact"/>
              <w:rPr>
                <w:sz w:val="20"/>
                <w:szCs w:val="20"/>
                <w:color w:val="auto"/>
              </w:rPr>
            </w:pPr>
            <w:r>
              <w:rPr>
                <w:rFonts w:ascii="Times New Roman" w:cs="Times New Roman" w:eastAsia="Times New Roman" w:hAnsi="Times New Roman"/>
                <w:sz w:val="13"/>
                <w:szCs w:val="13"/>
                <w:b w:val="1"/>
                <w:bCs w:val="1"/>
                <w:color w:val="auto"/>
              </w:rPr>
              <w:t>RMB</w:t>
            </w:r>
          </w:p>
        </w:tc>
        <w:tc>
          <w:tcPr>
            <w:tcW w:w="560" w:type="dxa"/>
            <w:vAlign w:val="bottom"/>
            <w:tcBorders>
              <w:top w:val="single" w:sz="8" w:color="auto"/>
            </w:tcBorders>
          </w:tcPr>
          <w:p>
            <w:pPr>
              <w:jc w:val="right"/>
              <w:ind w:right="74"/>
              <w:spacing w:after="0" w:line="114" w:lineRule="exact"/>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4"/>
            <w:vMerge w:val="restart"/>
          </w:tcPr>
          <w:p>
            <w:pPr>
              <w:jc w:val="right"/>
              <w:ind w:right="623"/>
              <w:spacing w:after="0"/>
              <w:rPr>
                <w:sz w:val="20"/>
                <w:szCs w:val="20"/>
                <w:color w:val="auto"/>
              </w:rPr>
            </w:pPr>
            <w:r>
              <w:rPr>
                <w:rFonts w:ascii="Times New Roman" w:cs="Times New Roman" w:eastAsia="Times New Roman" w:hAnsi="Times New Roman"/>
                <w:sz w:val="14"/>
                <w:szCs w:val="14"/>
                <w:color w:val="auto"/>
              </w:rPr>
              <w:t>(in millions)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Note 2(g)</w:t>
            </w:r>
          </w:p>
        </w:tc>
        <w:tc>
          <w:tcPr>
            <w:tcW w:w="0" w:type="dxa"/>
            <w:vAlign w:val="bottom"/>
          </w:tcPr>
          <w:p>
            <w:pPr>
              <w:spacing w:after="0"/>
              <w:rPr>
                <w:sz w:val="1"/>
                <w:szCs w:val="1"/>
                <w:color w:val="auto"/>
              </w:rPr>
            </w:pPr>
          </w:p>
        </w:tc>
      </w:tr>
      <w:tr>
        <w:trPr>
          <w:trHeight w:val="130"/>
        </w:trPr>
        <w:tc>
          <w:tcPr>
            <w:tcW w:w="6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4"/>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14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(717)</w:t>
            </w:r>
          </w:p>
        </w:tc>
        <w:tc>
          <w:tcPr>
            <w:tcW w:w="9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(982)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time deposits and wealth management products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14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(4,979)</w:t>
            </w:r>
          </w:p>
        </w:tc>
        <w:tc>
          <w:tcPr>
            <w:tcW w:w="92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Maturity of time deposits and wealth management products</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ind w:right="223"/>
              <w:spacing w:after="0"/>
              <w:rPr>
                <w:sz w:val="20"/>
                <w:szCs w:val="20"/>
                <w:color w:val="auto"/>
              </w:rPr>
            </w:pPr>
            <w:r>
              <w:rPr>
                <w:rFonts w:ascii="Times New Roman" w:cs="Times New Roman" w:eastAsia="Times New Roman" w:hAnsi="Times New Roman"/>
                <w:sz w:val="18"/>
                <w:szCs w:val="18"/>
                <w:color w:val="auto"/>
              </w:rPr>
              <w:t>2,838</w:t>
            </w:r>
          </w:p>
        </w:tc>
        <w:tc>
          <w:tcPr>
            <w:tcW w:w="920" w:type="dxa"/>
            <w:vAlign w:val="bottom"/>
            <w:gridSpan w:val="2"/>
          </w:tcPr>
          <w:p>
            <w:pPr>
              <w:jc w:val="right"/>
              <w:ind w:right="223"/>
              <w:spacing w:after="0"/>
              <w:rPr>
                <w:sz w:val="20"/>
                <w:szCs w:val="20"/>
                <w:color w:val="auto"/>
              </w:rPr>
            </w:pPr>
            <w:r>
              <w:rPr>
                <w:rFonts w:ascii="Times New Roman" w:cs="Times New Roman" w:eastAsia="Times New Roman" w:hAnsi="Times New Roman"/>
                <w:sz w:val="18"/>
                <w:szCs w:val="18"/>
                <w:color w:val="auto"/>
              </w:rPr>
              <w:t>5,023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internal companies</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12,633</w:t>
            </w:r>
          </w:p>
        </w:tc>
        <w:tc>
          <w:tcPr>
            <w:tcW w:w="114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18,773</w:t>
            </w:r>
          </w:p>
        </w:tc>
        <w:tc>
          <w:tcPr>
            <w:tcW w:w="92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32,872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2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37,895</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140" w:type="dxa"/>
            <w:vAlign w:val="bottom"/>
            <w:gridSpan w:val="3"/>
          </w:tcPr>
          <w:p>
            <w:pPr>
              <w:jc w:val="right"/>
              <w:ind w:right="163"/>
              <w:spacing w:after="0"/>
              <w:rPr>
                <w:sz w:val="20"/>
                <w:szCs w:val="20"/>
                <w:color w:val="auto"/>
              </w:rPr>
            </w:pPr>
            <w:r>
              <w:rPr>
                <w:rFonts w:ascii="Times New Roman" w:cs="Times New Roman" w:eastAsia="Times New Roman" w:hAnsi="Times New Roman"/>
                <w:sz w:val="18"/>
                <w:szCs w:val="18"/>
                <w:color w:val="auto"/>
              </w:rPr>
              <w:t>(25,912)</w:t>
            </w:r>
          </w:p>
        </w:tc>
        <w:tc>
          <w:tcPr>
            <w:tcW w:w="92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(21,430)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dividends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14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(8,263)</w:t>
            </w:r>
          </w:p>
        </w:tc>
        <w:tc>
          <w:tcPr>
            <w:tcW w:w="9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(10,379)</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2"/>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unsecured senior notes, net of issuance costs</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ind w:right="223"/>
              <w:spacing w:after="0"/>
              <w:rPr>
                <w:sz w:val="20"/>
                <w:szCs w:val="20"/>
                <w:color w:val="auto"/>
              </w:rPr>
            </w:pPr>
            <w:r>
              <w:rPr>
                <w:rFonts w:ascii="Times New Roman" w:cs="Times New Roman" w:eastAsia="Times New Roman" w:hAnsi="Times New Roman"/>
                <w:sz w:val="18"/>
                <w:szCs w:val="18"/>
                <w:color w:val="auto"/>
              </w:rPr>
              <w:t>13,999</w:t>
            </w:r>
          </w:p>
        </w:tc>
        <w:tc>
          <w:tcPr>
            <w:tcW w:w="920" w:type="dxa"/>
            <w:vAlign w:val="bottom"/>
            <w:gridSpan w:val="2"/>
          </w:tcPr>
          <w:p>
            <w:pPr>
              <w:jc w:val="right"/>
              <w:ind w:right="263"/>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92</w:t>
            </w:r>
          </w:p>
        </w:tc>
        <w:tc>
          <w:tcPr>
            <w:tcW w:w="92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3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3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5,029</w:t>
            </w: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4,788</w:t>
            </w:r>
          </w:p>
        </w:tc>
        <w:tc>
          <w:tcPr>
            <w:tcW w:w="92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8"/>
                <w:szCs w:val="18"/>
                <w:color w:val="auto"/>
              </w:rPr>
              <w:t>646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3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2" w:lineRule="exact"/>
        <w:rPr>
          <w:sz w:val="20"/>
          <w:szCs w:val="20"/>
          <w:color w:val="auto"/>
        </w:rPr>
      </w:pPr>
    </w:p>
    <w:p>
      <w:pPr>
        <w:ind w:left="240" w:right="80" w:firstLine="431"/>
        <w:spacing w:after="0" w:line="270" w:lineRule="auto"/>
        <w:rPr>
          <w:sz w:val="20"/>
          <w:szCs w:val="20"/>
          <w:color w:val="auto"/>
        </w:rPr>
      </w:pPr>
      <w:r>
        <w:rPr>
          <w:rFonts w:ascii="Times New Roman" w:cs="Times New Roman" w:eastAsia="Times New Roman" w:hAnsi="Times New Roman"/>
          <w:sz w:val="18"/>
          <w:szCs w:val="18"/>
          <w:color w:val="auto"/>
        </w:rPr>
        <w:t>The Company’s accounting policies are the same as the Group’s accounting policies with the exception of the accounting for the investments in subsidiaries and consolidated VIEs.</w:t>
      </w:r>
    </w:p>
    <w:p>
      <w:pPr>
        <w:spacing w:after="0" w:line="169" w:lineRule="exact"/>
        <w:rPr>
          <w:sz w:val="20"/>
          <w:szCs w:val="20"/>
          <w:color w:val="auto"/>
        </w:rPr>
      </w:pPr>
    </w:p>
    <w:p>
      <w:pPr>
        <w:ind w:left="240" w:firstLine="431"/>
        <w:spacing w:after="0" w:line="251" w:lineRule="auto"/>
        <w:rPr>
          <w:sz w:val="20"/>
          <w:szCs w:val="20"/>
          <w:color w:val="auto"/>
        </w:rPr>
      </w:pPr>
      <w:r>
        <w:rPr>
          <w:rFonts w:ascii="Times New Roman" w:cs="Times New Roman" w:eastAsia="Times New Roman" w:hAnsi="Times New Roman"/>
          <w:sz w:val="18"/>
          <w:szCs w:val="18"/>
          <w:color w:val="auto"/>
        </w:rPr>
        <w:t>For the parent company only condensed financial information, the Company records its investments in subsidiaries and consolidated VIEs under the equity method of accounting as prescribed in ASC 323. Such investments are presented in the condensed balance sheets as “Investments in subsidiaries and consolidated VIEs” and shares in the subsidiaries and consolidated VIEs’ financial results are presented as “Income from subsidiaries and consolidated VIEs” in the condensed statements of operations and comprehensive income. The parent company only condensed financial information should be read in conjunction with the Group’s consolidated financial statements.</w:t>
      </w:r>
    </w:p>
    <w:p>
      <w:pPr>
        <w:spacing w:after="0" w:line="1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0860"/>
          </w:cols>
          <w:pgMar w:left="320" w:top="476" w:right="7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2.17</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173990</wp:posOffset>
            </wp:positionV>
            <wp:extent cx="68497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-564515</wp:posOffset>
            </wp:positionH>
            <wp:positionV relativeFrom="paragraph">
              <wp:posOffset>215900</wp:posOffset>
            </wp:positionV>
            <wp:extent cx="68497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9">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THIRD SUPPLEMENTAL INDENTURE</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April 10, 2026</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as Company</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16"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16" w:lineRule="exact"/>
        <w:rPr>
          <w:sz w:val="20"/>
          <w:szCs w:val="20"/>
          <w:color w:val="auto"/>
        </w:rPr>
      </w:pPr>
    </w:p>
    <w:p>
      <w:pPr>
        <w:ind w:left="2000" w:right="2840" w:hanging="47"/>
        <w:spacing w:after="0" w:line="562" w:lineRule="auto"/>
        <w:rPr>
          <w:sz w:val="20"/>
          <w:szCs w:val="20"/>
          <w:color w:val="auto"/>
        </w:rPr>
      </w:pPr>
      <w:r>
        <w:rPr>
          <w:rFonts w:ascii="Times New Roman" w:cs="Times New Roman" w:eastAsia="Times New Roman" w:hAnsi="Times New Roman"/>
          <w:sz w:val="17"/>
          <w:szCs w:val="17"/>
          <w:b w:val="1"/>
          <w:bCs w:val="1"/>
          <w:color w:val="auto"/>
        </w:rPr>
        <w:t>THE BANK OF NEW YORK MELLON, HONG KONG BRANCH as CMU Lodging and Paying Agent, 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2138045</wp:posOffset>
            </wp:positionH>
            <wp:positionV relativeFrom="paragraph">
              <wp:posOffset>60960</wp:posOffset>
            </wp:positionV>
            <wp:extent cx="14439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8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2.05% NOTES DUE 2031</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2.75%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163195</wp:posOffset>
            </wp:positionV>
            <wp:extent cx="68497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1">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-564515</wp:posOffset>
            </wp:positionH>
            <wp:positionV relativeFrom="paragraph">
              <wp:posOffset>205105</wp:posOffset>
            </wp:positionV>
            <wp:extent cx="68497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2">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ectPr>
          <w:pgSz w:w="11900" w:h="16838" w:orient="portrait"/>
          <w:cols w:equalWidth="0" w:num="1">
            <w:col w:w="9900"/>
          </w:cols>
          <w:pgMar w:left="1440" w:top="119" w:right="559" w:bottom="1440" w:gutter="0" w:footer="0" w:header="0"/>
        </w:sectPr>
      </w:pPr>
    </w:p>
    <w:bookmarkStart w:id="285" w:name="page286"/>
    <w:bookmarkEnd w:id="285"/>
    <w:p>
      <w:pPr>
        <w:ind w:firstLine="43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THIRD SUPPLEMENTAL INDENTURE dated as of April 10, 2026 between JD.com, Inc., an exempted company incorporated in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Bank of New York Mellon, a banking corporation organized and existing under the laws of the State of New York with limited liability,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Bank of New York Mellon, Hong Kong Branch, a banking corporation organized and existing under the laws of the State of New York with limited liability and operating through its branch in Hong Kong at Level 26, Three Pacific Place, 1 Queen’s Road East, Hong Kong, as CMU Lodging and Paying Agent, Transfer Agent and Registrar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18" w:lineRule="exact"/>
        <w:rPr>
          <w:sz w:val="20"/>
          <w:szCs w:val="20"/>
          <w:color w:val="auto"/>
        </w:rPr>
      </w:pPr>
    </w:p>
    <w:p>
      <w:pPr>
        <w:ind w:right="40" w:firstLine="431"/>
        <w:spacing w:after="0" w:line="280" w:lineRule="auto"/>
        <w:rPr>
          <w:sz w:val="20"/>
          <w:szCs w:val="20"/>
          <w:color w:val="auto"/>
        </w:rPr>
      </w:pPr>
      <w:r>
        <w:rPr>
          <w:rFonts w:ascii="Times New Roman" w:cs="Times New Roman" w:eastAsia="Times New Roman" w:hAnsi="Times New Roman"/>
          <w:sz w:val="17"/>
          <w:szCs w:val="17"/>
          <w:color w:val="auto"/>
        </w:rPr>
        <w:t>WHEREAS, the Company and the Trustee executed and delivered an Indenture dated as of April 29, 2016 (the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to provide for the issuance of debentures, notes, bonds or other evidences of indebtedness in an unlimited aggregate principal amount to be issued from time to time in one or more series (such Base Indenture, as supplemented and amended by this Third Supplemental Indenture, herein referred to as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WHEREAS, the Company has duly authorized the issuance of CNY7,500,000,000 aggregate principal amount of 2.05% Notes due 2031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2031 Notes</w:t>
      </w:r>
      <w:r>
        <w:rPr>
          <w:rFonts w:ascii="Times New Roman" w:cs="Times New Roman" w:eastAsia="Times New Roman" w:hAnsi="Times New Roman"/>
          <w:sz w:val="17"/>
          <w:szCs w:val="17"/>
          <w:color w:val="auto"/>
        </w:rPr>
        <w:t>”) and CNY2,500,000,000 aggregate principal amount of 2.75% Notes due 2036 (the “</w:t>
      </w:r>
      <w:r>
        <w:rPr>
          <w:rFonts w:ascii="Times New Roman" w:cs="Times New Roman" w:eastAsia="Times New Roman" w:hAnsi="Times New Roman"/>
          <w:sz w:val="17"/>
          <w:szCs w:val="17"/>
          <w:u w:val="single" w:color="auto"/>
          <w:color w:val="auto"/>
        </w:rPr>
        <w:t>2036 Notes</w:t>
      </w:r>
      <w:r>
        <w:rPr>
          <w:rFonts w:ascii="Times New Roman" w:cs="Times New Roman" w:eastAsia="Times New Roman" w:hAnsi="Times New Roman"/>
          <w:sz w:val="17"/>
          <w:szCs w:val="17"/>
          <w:color w:val="auto"/>
        </w:rPr>
        <w:t>”, and together with the 2031 Notes,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80" w:firstLine="431"/>
        <w:spacing w:after="0" w:line="270" w:lineRule="auto"/>
        <w:rPr>
          <w:sz w:val="20"/>
          <w:szCs w:val="20"/>
          <w:color w:val="auto"/>
        </w:rPr>
      </w:pPr>
      <w:r>
        <w:rPr>
          <w:rFonts w:ascii="Times New Roman" w:cs="Times New Roman" w:eastAsia="Times New Roman" w:hAnsi="Times New Roman"/>
          <w:sz w:val="18"/>
          <w:szCs w:val="18"/>
          <w:color w:val="auto"/>
        </w:rPr>
        <w:t>WHEREAS, the Company has duly authorized the execution and delivery of this Third Supplemental Indenture pursuant to Section 14.01 of the Base Indenture to establish the terms and the form of the Notes in accordance with Sections 2.01, 3.01 and 3.03 of the Base Indenture;</w:t>
      </w:r>
    </w:p>
    <w:p>
      <w:pPr>
        <w:spacing w:after="0" w:line="169" w:lineRule="exact"/>
        <w:rPr>
          <w:sz w:val="20"/>
          <w:szCs w:val="20"/>
          <w:color w:val="auto"/>
        </w:rPr>
      </w:pPr>
    </w:p>
    <w:p>
      <w:pPr>
        <w:ind w:right="20" w:firstLine="431"/>
        <w:spacing w:after="0" w:line="270" w:lineRule="auto"/>
        <w:rPr>
          <w:sz w:val="20"/>
          <w:szCs w:val="20"/>
          <w:color w:val="auto"/>
        </w:rPr>
      </w:pPr>
      <w:r>
        <w:rPr>
          <w:rFonts w:ascii="Times New Roman" w:cs="Times New Roman" w:eastAsia="Times New Roman" w:hAnsi="Times New Roman"/>
          <w:sz w:val="18"/>
          <w:szCs w:val="18"/>
          <w:color w:val="auto"/>
        </w:rPr>
        <w:t>WHEREAS, all things necessary to make this Third Supplemental Indenture a valid and legally binding agreement of the Company, in accordance with its terms, have been done.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NOW, THEREFORE, THIS THIRD SUPPLEMENTAL INDENTURE WITNESSETH:</w:t>
      </w:r>
    </w:p>
    <w:p>
      <w:pPr>
        <w:spacing w:after="0" w:line="216" w:lineRule="exact"/>
        <w:rPr>
          <w:sz w:val="20"/>
          <w:szCs w:val="20"/>
          <w:color w:val="auto"/>
        </w:rPr>
      </w:pPr>
    </w:p>
    <w:p>
      <w:pPr>
        <w:ind w:right="300" w:firstLine="431"/>
        <w:spacing w:after="0" w:line="270" w:lineRule="auto"/>
        <w:rPr>
          <w:sz w:val="20"/>
          <w:szCs w:val="20"/>
          <w:color w:val="auto"/>
        </w:rPr>
      </w:pPr>
      <w:r>
        <w:rPr>
          <w:rFonts w:ascii="Times New Roman" w:cs="Times New Roman" w:eastAsia="Times New Roman" w:hAnsi="Times New Roman"/>
          <w:sz w:val="18"/>
          <w:szCs w:val="18"/>
          <w:color w:val="auto"/>
        </w:rPr>
        <w:t>That, in consideration of the premises and the purchase of the Notes by the Holders thereof for the equal and proportionate benefit of all of the present and future Holders of the Notes, each party agrees and covenants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SCOPE AND DEFINITIONS</w:t>
      </w:r>
    </w:p>
    <w:p>
      <w:pPr>
        <w:spacing w:after="0" w:line="218"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changes, modifications and supplements to the Base Indenture effected by this Third Supplemental Indenture shall be applicable only with respect to, and govern the terms of, the Notes and shall not apply to any other series of Securities that may be issued under the Base Indenture unless a supplemental indenture with respect to such other series of Securities specifically incorporates such changes, modifications and supplements.</w:t>
      </w:r>
    </w:p>
    <w:p>
      <w:pPr>
        <w:sectPr>
          <w:pgSz w:w="11900" w:h="16838" w:orient="portrait"/>
          <w:cols w:equalWidth="0" w:num="1">
            <w:col w:w="10760"/>
          </w:cols>
          <w:pgMar w:left="560" w:top="267" w:right="579" w:bottom="1440" w:gutter="0" w:footer="0" w:header="0"/>
        </w:sectPr>
      </w:pPr>
    </w:p>
    <w:bookmarkStart w:id="286" w:name="page287"/>
    <w:bookmarkEnd w:id="28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200" w:hanging="239"/>
        <w:spacing w:after="0"/>
        <w:tabs>
          <w:tab w:leader="none" w:pos="12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otherwise defined herein shall have the meanings assigned to them in the Base Indenture.</w:t>
      </w:r>
    </w:p>
    <w:p>
      <w:pPr>
        <w:spacing w:after="0" w:line="216" w:lineRule="exact"/>
        <w:rPr>
          <w:rFonts w:ascii="Times New Roman" w:cs="Times New Roman" w:eastAsia="Times New Roman" w:hAnsi="Times New Roman"/>
          <w:sz w:val="18"/>
          <w:szCs w:val="18"/>
          <w:color w:val="auto"/>
        </w:rPr>
      </w:pPr>
    </w:p>
    <w:p>
      <w:pPr>
        <w:ind w:right="20" w:firstLine="961"/>
        <w:spacing w:after="0" w:line="270" w:lineRule="auto"/>
        <w:tabs>
          <w:tab w:leader="none" w:pos="12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additional defined terms shall have the following meanings with respect to the Notes only and be equally applicable to both the singular and the plural forms of any of the terms herein defined:</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has the meaning provided in the recitals hereof and Section 2.01(c).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has the meaning provided in the recitals hereof and Section 2.02(c).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2031 Notes</w:t>
      </w:r>
      <w:r>
        <w:rPr>
          <w:rFonts w:ascii="Times New Roman" w:cs="Times New Roman" w:eastAsia="Times New Roman" w:hAnsi="Times New Roman"/>
          <w:sz w:val="18"/>
          <w:szCs w:val="18"/>
          <w:color w:val="auto"/>
        </w:rPr>
        <w:t>” has the meaning provided in Section 2.01(c).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2036 Notes</w:t>
      </w:r>
      <w:r>
        <w:rPr>
          <w:rFonts w:ascii="Times New Roman" w:cs="Times New Roman" w:eastAsia="Times New Roman" w:hAnsi="Times New Roman"/>
          <w:sz w:val="18"/>
          <w:szCs w:val="18"/>
          <w:color w:val="auto"/>
        </w:rPr>
        <w:t>” has the meaning provided in Section 2.02(c).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has the meaning provided in the recitals hereof.</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System Business Day</w:t>
      </w:r>
      <w:r>
        <w:rPr>
          <w:rFonts w:ascii="Times New Roman" w:cs="Times New Roman" w:eastAsia="Times New Roman" w:hAnsi="Times New Roman"/>
          <w:sz w:val="18"/>
          <w:szCs w:val="18"/>
          <w:color w:val="auto"/>
        </w:rPr>
        <w:t>” means a day on which the CMU is operating and open for business.</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CMU</w:t>
      </w:r>
      <w:r>
        <w:rPr>
          <w:rFonts w:ascii="Times New Roman" w:cs="Times New Roman" w:eastAsia="Times New Roman" w:hAnsi="Times New Roman"/>
          <w:sz w:val="18"/>
          <w:szCs w:val="18"/>
          <w:color w:val="auto"/>
        </w:rPr>
        <w:t>” means the Central Moneymarkets Unit Service.</w:t>
      </w:r>
    </w:p>
    <w:p>
      <w:pPr>
        <w:spacing w:after="0" w:line="216" w:lineRule="exact"/>
        <w:rPr>
          <w:sz w:val="20"/>
          <w:szCs w:val="20"/>
          <w:color w:val="auto"/>
        </w:rPr>
      </w:pPr>
    </w:p>
    <w:p>
      <w:pPr>
        <w:ind w:right="460" w:firstLine="971"/>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CMU Lodging and Paying Agent</w:t>
      </w:r>
      <w:r>
        <w:rPr>
          <w:rFonts w:ascii="Times New Roman" w:cs="Times New Roman" w:eastAsia="Times New Roman" w:hAnsi="Times New Roman"/>
          <w:sz w:val="18"/>
          <w:szCs w:val="18"/>
          <w:color w:val="auto"/>
        </w:rPr>
        <w:t>” means The Bank of New York Mellon, Hong Kong Branch or its successor as CMU lodging and paying Agent under the Indenture.</w:t>
      </w:r>
    </w:p>
    <w:p>
      <w:pPr>
        <w:spacing w:after="0" w:line="169" w:lineRule="exact"/>
        <w:rPr>
          <w:sz w:val="20"/>
          <w:szCs w:val="20"/>
          <w:color w:val="auto"/>
        </w:rPr>
      </w:pPr>
    </w:p>
    <w:p>
      <w:pPr>
        <w:ind w:right="200" w:firstLine="97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w:t>
      </w:r>
      <w:r>
        <w:rPr>
          <w:rFonts w:ascii="Times New Roman" w:cs="Times New Roman" w:eastAsia="Times New Roman" w:hAnsi="Times New Roman"/>
          <w:sz w:val="18"/>
          <w:szCs w:val="18"/>
          <w:color w:val="auto"/>
        </w:rPr>
        <w:t>” means, in relation to any Comparable Government Bond Rate calculation, at the discretion of the Independent Investment Bank, a PRC Government Bond whose maturity is closest to the remaining term of the applicable Notes to be redeemed, or if such Independent Investment Bank in its discretion considers that such similar bond is not in issue, such other PRC Government Bond as such Independent Investment Bank may, with the advice of three brokers of, and/or market makers in, any PRC Government Bond selected by such Independent Investment Bank, determine to be appropriate for determining the Comparable Government Bond Rate.</w:t>
      </w:r>
    </w:p>
    <w:p>
      <w:pPr>
        <w:spacing w:after="0" w:line="187" w:lineRule="exact"/>
        <w:rPr>
          <w:sz w:val="20"/>
          <w:szCs w:val="20"/>
          <w:color w:val="auto"/>
        </w:rPr>
      </w:pPr>
    </w:p>
    <w:p>
      <w:pPr>
        <w:ind w:firstLine="971"/>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Comparable Government Bond Rate</w:t>
      </w:r>
      <w:r>
        <w:rPr>
          <w:rFonts w:ascii="Times New Roman" w:cs="Times New Roman" w:eastAsia="Times New Roman" w:hAnsi="Times New Roman"/>
          <w:sz w:val="18"/>
          <w:szCs w:val="18"/>
          <w:color w:val="auto"/>
        </w:rPr>
        <w:t>” means the price, expressed as a percentage (rounded to three decimal places, 0.0005 being rounded upwards), at which the gross redemption yield on the applicable Notes to be redeemed, if they were to be purchased at such price on the fifth Business Day prior to the Redemption Date or the date of accelerated payment, would be equal to the gross redemption yield on such Business Day of the Comparable Government Bond on the basis of the middle market price of the Comparable Government Bond prevailing at 11:00 a.m. (Hong Kong time) on such Business Day as determined by the Independent Investment Bank.</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its Controlled Entities.</w:t>
      </w:r>
    </w:p>
    <w:p>
      <w:pPr>
        <w:spacing w:after="0" w:line="216" w:lineRule="exact"/>
        <w:rPr>
          <w:sz w:val="20"/>
          <w:szCs w:val="20"/>
          <w:color w:val="auto"/>
        </w:rPr>
      </w:pPr>
    </w:p>
    <w:p>
      <w:pPr>
        <w:ind w:firstLine="971"/>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appointed by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60" w:top="267" w:right="579" w:bottom="1440" w:gutter="0" w:footer="0" w:header="0"/>
        </w:sectPr>
      </w:pPr>
    </w:p>
    <w:bookmarkStart w:id="287" w:name="page288"/>
    <w:bookmarkEnd w:id="287"/>
    <w:p>
      <w:pPr>
        <w:ind w:right="280" w:firstLine="971"/>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Investment Bank</w:t>
      </w:r>
      <w:r>
        <w:rPr>
          <w:rFonts w:ascii="Times New Roman" w:cs="Times New Roman" w:eastAsia="Times New Roman" w:hAnsi="Times New Roman"/>
          <w:sz w:val="18"/>
          <w:szCs w:val="18"/>
          <w:color w:val="auto"/>
        </w:rPr>
        <w:t>” means an investment bank of recognized standing that is a primary dealer in PRC Government Bonds, appointed by the Company.</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2031 Notes</w:t>
      </w:r>
      <w:r>
        <w:rPr>
          <w:rFonts w:ascii="Times New Roman" w:cs="Times New Roman" w:eastAsia="Times New Roman" w:hAnsi="Times New Roman"/>
          <w:sz w:val="18"/>
          <w:szCs w:val="18"/>
          <w:color w:val="auto"/>
        </w:rPr>
        <w:t>” has the meaning provided in Section 2.01(c).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2036 Notes</w:t>
      </w:r>
      <w:r>
        <w:rPr>
          <w:rFonts w:ascii="Times New Roman" w:cs="Times New Roman" w:eastAsia="Times New Roman" w:hAnsi="Times New Roman"/>
          <w:sz w:val="18"/>
          <w:szCs w:val="18"/>
          <w:color w:val="auto"/>
        </w:rPr>
        <w:t>” has the meaning provided in Section 2.02(c).</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charge, pledge, lien or other form of encumbrance or security interest.</w:t>
      </w:r>
    </w:p>
    <w:p>
      <w:pPr>
        <w:spacing w:after="0" w:line="216" w:lineRule="exact"/>
        <w:rPr>
          <w:sz w:val="20"/>
          <w:szCs w:val="20"/>
          <w:color w:val="auto"/>
        </w:rPr>
      </w:pPr>
    </w:p>
    <w:p>
      <w:pPr>
        <w:ind w:firstLine="971"/>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Make Whole Amount</w:t>
      </w:r>
      <w:r>
        <w:rPr>
          <w:rFonts w:ascii="Times New Roman" w:cs="Times New Roman" w:eastAsia="Times New Roman" w:hAnsi="Times New Roman"/>
          <w:sz w:val="17"/>
          <w:szCs w:val="17"/>
          <w:color w:val="auto"/>
        </w:rPr>
        <w:t>” means an amount determined on the fifth Business Day before the Redemption Date pursuant to Section 2.03 that is equal to the sum of (i) the present value of the principal amount of the Notes to be redeemed, assuming a scheduled repayment thereof on the date of Stated Maturity for payment of principal on such Notes, plus (ii) the present value of the remaining scheduled payments of interest to and including such date of Stated Maturity for payment of principal on such Notes, in each case discounted to such Redemption Date on an annual basis (Actual/Actual (ICMA)) at the Comparable Government Bond Rate plus 10 basis points in the case of the 2031 Notes and 15 basis points in the case of the 2036 Notes.</w:t>
      </w:r>
    </w:p>
    <w:p>
      <w:pPr>
        <w:spacing w:after="0" w:line="174" w:lineRule="exact"/>
        <w:rPr>
          <w:sz w:val="20"/>
          <w:szCs w:val="20"/>
          <w:color w:val="auto"/>
        </w:rPr>
      </w:pPr>
    </w:p>
    <w:p>
      <w:pPr>
        <w:ind w:right="40" w:firstLine="97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Non-listed Controlled Entities</w:t>
      </w:r>
      <w:r>
        <w:rPr>
          <w:rFonts w:ascii="Times New Roman" w:cs="Times New Roman" w:eastAsia="Times New Roman" w:hAnsi="Times New Roman"/>
          <w:sz w:val="18"/>
          <w:szCs w:val="18"/>
          <w:color w:val="auto"/>
        </w:rPr>
        <w:t>” means the Controlled Entities other than (i) any Controlled Entities with shares of common stock or other common equity interests that are listed or for which an application has been submitted for listing on an internationally recognized stock exchange; and (ii) any Subsidiaries or Consolidated Affiliated Entities of any Controlled Entity referred to in clause (i) of this definition.</w:t>
      </w:r>
    </w:p>
    <w:p>
      <w:pPr>
        <w:spacing w:after="0" w:line="179" w:lineRule="exact"/>
        <w:rPr>
          <w:sz w:val="20"/>
          <w:szCs w:val="20"/>
          <w:color w:val="auto"/>
        </w:rPr>
      </w:pPr>
    </w:p>
    <w:p>
      <w:pPr>
        <w:ind w:firstLine="971"/>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Obligation</w:t>
      </w:r>
      <w:r>
        <w:rPr>
          <w:rFonts w:ascii="Times New Roman" w:cs="Times New Roman" w:eastAsia="Times New Roman" w:hAnsi="Times New Roman"/>
          <w:sz w:val="18"/>
          <w:szCs w:val="18"/>
          <w:color w:val="auto"/>
        </w:rPr>
        <w:t>” means indebtedness or other obligations substantially related to (i) the acquisition of assets (including any Person that becomes a Controlled Entity) not previously owned by the Company or any of its Controlled Entities or (ii) the financing of a project involving the purchase, development, improvement or expansion of properties of the Company or any of its Controlled Entities, as to which the obligee with respect to such indebtedness or obligation has no recourse to the Company or any of its Principal Controlled Entities or to the assets of the Company or any such Principal Controlled Entity other than the assets which were acquired with the proceeds of such transaction or the project financed with the proceeds of such transaction (and the proceeds thereof).</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provided in the recitals hereof.</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offering memorandum, dated April 1, 2026, relating to the offering of the Notes.</w:t>
      </w:r>
    </w:p>
    <w:p>
      <w:pPr>
        <w:spacing w:after="0" w:line="216" w:lineRule="exact"/>
        <w:rPr>
          <w:sz w:val="20"/>
          <w:szCs w:val="20"/>
          <w:color w:val="auto"/>
        </w:rPr>
      </w:pPr>
    </w:p>
    <w:p>
      <w:pPr>
        <w:ind w:right="440" w:firstLine="971"/>
        <w:spacing w:after="0" w:line="27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 Business Day</w:t>
      </w:r>
      <w:r>
        <w:rPr>
          <w:rFonts w:ascii="Times New Roman" w:cs="Times New Roman" w:eastAsia="Times New Roman" w:hAnsi="Times New Roman"/>
          <w:sz w:val="18"/>
          <w:szCs w:val="18"/>
          <w:color w:val="auto"/>
        </w:rPr>
        <w:t>” means a day other than a Saturday, Sunday or a day on which banking institutions in the PRC are authorized or obligated by law, regulation or executive order to remain closed.</w:t>
      </w:r>
    </w:p>
    <w:p>
      <w:pPr>
        <w:spacing w:after="0" w:line="169" w:lineRule="exact"/>
        <w:rPr>
          <w:sz w:val="20"/>
          <w:szCs w:val="20"/>
          <w:color w:val="auto"/>
        </w:rPr>
      </w:pPr>
    </w:p>
    <w:p>
      <w:pPr>
        <w:jc w:val="center"/>
        <w:spacing w:after="0" w:line="4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 Government Bond(s)</w:t>
      </w:r>
      <w:r>
        <w:rPr>
          <w:rFonts w:ascii="Times New Roman" w:cs="Times New Roman" w:eastAsia="Times New Roman" w:hAnsi="Times New Roman"/>
          <w:sz w:val="18"/>
          <w:szCs w:val="18"/>
          <w:color w:val="auto"/>
        </w:rPr>
        <w:t>” means any bond issued by the Central People’s Government of The People’s Republic of China. 3</w:t>
      </w:r>
    </w:p>
    <w:p>
      <w:pPr>
        <w:sectPr>
          <w:pgSz w:w="11900" w:h="16838" w:orient="portrait"/>
          <w:cols w:equalWidth="0" w:num="1">
            <w:col w:w="10760"/>
          </w:cols>
          <w:pgMar w:left="560" w:top="267" w:right="579" w:bottom="1440" w:gutter="0" w:footer="0" w:header="0"/>
        </w:sectPr>
      </w:pPr>
    </w:p>
    <w:bookmarkStart w:id="288" w:name="page289"/>
    <w:bookmarkEnd w:id="288"/>
    <w:p>
      <w:pPr>
        <w:ind w:right="60" w:firstLine="971"/>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Controlled Entities</w:t>
      </w:r>
      <w:r>
        <w:rPr>
          <w:rFonts w:ascii="Times New Roman" w:cs="Times New Roman" w:eastAsia="Times New Roman" w:hAnsi="Times New Roman"/>
          <w:sz w:val="18"/>
          <w:szCs w:val="18"/>
          <w:color w:val="auto"/>
        </w:rPr>
        <w:t>” at any time shall mean one of our Non-listed Controlled Entities, excluding JINGDONG Property, Inc. and its Subsidiaries and Consolidated Affiliated Entities and the Subsidiaries of its Consolidated Affiliated Entities,</w:t>
      </w:r>
    </w:p>
    <w:p>
      <w:pPr>
        <w:spacing w:after="0" w:line="169" w:lineRule="exact"/>
        <w:rPr>
          <w:sz w:val="20"/>
          <w:szCs w:val="20"/>
          <w:color w:val="auto"/>
        </w:rPr>
      </w:pPr>
    </w:p>
    <w:p>
      <w:pPr>
        <w:ind w:left="1180" w:hanging="219"/>
        <w:spacing w:after="0"/>
        <w:tabs>
          <w:tab w:leader="none" w:pos="11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one or more of the following conditions is/are satisfied:</w:t>
      </w:r>
    </w:p>
    <w:p>
      <w:pPr>
        <w:spacing w:after="0" w:line="110" w:lineRule="exact"/>
        <w:rPr>
          <w:rFonts w:ascii="Times New Roman" w:cs="Times New Roman" w:eastAsia="Times New Roman" w:hAnsi="Times New Roman"/>
          <w:sz w:val="18"/>
          <w:szCs w:val="18"/>
          <w:color w:val="auto"/>
        </w:rPr>
      </w:pPr>
    </w:p>
    <w:p>
      <w:pPr>
        <w:ind w:left="960" w:right="180" w:firstLine="885"/>
        <w:spacing w:after="0" w:line="270" w:lineRule="auto"/>
        <w:tabs>
          <w:tab w:leader="none" w:pos="208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total revenue or (in the case of one of our Non-listed Controlled Entities which has one or more Non-listed Controlled Entities) consolidated total revenue attributable to us is at least 10% of our consolidated total revenue;</w:t>
      </w:r>
    </w:p>
    <w:p>
      <w:pPr>
        <w:spacing w:after="0" w:line="63" w:lineRule="exact"/>
        <w:rPr>
          <w:rFonts w:ascii="Times New Roman" w:cs="Times New Roman" w:eastAsia="Times New Roman" w:hAnsi="Times New Roman"/>
          <w:sz w:val="18"/>
          <w:szCs w:val="18"/>
          <w:color w:val="auto"/>
        </w:rPr>
      </w:pPr>
    </w:p>
    <w:p>
      <w:pPr>
        <w:ind w:left="960" w:right="200" w:firstLine="885"/>
        <w:spacing w:after="0" w:line="258" w:lineRule="auto"/>
        <w:tabs>
          <w:tab w:leader="none" w:pos="209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profit or (in the case of one of our Non-listed Controlled Entities which has one or more Non-listed Controlled Entities) consolidated net profit attributable to us (in each case before taxation and exceptional items) is at least 10% of our consolidated net profit (before taxation and exceptional items); or</w:t>
      </w:r>
    </w:p>
    <w:p>
      <w:pPr>
        <w:spacing w:after="0" w:line="72" w:lineRule="exact"/>
        <w:rPr>
          <w:rFonts w:ascii="Times New Roman" w:cs="Times New Roman" w:eastAsia="Times New Roman" w:hAnsi="Times New Roman"/>
          <w:sz w:val="18"/>
          <w:szCs w:val="18"/>
          <w:color w:val="auto"/>
        </w:rPr>
      </w:pPr>
    </w:p>
    <w:p>
      <w:pPr>
        <w:ind w:left="960" w:right="220" w:firstLine="885"/>
        <w:spacing w:after="0" w:line="258" w:lineRule="auto"/>
        <w:tabs>
          <w:tab w:leader="none" w:pos="2083"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net assets or (in the case of one of our Non-listed Controlled Entities which has one or more Non-listed Controlled Entities) consolidated net assets attributable to us (in each case after deducting minority interests in Subsidiaries) are at least 10% of our consolidated net assets (after deducting minority interests in Subsidiaries);</w:t>
      </w:r>
    </w:p>
    <w:p>
      <w:pPr>
        <w:spacing w:after="0" w:line="73" w:lineRule="exact"/>
        <w:rPr>
          <w:sz w:val="20"/>
          <w:szCs w:val="20"/>
          <w:color w:val="auto"/>
        </w:rPr>
      </w:pPr>
    </w:p>
    <w:p>
      <w:pPr>
        <w:ind w:left="960" w:right="1060" w:firstLine="884"/>
        <w:spacing w:after="0" w:line="270" w:lineRule="auto"/>
        <w:rPr>
          <w:sz w:val="20"/>
          <w:szCs w:val="20"/>
          <w:color w:val="auto"/>
        </w:rPr>
      </w:pPr>
      <w:r>
        <w:rPr>
          <w:rFonts w:ascii="Times New Roman" w:cs="Times New Roman" w:eastAsia="Times New Roman" w:hAnsi="Times New Roman"/>
          <w:sz w:val="18"/>
          <w:szCs w:val="18"/>
          <w:color w:val="auto"/>
        </w:rPr>
        <w:t>all as calculated by reference to the then latest audited financial statements (consolidated or, as the case may be, unconsolidated) of our Non-listed Controlled Entity and our then latest audited consolidated financial statements;</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provided that, in relation to paragraphs (a), (b) and (c) above:</w:t>
      </w:r>
    </w:p>
    <w:p>
      <w:pPr>
        <w:spacing w:after="0" w:line="110" w:lineRule="exact"/>
        <w:rPr>
          <w:sz w:val="20"/>
          <w:szCs w:val="20"/>
          <w:color w:val="auto"/>
        </w:rPr>
      </w:pPr>
    </w:p>
    <w:p>
      <w:pPr>
        <w:ind w:left="960" w:right="140" w:firstLine="885"/>
        <w:spacing w:after="0" w:line="249" w:lineRule="auto"/>
        <w:tabs>
          <w:tab w:leader="none" w:pos="209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or other business entity becoming a Non-listed Controlled Entity after the end of the financial period to which our latest consolidated audited accounts relate, the reference to our then latest consolidated audited accounts and our Non-listed Controlled Entities for the purposes of the calculation above shall, until our consolidated audited accounts for the financial period in which the relevant corporation or other business entity becomes a Non-listed Controlled Entity are issued, be deemed to be a reference to the then latest consolidated audited accounts of us and our Non-listed Controlled Entities adjusted to consolidate the latest audited accounts (consolidated in the case of a Non-listed Controlled Entity which itself has Non-listed Controlled Entities) of such Non-listed Controlled Entity in such accounts;</w:t>
      </w:r>
    </w:p>
    <w:p>
      <w:pPr>
        <w:spacing w:after="0" w:line="83" w:lineRule="exact"/>
        <w:rPr>
          <w:rFonts w:ascii="Times New Roman" w:cs="Times New Roman" w:eastAsia="Times New Roman" w:hAnsi="Times New Roman"/>
          <w:sz w:val="18"/>
          <w:szCs w:val="18"/>
          <w:color w:val="auto"/>
        </w:rPr>
      </w:pPr>
    </w:p>
    <w:p>
      <w:pPr>
        <w:ind w:left="960" w:firstLine="885"/>
        <w:spacing w:after="0" w:line="258" w:lineRule="auto"/>
        <w:tabs>
          <w:tab w:leader="none" w:pos="2093"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relevant time in relation to us or any Non-listed Controlled Entity which itself has Non-listed Controlled Entities, no consolidated accounts are prepared and audited, total revenue, net profit or net assets of us and/or any such Non-listed Controlled Entity shall be determined on the basis of pro forma consolidated accounts prepared for this purpose by or on behalf of 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80"/>
          </w:cols>
          <w:pgMar w:left="560" w:top="266" w:right="559" w:bottom="1440" w:gutter="0" w:footer="0" w:header="0"/>
        </w:sectPr>
      </w:pPr>
    </w:p>
    <w:bookmarkStart w:id="289" w:name="page290"/>
    <w:bookmarkEnd w:id="289"/>
    <w:p>
      <w:pPr>
        <w:ind w:left="970" w:right="100" w:firstLine="885"/>
        <w:spacing w:after="0" w:line="258" w:lineRule="auto"/>
        <w:tabs>
          <w:tab w:leader="none" w:pos="2103"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at any relevant time in relation to any Non-listed Controlled Entity, no accounts are audited, its net assets (consolidated, if appropriate) shall be determined on the basis of pro forma accounts (consolidated, if appropriate) of the relevant Non-listed Controlled Entity prepared for this purpose by or on behalf of us; and</w:t>
      </w:r>
    </w:p>
    <w:p>
      <w:pPr>
        <w:spacing w:after="0" w:line="72" w:lineRule="exact"/>
        <w:rPr>
          <w:rFonts w:ascii="Times New Roman" w:cs="Times New Roman" w:eastAsia="Times New Roman" w:hAnsi="Times New Roman"/>
          <w:sz w:val="18"/>
          <w:szCs w:val="18"/>
          <w:color w:val="auto"/>
        </w:rPr>
      </w:pPr>
    </w:p>
    <w:p>
      <w:pPr>
        <w:ind w:left="2110" w:hanging="255"/>
        <w:spacing w:after="0"/>
        <w:tabs>
          <w:tab w:leader="none" w:pos="2110"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accounts of any Non-listed Controlled Entity (not being a Non-listed Controlled Entity referred to in proviso</w:t>
      </w:r>
    </w:p>
    <w:p>
      <w:pPr>
        <w:spacing w:after="0" w:line="22" w:lineRule="exact"/>
        <w:rPr>
          <w:rFonts w:ascii="Times New Roman" w:cs="Times New Roman" w:eastAsia="Times New Roman" w:hAnsi="Times New Roman"/>
          <w:sz w:val="18"/>
          <w:szCs w:val="18"/>
          <w:color w:val="auto"/>
        </w:rPr>
      </w:pPr>
    </w:p>
    <w:p>
      <w:pPr>
        <w:ind w:left="970" w:firstLine="1"/>
        <w:spacing w:after="0" w:line="247" w:lineRule="auto"/>
        <w:tabs>
          <w:tab w:leader="none" w:pos="12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are not consolidated with our accounts, then the determination of whether or not such Non-listed Controlled Entity is a Principal Controlled Entity shall be based on a pro forma consolidation of its accounts (consolidated, if appropriate) with our consolidated accounts (determined on the basis of the foregoing); or</w:t>
      </w:r>
    </w:p>
    <w:p>
      <w:pPr>
        <w:spacing w:after="0" w:line="189" w:lineRule="exact"/>
        <w:rPr>
          <w:sz w:val="20"/>
          <w:szCs w:val="20"/>
          <w:color w:val="auto"/>
        </w:rPr>
      </w:pPr>
    </w:p>
    <w:p>
      <w:pPr>
        <w:ind w:left="10" w:right="60" w:firstLine="961"/>
        <w:spacing w:after="0" w:line="253" w:lineRule="auto"/>
        <w:tabs>
          <w:tab w:leader="none" w:pos="12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is transferred all or substantially all of the assets of a Controlled Entity which immediately prior to the transfer was a Principal Controlled Entity; provided that, with effect from such transfer, the Controlled Entity which so transfers its assets and undertakings shall cease to be a Principal Controlled Entity (but without prejudice to paragraph (i) above) and the Controlled Entity to which the assets are so transferred shall become a Principal Controlled Entity.</w:t>
      </w:r>
    </w:p>
    <w:p>
      <w:pPr>
        <w:spacing w:after="0" w:line="185" w:lineRule="exact"/>
        <w:rPr>
          <w:sz w:val="20"/>
          <w:szCs w:val="20"/>
          <w:color w:val="auto"/>
        </w:rPr>
      </w:pPr>
    </w:p>
    <w:p>
      <w:pPr>
        <w:jc w:val="both"/>
        <w:ind w:left="10" w:right="180" w:firstLine="97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Indebtedness</w:t>
      </w:r>
      <w:r>
        <w:rPr>
          <w:rFonts w:ascii="Times New Roman" w:cs="Times New Roman" w:eastAsia="Times New Roman" w:hAnsi="Times New Roman"/>
          <w:sz w:val="18"/>
          <w:szCs w:val="18"/>
          <w:color w:val="auto"/>
        </w:rPr>
        <w:t>” means any indebtedness which is in the form of, or represented or evidenced by, bonds, notes, debentures, loan stock or other securities which for the time being are, or are intended to be or are commonly, quoted, listed or dealt in or traded on any stock exchange or over-the-counter or other securities market.</w:t>
      </w:r>
    </w:p>
    <w:p>
      <w:pPr>
        <w:spacing w:after="0" w:line="179"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means The Bank of New York Mellon, Hong Kong Branch or its successor as registrar under the Indenture.</w:t>
      </w:r>
    </w:p>
    <w:p>
      <w:pPr>
        <w:spacing w:after="0" w:line="216"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means this instrument.</w:t>
      </w:r>
    </w:p>
    <w:p>
      <w:pPr>
        <w:spacing w:after="0" w:line="216"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Bank of New York Mellon, Hong Kong Branch or its successor as transfer agent under the Indenture.</w:t>
      </w:r>
    </w:p>
    <w:p>
      <w:pPr>
        <w:spacing w:after="0" w:line="216" w:lineRule="exact"/>
        <w:rPr>
          <w:sz w:val="20"/>
          <w:szCs w:val="20"/>
          <w:color w:val="auto"/>
        </w:rPr>
      </w:pPr>
    </w:p>
    <w:p>
      <w:pPr>
        <w:ind w:left="10" w:right="40" w:firstLine="971"/>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means (A) any change in or amendment to the laws, regulations and rules of the PRC or the official interpretation or official application thereof (“</w:t>
      </w:r>
      <w:r>
        <w:rPr>
          <w:rFonts w:ascii="Times New Roman" w:cs="Times New Roman" w:eastAsia="Times New Roman" w:hAnsi="Times New Roman"/>
          <w:sz w:val="17"/>
          <w:szCs w:val="17"/>
          <w:u w:val="single" w:color="auto"/>
          <w:color w:val="auto"/>
        </w:rPr>
        <w:t>Change in Law</w:t>
      </w:r>
      <w:r>
        <w:rPr>
          <w:rFonts w:ascii="Times New Roman" w:cs="Times New Roman" w:eastAsia="Times New Roman" w:hAnsi="Times New Roman"/>
          <w:sz w:val="17"/>
          <w:szCs w:val="17"/>
          <w:color w:val="auto"/>
        </w:rPr>
        <w:t>”) that results in (1) the Group (as in existence immediately subsequent to such Change in Law), as a whole, being legally prohibited from operating substantially all of the business operations conducted by the Group (as in existence immediately prior to such Change in Law) as of the last date of the period described in the consolidated financial statements of the Company for the most recent fiscal quarter and</w:t>
      </w:r>
    </w:p>
    <w:p>
      <w:pPr>
        <w:ind w:left="10" w:right="140" w:hanging="10"/>
        <w:spacing w:after="0" w:line="245" w:lineRule="auto"/>
        <w:tabs>
          <w:tab w:leader="none" w:pos="2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being unable to continue to derive substantially all of the economic benefits from the business operations conducted by the Group (as in existence immediately prior to such Change in Law) in the same manner as reflected in the consolidated financial statements of the Company for the most recent fiscal quarter and (B) the Company has not furnished to the Trustee, prior to the date that is twelve months after the date of the Change in Law, an opinion from an Independent Financial Advisor or External Legal Counsel stating either (1) the Company is able to continue to derive substantially all of the economic benefits from the business operations conducted by the Group (as in existence immediately prior to such Change in Law), taken as a whole, as reflected in the consolidated financial statements of the Company for the most recent fiscal quarter (including after giving effect to any corporate restructuring or reorganization plan of the Company) or (2) such Change in Law would not materially adversely affect the Company’s ability to make principal, premium (if any) and interest payments on the Notes when due.</w:t>
      </w:r>
    </w:p>
    <w:p>
      <w:pPr>
        <w:spacing w:after="0" w:line="1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90"/>
          </w:cols>
          <w:pgMar w:left="550" w:top="267" w:right="559" w:bottom="1440" w:gutter="0" w:footer="0" w:header="0"/>
        </w:sectPr>
      </w:pPr>
    </w:p>
    <w:bookmarkStart w:id="290" w:name="page291"/>
    <w:bookmarkEnd w:id="290"/>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Triggering Event Offer</w:t>
      </w:r>
      <w:r>
        <w:rPr>
          <w:rFonts w:ascii="Times New Roman" w:cs="Times New Roman" w:eastAsia="Times New Roman" w:hAnsi="Times New Roman"/>
          <w:sz w:val="18"/>
          <w:szCs w:val="18"/>
          <w:color w:val="auto"/>
        </w:rPr>
        <w:t>” has the meaning set forth in Section 2.05(a).</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w:t>
      </w:r>
      <w:r>
        <w:rPr>
          <w:rFonts w:ascii="Times New Roman" w:cs="Times New Roman" w:eastAsia="Times New Roman" w:hAnsi="Times New Roman"/>
          <w:sz w:val="18"/>
          <w:szCs w:val="18"/>
          <w:color w:val="auto"/>
        </w:rPr>
        <w:t>” has the meaning set forth in Section 2.05(a).</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 Date</w:t>
      </w:r>
      <w:r>
        <w:rPr>
          <w:rFonts w:ascii="Times New Roman" w:cs="Times New Roman" w:eastAsia="Times New Roman" w:hAnsi="Times New Roman"/>
          <w:sz w:val="18"/>
          <w:szCs w:val="18"/>
          <w:color w:val="auto"/>
        </w:rPr>
        <w:t>” has the meaning set forth in Section 2.05(a).</w:t>
      </w:r>
    </w:p>
    <w:p>
      <w:pPr>
        <w:spacing w:after="0" w:line="216" w:lineRule="exact"/>
        <w:rPr>
          <w:sz w:val="20"/>
          <w:szCs w:val="20"/>
          <w:color w:val="auto"/>
        </w:rPr>
      </w:pPr>
    </w:p>
    <w:p>
      <w:pPr>
        <w:ind w:right="16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For all purposes of this Third Supplemental Indenture, except as otherwise expressly provided or unless the context otherwise requires:</w:t>
      </w:r>
    </w:p>
    <w:p>
      <w:pPr>
        <w:spacing w:after="0" w:line="169" w:lineRule="exact"/>
        <w:rPr>
          <w:sz w:val="20"/>
          <w:szCs w:val="20"/>
          <w:color w:val="auto"/>
        </w:rPr>
      </w:pPr>
    </w:p>
    <w:p>
      <w:pPr>
        <w:ind w:firstLine="961"/>
        <w:spacing w:after="0" w:line="270" w:lineRule="auto"/>
        <w:tabs>
          <w:tab w:leader="none" w:pos="121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other words of similar import refer to this Third Supplemental Indenture as a whole and not to any particular Article, Section or other subdivision.</w:t>
      </w:r>
    </w:p>
    <w:p>
      <w:pPr>
        <w:spacing w:after="0" w:line="168" w:lineRule="exact"/>
        <w:rPr>
          <w:rFonts w:ascii="Times New Roman" w:cs="Times New Roman" w:eastAsia="Times New Roman" w:hAnsi="Times New Roman"/>
          <w:sz w:val="18"/>
          <w:szCs w:val="18"/>
          <w:color w:val="auto"/>
        </w:rPr>
      </w:pPr>
    </w:p>
    <w:p>
      <w:pPr>
        <w:ind w:right="60" w:firstLine="961"/>
        <w:spacing w:after="0" w:line="270" w:lineRule="auto"/>
        <w:tabs>
          <w:tab w:leader="none" w:pos="122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or other subdivision herein are references to an Article, Section or other subdivision of this Third Supplemental Indenture, unless the context otherwise requires.</w:t>
      </w:r>
    </w:p>
    <w:p>
      <w:pPr>
        <w:spacing w:after="0" w:line="168" w:lineRule="exact"/>
        <w:rPr>
          <w:rFonts w:ascii="Times New Roman" w:cs="Times New Roman" w:eastAsia="Times New Roman" w:hAnsi="Times New Roman"/>
          <w:sz w:val="18"/>
          <w:szCs w:val="18"/>
          <w:color w:val="auto"/>
        </w:rPr>
      </w:pPr>
    </w:p>
    <w:p>
      <w:pPr>
        <w:ind w:right="60" w:firstLine="961"/>
        <w:spacing w:after="0" w:line="253" w:lineRule="auto"/>
        <w:tabs>
          <w:tab w:leader="none" w:pos="121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agreement, instrument, statute or regulation defined or referred to herein or in any instrument establishing the terms of the Notes (or executed in connection therewith) are references to such agreement, instrument, statute or regulation as from time to time amended, modified, supplemented or replaced, including (in the case of agreements or instruments) by waiver or consent and by succession of comparable successor agreements, instruments, statutes or regulations.</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THE NOTES</w:t>
      </w:r>
    </w:p>
    <w:p>
      <w:pPr>
        <w:spacing w:after="0" w:line="218" w:lineRule="exact"/>
        <w:rPr>
          <w:sz w:val="20"/>
          <w:szCs w:val="20"/>
          <w:color w:val="auto"/>
        </w:rPr>
      </w:pPr>
    </w:p>
    <w:p>
      <w:pPr>
        <w:ind w:right="58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Terms of the 2031 Notes</w:t>
      </w:r>
      <w:r>
        <w:rPr>
          <w:rFonts w:ascii="Times New Roman" w:cs="Times New Roman" w:eastAsia="Times New Roman" w:hAnsi="Times New Roman"/>
          <w:sz w:val="18"/>
          <w:szCs w:val="18"/>
          <w:color w:val="auto"/>
        </w:rPr>
        <w:t>. The 2031 Notes are hereby created and designated as a separate series of Securities under the Base Indenture. The following terms relate to the 2031 Notes:</w:t>
      </w:r>
    </w:p>
    <w:p>
      <w:pPr>
        <w:spacing w:after="0" w:line="169" w:lineRule="exact"/>
        <w:rPr>
          <w:sz w:val="20"/>
          <w:szCs w:val="20"/>
          <w:color w:val="auto"/>
        </w:rPr>
      </w:pPr>
    </w:p>
    <w:p>
      <w:pPr>
        <w:ind w:left="1200" w:hanging="239"/>
        <w:spacing w:after="0"/>
        <w:tabs>
          <w:tab w:leader="none" w:pos="12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shall constitute a separate series of Securities under the Base Indenture having the title “2.05% Notes due 2031.”</w:t>
      </w:r>
    </w:p>
    <w:p>
      <w:pPr>
        <w:spacing w:after="0" w:line="216" w:lineRule="exact"/>
        <w:rPr>
          <w:rFonts w:ascii="Times New Roman" w:cs="Times New Roman" w:eastAsia="Times New Roman" w:hAnsi="Times New Roman"/>
          <w:sz w:val="18"/>
          <w:szCs w:val="18"/>
          <w:color w:val="auto"/>
        </w:rPr>
      </w:pPr>
    </w:p>
    <w:p>
      <w:pPr>
        <w:ind w:right="20" w:firstLine="961"/>
        <w:spacing w:after="0" w:line="270" w:lineRule="auto"/>
        <w:tabs>
          <w:tab w:leader="none" w:pos="12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shall be issued at a price of 100.00% of the principal amount thereof, other than any offering discounts pursuant to the initial offering and resale of the 2031 Notes.</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20"/>
          </w:cols>
          <w:pgMar w:left="560" w:top="266" w:right="619" w:bottom="1440" w:gutter="0" w:footer="0" w:header="0"/>
        </w:sectPr>
      </w:pPr>
    </w:p>
    <w:bookmarkStart w:id="291" w:name="page292"/>
    <w:bookmarkEnd w:id="291"/>
    <w:p>
      <w:pPr>
        <w:ind w:firstLine="961"/>
        <w:spacing w:after="0" w:line="250" w:lineRule="auto"/>
        <w:tabs>
          <w:tab w:leader="none" w:pos="121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aggregate principal amount of the 2031 Notes (the “</w:t>
      </w:r>
      <w:r>
        <w:rPr>
          <w:rFonts w:ascii="Times New Roman" w:cs="Times New Roman" w:eastAsia="Times New Roman" w:hAnsi="Times New Roman"/>
          <w:sz w:val="18"/>
          <w:szCs w:val="18"/>
          <w:u w:val="single" w:color="auto"/>
          <w:color w:val="auto"/>
        </w:rPr>
        <w:t>Initial 2031 Notes</w:t>
      </w:r>
      <w:r>
        <w:rPr>
          <w:rFonts w:ascii="Times New Roman" w:cs="Times New Roman" w:eastAsia="Times New Roman" w:hAnsi="Times New Roman"/>
          <w:sz w:val="18"/>
          <w:szCs w:val="18"/>
          <w:color w:val="auto"/>
        </w:rPr>
        <w:t>”) that may be initially authenticated and delivered under the Indenture shall be CNY7,500,000,000. The Company may from time to time, without the consent of the Holders of the Notes, issue additional Notes (in any such case “</w:t>
      </w:r>
      <w:r>
        <w:rPr>
          <w:rFonts w:ascii="Times New Roman" w:cs="Times New Roman" w:eastAsia="Times New Roman" w:hAnsi="Times New Roman"/>
          <w:sz w:val="18"/>
          <w:szCs w:val="18"/>
          <w:u w:val="single" w:color="auto"/>
          <w:color w:val="auto"/>
        </w:rPr>
        <w:t>Additional 2031 Notes</w:t>
      </w:r>
      <w:r>
        <w:rPr>
          <w:rFonts w:ascii="Times New Roman" w:cs="Times New Roman" w:eastAsia="Times New Roman" w:hAnsi="Times New Roman"/>
          <w:sz w:val="18"/>
          <w:szCs w:val="18"/>
          <w:color w:val="auto"/>
        </w:rPr>
        <w:t>”) having the same terms and conditions as the Initial 2031 Notes in all respects (or in all respects except for the Issue Date, the issue price or the first Interest Payment Date). Any Additional 2031 Notes and the Initial 2031 Notes shall constitute a single series under the Indenture. All references to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shall include the Initial 2031 Notes and any Additional 2031 Notes unless the context otherwise requires. The aggregate principal amount of each of the Additional 2031 Notes shall be unlimited.</w:t>
      </w:r>
    </w:p>
    <w:p>
      <w:pPr>
        <w:spacing w:after="0" w:line="186"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2031 Notes shall be payable on April 10, 2031.</w:t>
      </w:r>
    </w:p>
    <w:p>
      <w:pPr>
        <w:spacing w:after="0" w:line="216" w:lineRule="exact"/>
        <w:rPr>
          <w:rFonts w:ascii="Times New Roman" w:cs="Times New Roman" w:eastAsia="Times New Roman" w:hAnsi="Times New Roman"/>
          <w:sz w:val="18"/>
          <w:szCs w:val="18"/>
          <w:color w:val="auto"/>
        </w:rPr>
      </w:pPr>
    </w:p>
    <w:p>
      <w:pPr>
        <w:ind w:right="120" w:firstLine="961"/>
        <w:spacing w:after="0" w:line="251" w:lineRule="auto"/>
        <w:tabs>
          <w:tab w:leader="none" w:pos="121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2031 Notes shall bear interest shall be 2.05% per year. The date from which interest shall accrue on the 2031 Notes shall be April 10, 2026, or the most recent Interest Payment Date to which interest has been paid or provided for. The Interest Payment Dates for the 2031 Notes shall be April 10 and October 10 of each year, beginning October 10, 2026. Interest shall be payable on each Interest Payment Date to the Holders of record at the close of business on the Clearing System Business Day immediately prior to each Interest Payment Date. The basis upon which interest shall be calculated shall be that of a 365-day year and the actual number of days elapsed.</w:t>
      </w:r>
    </w:p>
    <w:p>
      <w:pPr>
        <w:spacing w:after="0" w:line="186" w:lineRule="exact"/>
        <w:rPr>
          <w:rFonts w:ascii="Times New Roman" w:cs="Times New Roman" w:eastAsia="Times New Roman" w:hAnsi="Times New Roman"/>
          <w:sz w:val="18"/>
          <w:szCs w:val="18"/>
          <w:color w:val="auto"/>
        </w:rPr>
      </w:pPr>
    </w:p>
    <w:p>
      <w:pPr>
        <w:ind w:firstLine="961"/>
        <w:spacing w:after="0" w:line="251" w:lineRule="auto"/>
        <w:tabs>
          <w:tab w:leader="none" w:pos="119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shall be issuable in whole in the form of one or more registered Global Securities. The Global Securities will be registered in the name of, and lodged with a sub-custodian for, the Hong Kong Monetary Authority as operator (the “</w:t>
      </w:r>
      <w:r>
        <w:rPr>
          <w:rFonts w:ascii="Times New Roman" w:cs="Times New Roman" w:eastAsia="Times New Roman" w:hAnsi="Times New Roman"/>
          <w:sz w:val="18"/>
          <w:szCs w:val="18"/>
          <w:u w:val="single" w:color="auto"/>
          <w:color w:val="auto"/>
        </w:rPr>
        <w:t>CMU Operator</w:t>
      </w:r>
      <w:r>
        <w:rPr>
          <w:rFonts w:ascii="Times New Roman" w:cs="Times New Roman" w:eastAsia="Times New Roman" w:hAnsi="Times New Roman"/>
          <w:sz w:val="18"/>
          <w:szCs w:val="18"/>
          <w:color w:val="auto"/>
        </w:rPr>
        <w:t>”) of the Central Moneymarkets Unit Service (the “</w:t>
      </w:r>
      <w:r>
        <w:rPr>
          <w:rFonts w:ascii="Times New Roman" w:cs="Times New Roman" w:eastAsia="Times New Roman" w:hAnsi="Times New Roman"/>
          <w:sz w:val="18"/>
          <w:szCs w:val="18"/>
          <w:u w:val="single" w:color="auto"/>
          <w:color w:val="auto"/>
        </w:rPr>
        <w:t>CMU</w:t>
      </w:r>
      <w:r>
        <w:rPr>
          <w:rFonts w:ascii="Times New Roman" w:cs="Times New Roman" w:eastAsia="Times New Roman" w:hAnsi="Times New Roman"/>
          <w:sz w:val="18"/>
          <w:szCs w:val="18"/>
          <w:color w:val="auto"/>
        </w:rPr>
        <w:t>”). The 2031 Notes shall be substantially in the form attached hereto as Exhibit A, the terms of which are herein incorporated by reference. The 2031 Notes shall be denominated in Renminbi and shall be issuable in minimum denominations of CNY1,000,000 or any integral multiples of CNY10,000 in excess thereof.</w:t>
      </w:r>
    </w:p>
    <w:p>
      <w:pPr>
        <w:spacing w:after="0" w:line="186" w:lineRule="exact"/>
        <w:rPr>
          <w:rFonts w:ascii="Times New Roman" w:cs="Times New Roman" w:eastAsia="Times New Roman" w:hAnsi="Times New Roman"/>
          <w:sz w:val="18"/>
          <w:szCs w:val="18"/>
          <w:color w:val="auto"/>
        </w:rPr>
      </w:pPr>
    </w:p>
    <w:p>
      <w:pPr>
        <w:ind w:right="300" w:firstLine="961"/>
        <w:spacing w:after="0" w:line="270" w:lineRule="auto"/>
        <w:tabs>
          <w:tab w:leader="none" w:pos="12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may be redeemed at the option of the Company prior to the date of Stated Maturity for payment of principal on the 2031 Notes, as provided in Section 2.03.</w:t>
      </w:r>
    </w:p>
    <w:p>
      <w:pPr>
        <w:spacing w:after="0" w:line="168"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will not have the benefit of any sinking fund.</w:t>
      </w:r>
    </w:p>
    <w:p>
      <w:pPr>
        <w:spacing w:after="0" w:line="216" w:lineRule="exact"/>
        <w:rPr>
          <w:rFonts w:ascii="Times New Roman" w:cs="Times New Roman" w:eastAsia="Times New Roman" w:hAnsi="Times New Roman"/>
          <w:sz w:val="18"/>
          <w:szCs w:val="18"/>
          <w:color w:val="auto"/>
        </w:rPr>
      </w:pPr>
    </w:p>
    <w:p>
      <w:pPr>
        <w:ind w:right="700" w:firstLine="961"/>
        <w:spacing w:after="0" w:line="270" w:lineRule="auto"/>
        <w:tabs>
          <w:tab w:leader="none" w:pos="118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Holders of the 2031 Notes shall have no special rights in addition to those provided in the Base Indenture upon the occurrence of any particular events.</w:t>
      </w:r>
    </w:p>
    <w:p>
      <w:pPr>
        <w:spacing w:after="0" w:line="168" w:lineRule="exact"/>
        <w:rPr>
          <w:rFonts w:ascii="Times New Roman" w:cs="Times New Roman" w:eastAsia="Times New Roman" w:hAnsi="Times New Roman"/>
          <w:sz w:val="18"/>
          <w:szCs w:val="18"/>
          <w:color w:val="auto"/>
        </w:rPr>
      </w:pPr>
    </w:p>
    <w:p>
      <w:pPr>
        <w:ind w:right="500" w:firstLine="961"/>
        <w:spacing w:after="0" w:line="270" w:lineRule="auto"/>
        <w:tabs>
          <w:tab w:leader="none" w:pos="118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2031 Notes will be senior unsecured obligations of the Company and will rank at least equal in right of payment to all of the Company’s other existing and future unsecured and unsubordinated obligations (subject to any priority rights pursuant to applicable law).</w:t>
      </w:r>
    </w:p>
    <w:p>
      <w:pPr>
        <w:spacing w:after="0" w:line="168"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set forth in Sections 2.04, 2.05 and 2.06 shall be applicable to the 2031 Notes.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60"/>
          </w:cols>
          <w:pgMar w:left="560" w:top="267" w:right="579" w:bottom="1440" w:gutter="0" w:footer="0" w:header="0"/>
        </w:sectPr>
      </w:pPr>
    </w:p>
    <w:bookmarkStart w:id="292" w:name="page293"/>
    <w:bookmarkEnd w:id="292"/>
    <w:p>
      <w:pPr>
        <w:ind w:right="240" w:firstLine="961"/>
        <w:spacing w:after="0" w:line="258" w:lineRule="auto"/>
        <w:tabs>
          <w:tab w:leader="none" w:pos="118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Individual Securities may not be exchanged for beneficial interests in Global Securities unless the transferor first delivers to the Transfer Agent a written certificate (in the form of Exhibit C attached hereto) to the effect that such transfer will comply with the appropriate transfer restrictions applicable to the Securities.</w:t>
      </w:r>
    </w:p>
    <w:p>
      <w:pPr>
        <w:spacing w:after="0" w:line="179" w:lineRule="exact"/>
        <w:rPr>
          <w:sz w:val="20"/>
          <w:szCs w:val="20"/>
          <w:color w:val="auto"/>
        </w:rPr>
      </w:pPr>
    </w:p>
    <w:p>
      <w:pPr>
        <w:ind w:right="62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Terms of the 2036 Notes</w:t>
      </w:r>
      <w:r>
        <w:rPr>
          <w:rFonts w:ascii="Times New Roman" w:cs="Times New Roman" w:eastAsia="Times New Roman" w:hAnsi="Times New Roman"/>
          <w:sz w:val="18"/>
          <w:szCs w:val="18"/>
          <w:color w:val="auto"/>
        </w:rPr>
        <w:t>. The 2036 Notes are hereby created and designated as a separate series of Securities under the Base Indenture. The following terms relate to the 2036 Notes:</w:t>
      </w:r>
    </w:p>
    <w:p>
      <w:pPr>
        <w:spacing w:after="0" w:line="169" w:lineRule="exact"/>
        <w:rPr>
          <w:sz w:val="20"/>
          <w:szCs w:val="20"/>
          <w:color w:val="auto"/>
        </w:rPr>
      </w:pPr>
    </w:p>
    <w:p>
      <w:pPr>
        <w:ind w:left="1200" w:hanging="239"/>
        <w:spacing w:after="0"/>
        <w:tabs>
          <w:tab w:leader="none" w:pos="12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shall constitute a separate series of Securities under the Base Indenture having the title “2.75% Notes due 2036.”</w:t>
      </w:r>
    </w:p>
    <w:p>
      <w:pPr>
        <w:spacing w:after="0" w:line="216" w:lineRule="exact"/>
        <w:rPr>
          <w:rFonts w:ascii="Times New Roman" w:cs="Times New Roman" w:eastAsia="Times New Roman" w:hAnsi="Times New Roman"/>
          <w:sz w:val="18"/>
          <w:szCs w:val="18"/>
          <w:color w:val="auto"/>
        </w:rPr>
      </w:pPr>
    </w:p>
    <w:p>
      <w:pPr>
        <w:ind w:right="60" w:firstLine="961"/>
        <w:spacing w:after="0" w:line="270" w:lineRule="auto"/>
        <w:tabs>
          <w:tab w:leader="none" w:pos="12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shall be issued at a price of 100.00% of the principal amount thereof, other than any offering discounts pursuant to the initial offering and resale of the 2036 Notes.</w:t>
      </w:r>
    </w:p>
    <w:p>
      <w:pPr>
        <w:spacing w:after="0" w:line="168" w:lineRule="exact"/>
        <w:rPr>
          <w:rFonts w:ascii="Times New Roman" w:cs="Times New Roman" w:eastAsia="Times New Roman" w:hAnsi="Times New Roman"/>
          <w:sz w:val="18"/>
          <w:szCs w:val="18"/>
          <w:color w:val="auto"/>
        </w:rPr>
      </w:pPr>
    </w:p>
    <w:p>
      <w:pPr>
        <w:ind w:firstLine="961"/>
        <w:spacing w:after="0" w:line="250" w:lineRule="auto"/>
        <w:tabs>
          <w:tab w:leader="none" w:pos="121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2036 Notes (the “</w:t>
      </w:r>
      <w:r>
        <w:rPr>
          <w:rFonts w:ascii="Times New Roman" w:cs="Times New Roman" w:eastAsia="Times New Roman" w:hAnsi="Times New Roman"/>
          <w:sz w:val="18"/>
          <w:szCs w:val="18"/>
          <w:u w:val="single" w:color="auto"/>
          <w:color w:val="auto"/>
        </w:rPr>
        <w:t>Initial 2036 Notes</w:t>
      </w:r>
      <w:r>
        <w:rPr>
          <w:rFonts w:ascii="Times New Roman" w:cs="Times New Roman" w:eastAsia="Times New Roman" w:hAnsi="Times New Roman"/>
          <w:sz w:val="18"/>
          <w:szCs w:val="18"/>
          <w:color w:val="auto"/>
        </w:rPr>
        <w:t>”) that may be initially authenticated and delivered under the Indenture shall be CNY2,500,000,000. The Company may from time to time, without the consent of the Holders of the Notes, issue additional Notes (in any such case “</w:t>
      </w:r>
      <w:r>
        <w:rPr>
          <w:rFonts w:ascii="Times New Roman" w:cs="Times New Roman" w:eastAsia="Times New Roman" w:hAnsi="Times New Roman"/>
          <w:sz w:val="18"/>
          <w:szCs w:val="18"/>
          <w:u w:val="single" w:color="auto"/>
          <w:color w:val="auto"/>
        </w:rPr>
        <w:t>Additional 2036 Notes</w:t>
      </w:r>
      <w:r>
        <w:rPr>
          <w:rFonts w:ascii="Times New Roman" w:cs="Times New Roman" w:eastAsia="Times New Roman" w:hAnsi="Times New Roman"/>
          <w:sz w:val="18"/>
          <w:szCs w:val="18"/>
          <w:color w:val="auto"/>
        </w:rPr>
        <w:t>”) having the same terms and conditions as the Initial 2036 Notes in all respects (or in all respects except for the Issue Date, the issue price or the first Interest Payment Date). Any Additional 2036 Notes and the Initial 2036 Notes shall constitute a single series under the Indenture. All references to the “</w:t>
      </w:r>
      <w:r>
        <w:rPr>
          <w:rFonts w:ascii="Times New Roman" w:cs="Times New Roman" w:eastAsia="Times New Roman" w:hAnsi="Times New Roman"/>
          <w:sz w:val="18"/>
          <w:szCs w:val="18"/>
          <w:u w:val="single" w:color="auto"/>
          <w:color w:val="auto"/>
        </w:rPr>
        <w:t>2036 Notes</w:t>
      </w:r>
      <w:r>
        <w:rPr>
          <w:rFonts w:ascii="Times New Roman" w:cs="Times New Roman" w:eastAsia="Times New Roman" w:hAnsi="Times New Roman"/>
          <w:sz w:val="18"/>
          <w:szCs w:val="18"/>
          <w:color w:val="auto"/>
        </w:rPr>
        <w:t>” shall include the Initial 2036 Notes and any Additional 2036 Notes unless the context otherwise requires. The aggregate principal amount of each of the Additional 2036 Notes shall be unlimited.</w:t>
      </w:r>
    </w:p>
    <w:p>
      <w:pPr>
        <w:spacing w:after="0" w:line="186"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2036 Notes shall be payable on April 10, 2036.</w:t>
      </w:r>
    </w:p>
    <w:p>
      <w:pPr>
        <w:spacing w:after="0" w:line="216" w:lineRule="exact"/>
        <w:rPr>
          <w:rFonts w:ascii="Times New Roman" w:cs="Times New Roman" w:eastAsia="Times New Roman" w:hAnsi="Times New Roman"/>
          <w:sz w:val="18"/>
          <w:szCs w:val="18"/>
          <w:color w:val="auto"/>
        </w:rPr>
      </w:pPr>
    </w:p>
    <w:p>
      <w:pPr>
        <w:ind w:right="120" w:firstLine="961"/>
        <w:spacing w:after="0" w:line="251" w:lineRule="auto"/>
        <w:tabs>
          <w:tab w:leader="none" w:pos="121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2036 Notes shall bear interest shall be 2.75% per year. The date from which interest shall accrue on the 2036 Notes shall be April 10, 2026, or the most recent Interest Payment Date to which interest has been paid or provided for. The Interest Payment Dates for the 2036 Notes shall be April 10 and October 10 of each year, beginning October 10, 2026. Interest shall be payable on each Interest Payment Date to the Holders of record at the close of business on the Clearing System Business Day immediately prior to each Interest Payment Date. The basis upon which interest shall be calculated shall be that of a 365-day year and the actual number of days elapsed.</w:t>
      </w:r>
    </w:p>
    <w:p>
      <w:pPr>
        <w:spacing w:after="0" w:line="186" w:lineRule="exact"/>
        <w:rPr>
          <w:rFonts w:ascii="Times New Roman" w:cs="Times New Roman" w:eastAsia="Times New Roman" w:hAnsi="Times New Roman"/>
          <w:sz w:val="18"/>
          <w:szCs w:val="18"/>
          <w:color w:val="auto"/>
        </w:rPr>
      </w:pPr>
    </w:p>
    <w:p>
      <w:pPr>
        <w:ind w:firstLine="961"/>
        <w:spacing w:after="0" w:line="253" w:lineRule="auto"/>
        <w:tabs>
          <w:tab w:leader="none" w:pos="119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shall be issuable in whole in the form of one or more registered Global Securities. The Global Securities will be registered in the name of, and lodged with a sub-custodian for, the CMU Operator. The 2036 Notes shall be substantially in the form attached hereto as Exhibit B, the terms of which are herein incorporated by reference. The 2036 Notes shall be denominated in Renminbi and shall be issuable in minimum denominations of CNY1,000,000 or any integral multiples of CNY10,000 in excess thereof.</w:t>
      </w:r>
    </w:p>
    <w:p>
      <w:pPr>
        <w:spacing w:after="0" w:line="184" w:lineRule="exact"/>
        <w:rPr>
          <w:rFonts w:ascii="Times New Roman" w:cs="Times New Roman" w:eastAsia="Times New Roman" w:hAnsi="Times New Roman"/>
          <w:sz w:val="18"/>
          <w:szCs w:val="18"/>
          <w:color w:val="auto"/>
        </w:rPr>
      </w:pPr>
    </w:p>
    <w:p>
      <w:pPr>
        <w:ind w:right="300" w:firstLine="961"/>
        <w:spacing w:after="0" w:line="270" w:lineRule="auto"/>
        <w:tabs>
          <w:tab w:leader="none" w:pos="12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may be redeemed at the option of the Company prior to the date of Stated Maturity for payment of principal on the 2036 Notes, as provided in Section 2.03.</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60"/>
          </w:cols>
          <w:pgMar w:left="560" w:top="266" w:right="579" w:bottom="1440" w:gutter="0" w:footer="0" w:header="0"/>
        </w:sectPr>
      </w:pPr>
    </w:p>
    <w:bookmarkStart w:id="293" w:name="page294"/>
    <w:bookmarkEnd w:id="293"/>
    <w:p>
      <w:pPr>
        <w:ind w:left="1230" w:hanging="259"/>
        <w:spacing w:after="0"/>
        <w:tabs>
          <w:tab w:leader="none" w:pos="12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2036 Notes will not have the benefit of any sinking fund.</w:t>
      </w:r>
    </w:p>
    <w:p>
      <w:pPr>
        <w:spacing w:after="0" w:line="216" w:lineRule="exact"/>
        <w:rPr>
          <w:rFonts w:ascii="Times New Roman" w:cs="Times New Roman" w:eastAsia="Times New Roman" w:hAnsi="Times New Roman"/>
          <w:sz w:val="18"/>
          <w:szCs w:val="18"/>
          <w:color w:val="auto"/>
        </w:rPr>
      </w:pPr>
    </w:p>
    <w:p>
      <w:pPr>
        <w:ind w:left="10" w:right="700" w:firstLine="961"/>
        <w:spacing w:after="0" w:line="270" w:lineRule="auto"/>
        <w:tabs>
          <w:tab w:leader="none" w:pos="119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the Holders of the 2036 Notes shall have no special rights in addition to those provided in the Base Indenture upon the occurrence of any particular events.</w:t>
      </w:r>
    </w:p>
    <w:p>
      <w:pPr>
        <w:spacing w:after="0" w:line="168" w:lineRule="exact"/>
        <w:rPr>
          <w:rFonts w:ascii="Times New Roman" w:cs="Times New Roman" w:eastAsia="Times New Roman" w:hAnsi="Times New Roman"/>
          <w:sz w:val="18"/>
          <w:szCs w:val="18"/>
          <w:color w:val="auto"/>
        </w:rPr>
      </w:pPr>
    </w:p>
    <w:p>
      <w:pPr>
        <w:ind w:left="10" w:right="500" w:firstLine="961"/>
        <w:spacing w:after="0" w:line="270" w:lineRule="auto"/>
        <w:tabs>
          <w:tab w:leader="none" w:pos="119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2036 Notes will be senior unsecured obligations of the Company and will rank at least equal in right of payment to all of the Company’s other existing and future unsecured and unsubordinated obligations (subject to any priority rights pursuant to applicable law).</w:t>
      </w:r>
    </w:p>
    <w:p>
      <w:pPr>
        <w:spacing w:after="0" w:line="168" w:lineRule="exact"/>
        <w:rPr>
          <w:rFonts w:ascii="Times New Roman" w:cs="Times New Roman" w:eastAsia="Times New Roman" w:hAnsi="Times New Roman"/>
          <w:sz w:val="18"/>
          <w:szCs w:val="18"/>
          <w:color w:val="auto"/>
        </w:rPr>
      </w:pPr>
    </w:p>
    <w:p>
      <w:pPr>
        <w:ind w:left="1230" w:hanging="259"/>
        <w:spacing w:after="0"/>
        <w:tabs>
          <w:tab w:leader="none" w:pos="123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restrictive covenants set forth in Sections 2.04, 2.05 and 2.06 shall be applicable to the 2036 Notes.</w:t>
      </w:r>
    </w:p>
    <w:p>
      <w:pPr>
        <w:spacing w:after="0" w:line="216" w:lineRule="exact"/>
        <w:rPr>
          <w:rFonts w:ascii="Times New Roman" w:cs="Times New Roman" w:eastAsia="Times New Roman" w:hAnsi="Times New Roman"/>
          <w:sz w:val="18"/>
          <w:szCs w:val="18"/>
          <w:color w:val="auto"/>
        </w:rPr>
      </w:pPr>
    </w:p>
    <w:p>
      <w:pPr>
        <w:ind w:left="10" w:right="240" w:firstLine="961"/>
        <w:spacing w:after="0" w:line="258" w:lineRule="auto"/>
        <w:tabs>
          <w:tab w:leader="none" w:pos="1191"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Securities may not be exchanged for beneficial interests in Global Securities unless the transferor first delivers to the Transfer Agent a written certificate (in the form of Exhibit C attached hereto) to the effect that such transfer will comply with the appropriate transfer restrictions applicable to the Securities.</w:t>
      </w:r>
    </w:p>
    <w:p>
      <w:pPr>
        <w:spacing w:after="0" w:line="179"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7"/>
          <w:szCs w:val="17"/>
          <w:color w:val="auto"/>
        </w:rPr>
        <w:t>(a) The provisions of Article IV of the Base Indenture, as amended by the provisions of this Third Supplemental Indenture, shall apply to</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Notes.</w:t>
      </w:r>
    </w:p>
    <w:p>
      <w:pPr>
        <w:spacing w:after="0" w:line="199" w:lineRule="exact"/>
        <w:rPr>
          <w:sz w:val="20"/>
          <w:szCs w:val="20"/>
          <w:color w:val="auto"/>
        </w:rPr>
      </w:pPr>
    </w:p>
    <w:p>
      <w:pPr>
        <w:ind w:left="1230" w:hanging="259"/>
        <w:spacing w:after="0"/>
        <w:tabs>
          <w:tab w:leader="none" w:pos="1230"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any time upon giving not less than 15 nor more than 60 days’ written notice to (i) the Trustee and the Agents and</w:t>
      </w:r>
    </w:p>
    <w:p>
      <w:pPr>
        <w:spacing w:after="0" w:line="33" w:lineRule="exact"/>
        <w:rPr>
          <w:rFonts w:ascii="Times New Roman" w:cs="Times New Roman" w:eastAsia="Times New Roman" w:hAnsi="Times New Roman"/>
          <w:sz w:val="17"/>
          <w:szCs w:val="17"/>
          <w:color w:val="auto"/>
        </w:rPr>
      </w:pPr>
    </w:p>
    <w:p>
      <w:pPr>
        <w:jc w:val="center"/>
        <w:ind w:left="10" w:right="120" w:hanging="10"/>
        <w:spacing w:after="0" w:line="259" w:lineRule="auto"/>
        <w:tabs>
          <w:tab w:leader="none" w:pos="269"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the 2031 Notes or the 2036 Notes, as the case may be (which notice shall be irrevocable), redeem the 2031 Notes prior to March 10, 2031, in whole or in part, and the 2036 Notes prior to January 10, 2036, in whole or in part, in each case at a redemption amount equal to the greater of</w:t>
      </w:r>
    </w:p>
    <w:p>
      <w:pPr>
        <w:spacing w:after="0" w:line="1" w:lineRule="exact"/>
        <w:rPr>
          <w:rFonts w:ascii="Times New Roman" w:cs="Times New Roman" w:eastAsia="Times New Roman" w:hAnsi="Times New Roman"/>
          <w:sz w:val="17"/>
          <w:szCs w:val="17"/>
          <w:color w:val="auto"/>
        </w:rPr>
      </w:pPr>
    </w:p>
    <w:p>
      <w:pPr>
        <w:ind w:left="10" w:right="80" w:hanging="10"/>
        <w:spacing w:after="0" w:line="246" w:lineRule="auto"/>
        <w:tabs>
          <w:tab w:leader="none" w:pos="25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principal amount of such Notes to be redeemed and (y) the Make Whole Amount, plus, in each case, accrued and unpaid interest on such Notes to be redeemed, if any, to, but not including, the Redemption Date (subject to the right of Holders of record on the relevant Record Date to receive interest due on the relevant Interest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a Note remaining outstanding after redemption in part shall be CNY1,000,000 or an integral multiple of CNY10,000 in excess thereof.</w:t>
      </w:r>
    </w:p>
    <w:p>
      <w:pPr>
        <w:spacing w:after="0" w:line="191" w:lineRule="exact"/>
        <w:rPr>
          <w:rFonts w:ascii="Times New Roman" w:cs="Times New Roman" w:eastAsia="Times New Roman" w:hAnsi="Times New Roman"/>
          <w:sz w:val="18"/>
          <w:szCs w:val="18"/>
          <w:color w:val="auto"/>
        </w:rPr>
      </w:pPr>
    </w:p>
    <w:p>
      <w:pPr>
        <w:ind w:left="1210" w:hanging="239"/>
        <w:spacing w:after="0"/>
        <w:tabs>
          <w:tab w:leader="none" w:pos="1210" w:val="left"/>
        </w:tabs>
        <w:numPr>
          <w:ilvl w:val="1"/>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at any time upon giving not less than 15 nor more than 60 days’ written notice to (i) the Trustee and the Agents and</w:t>
      </w:r>
    </w:p>
    <w:p>
      <w:pPr>
        <w:spacing w:after="0" w:line="33" w:lineRule="exact"/>
        <w:rPr>
          <w:rFonts w:ascii="Times New Roman" w:cs="Times New Roman" w:eastAsia="Times New Roman" w:hAnsi="Times New Roman"/>
          <w:sz w:val="17"/>
          <w:szCs w:val="17"/>
          <w:color w:val="auto"/>
        </w:rPr>
      </w:pPr>
    </w:p>
    <w:p>
      <w:pPr>
        <w:ind w:left="10" w:right="20" w:hanging="10"/>
        <w:spacing w:after="0" w:line="246" w:lineRule="auto"/>
        <w:tabs>
          <w:tab w:leader="none" w:pos="26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the 2031 Notes or the 2036 Notes, as the case may be, redeem the 2031 Notes at any time on or after March 10, 2031, in whole or in part, and the 2036 Notes at any time on or after January 10, 2036, in whole or in part, in each case at a redemption price equal to 100% of the principal amount of the applicable Notes to be redeemed plus accrued and unpaid interest, if any, to (but not including) the date of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principal amount of a Note remaining outstanding after redemption in part shall be CNY1,000,000 or an integral multiple of CNY10,000 in excess thereof.</w:t>
      </w:r>
    </w:p>
    <w:p>
      <w:pPr>
        <w:spacing w:after="0" w:line="1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70"/>
          </w:cols>
          <w:pgMar w:left="550" w:top="266" w:right="579" w:bottom="1440" w:gutter="0" w:footer="0" w:header="0"/>
        </w:sectPr>
      </w:pPr>
    </w:p>
    <w:bookmarkStart w:id="294" w:name="page295"/>
    <w:bookmarkEnd w:id="294"/>
    <w:p>
      <w:pPr>
        <w:ind w:right="100" w:firstLine="961"/>
        <w:spacing w:after="0" w:line="258" w:lineRule="auto"/>
        <w:tabs>
          <w:tab w:leader="none" w:pos="12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If the Redemption Date pursuant to this Section 2.03 is on or after the relevant Record Date and on or before the related Interest Payment Date, any accrued and unpaid interest to the Redemption Date pursuant to this Section 2.03 shall be paid on such Interest Payment Date to the Person in whose name a Note is registered at the close of business on such Record Date.</w:t>
      </w:r>
    </w:p>
    <w:p>
      <w:pPr>
        <w:spacing w:after="0" w:line="178" w:lineRule="exact"/>
        <w:rPr>
          <w:rFonts w:ascii="Times New Roman" w:cs="Times New Roman" w:eastAsia="Times New Roman" w:hAnsi="Times New Roman"/>
          <w:sz w:val="18"/>
          <w:szCs w:val="18"/>
          <w:color w:val="auto"/>
        </w:rPr>
      </w:pPr>
    </w:p>
    <w:p>
      <w:pPr>
        <w:ind w:right="240" w:firstLine="961"/>
        <w:spacing w:after="0" w:line="250" w:lineRule="auto"/>
        <w:tabs>
          <w:tab w:leader="none" w:pos="121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Controlled Entities may, in accordance with all applicable laws and regulations, at any time purchase the Notes in the open market or otherwise at any price, so long as such purchase does not otherwise violate the terms of the Indenture. The Notes so purchased, while held by or on behalf of the Company or any of its Controlled Entities, shall not be deemed to be Outstanding for the purposes of determining whether the Holders of the requisite principal amount of Outstanding Notes have given any request, demand, authorization, direction, notice, consent or waiver hereunder. The Notes that the Company or its Affiliates purchase may, in the discretion of the Company, be held, resold or canceled, but will only be resold in compliance with applicable requirements or exemptions under the relevant securities laws.</w:t>
      </w:r>
    </w:p>
    <w:p>
      <w:pPr>
        <w:spacing w:after="0" w:line="186" w:lineRule="exact"/>
        <w:rPr>
          <w:rFonts w:ascii="Times New Roman" w:cs="Times New Roman" w:eastAsia="Times New Roman" w:hAnsi="Times New Roman"/>
          <w:sz w:val="18"/>
          <w:szCs w:val="18"/>
          <w:color w:val="auto"/>
        </w:rPr>
      </w:pPr>
    </w:p>
    <w:p>
      <w:pPr>
        <w:ind w:left="1180" w:hanging="219"/>
        <w:spacing w:after="0"/>
        <w:tabs>
          <w:tab w:leader="none" w:pos="118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Agents shall be responsible or liable for verifying or calculating the Make Whole Amount.</w:t>
      </w:r>
    </w:p>
    <w:p>
      <w:pPr>
        <w:spacing w:after="0" w:line="216" w:lineRule="exact"/>
        <w:rPr>
          <w:rFonts w:ascii="Times New Roman" w:cs="Times New Roman" w:eastAsia="Times New Roman" w:hAnsi="Times New Roman"/>
          <w:sz w:val="18"/>
          <w:szCs w:val="18"/>
          <w:color w:val="auto"/>
        </w:rPr>
      </w:pPr>
    </w:p>
    <w:p>
      <w:pPr>
        <w:ind w:right="60" w:firstLine="961"/>
        <w:spacing w:after="0" w:line="253" w:lineRule="auto"/>
        <w:tabs>
          <w:tab w:leader="none" w:pos="122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exercises its right to redeem all of the Notes pursuant to Section 4.07 of the Base Indenture, (i) “not less than 15 nor more than 60 calendar days” shall substitute for “not less than 30 nor more than 60 calendar days” in Section 4.03(a) of the Base Indenture for purposes of determining the date by which the notice of redemption shall be given, and (ii) “five Business Days” shall substitute for “15 days” in Section 4.03(a) of the Base Indenture for purposes of determining the date by which the Trustee must be provided with the draft notice.</w:t>
      </w:r>
    </w:p>
    <w:p>
      <w:pPr>
        <w:spacing w:after="0" w:line="185" w:lineRule="exact"/>
        <w:rPr>
          <w:sz w:val="20"/>
          <w:szCs w:val="20"/>
          <w:color w:val="auto"/>
        </w:rPr>
      </w:pPr>
    </w:p>
    <w:p>
      <w:pPr>
        <w:ind w:right="4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The following additional covenant shall apply with respect to the 2031 Notes and the 2036 Notes so long as any of the 2031 Notes or the 2036 Notes, as the case may be, remain outstanding:</w:t>
      </w:r>
    </w:p>
    <w:p>
      <w:pPr>
        <w:spacing w:after="0" w:line="169" w:lineRule="exact"/>
        <w:rPr>
          <w:sz w:val="20"/>
          <w:szCs w:val="20"/>
          <w:color w:val="auto"/>
        </w:rPr>
      </w:pPr>
    </w:p>
    <w:p>
      <w:pPr>
        <w:ind w:firstLine="961"/>
        <w:spacing w:after="0" w:line="249" w:lineRule="auto"/>
        <w:tabs>
          <w:tab w:leader="none" w:pos="121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exceptions set forth in Section 2.04(b) below, the Company will not create or have outstanding, and the Company will ensure that none of its Principal Controlled Entities will create or have outstanding, any Lien upon the whole or any part of their respective present or future assets or revenues (including any uncalled capital) securing any Relevant Indebtedness, or any guarantee in respect of any Relevant Indebtedness either of the Company or of any of its Principal Controlled Entities, without (x) at the same time or prior thereto securing or guaranteeing, as applicable, the 2031 Notes or the 2036 Notes, as the case may be, equally and ratably therewith (or in priority thereto) or (y) providing such other security or guarantee for the 2031 Notes or the 2036 Notes, as the case may be, as shall be approved by an act of the Holders of such series of Notes holding at least a majority of the principal amount of such series of Notes then Outstanding.</w:t>
      </w:r>
    </w:p>
    <w:p>
      <w:pPr>
        <w:spacing w:after="0" w:line="188"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set forth in Section 2.04(a) above will not apply to:</w:t>
      </w:r>
    </w:p>
    <w:p>
      <w:pPr>
        <w:spacing w:after="0" w:line="110" w:lineRule="exact"/>
        <w:rPr>
          <w:rFonts w:ascii="Times New Roman" w:cs="Times New Roman" w:eastAsia="Times New Roman" w:hAnsi="Times New Roman"/>
          <w:sz w:val="18"/>
          <w:szCs w:val="18"/>
          <w:color w:val="auto"/>
        </w:rPr>
      </w:pPr>
    </w:p>
    <w:p>
      <w:pPr>
        <w:ind w:left="420" w:right="480" w:firstLine="934"/>
        <w:spacing w:after="0" w:line="270" w:lineRule="auto"/>
        <w:tabs>
          <w:tab w:leader="none" w:pos="156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arising or already arisen automatically by operation of law which is timely discharged or disputed in good faith by appropriate proceedings;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0"/>
          </w:cols>
          <w:pgMar w:left="560" w:top="267" w:right="579" w:bottom="1440" w:gutter="0" w:footer="0" w:header="0"/>
        </w:sectPr>
      </w:pPr>
    </w:p>
    <w:bookmarkStart w:id="295" w:name="page296"/>
    <w:bookmarkEnd w:id="295"/>
    <w:p>
      <w:pPr>
        <w:ind w:left="420" w:right="100" w:firstLine="934"/>
        <w:spacing w:after="0" w:line="273" w:lineRule="auto"/>
        <w:tabs>
          <w:tab w:leader="none" w:pos="1611"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any Lien in respect of the obligations of any Person which becomes a Principal Controlled Entity or which merges with or into the Company or a Principal Controlled Entity after the date hereof which is in existence at the date on which it becomes a Principal Controlled Entity or merges with or into the Company or a Principal Controlled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Lien was not incurred in anticipation of such acquisition or of such Person becoming a Principal Controlled Entity or being merged with or into the Company or a Principal Controlled Entity;</w:t>
      </w:r>
    </w:p>
    <w:p>
      <w:pPr>
        <w:spacing w:after="0" w:line="62" w:lineRule="exact"/>
        <w:rPr>
          <w:rFonts w:ascii="Times New Roman" w:cs="Times New Roman" w:eastAsia="Times New Roman" w:hAnsi="Times New Roman"/>
          <w:sz w:val="17"/>
          <w:szCs w:val="17"/>
          <w:color w:val="auto"/>
        </w:rPr>
      </w:pPr>
    </w:p>
    <w:p>
      <w:pPr>
        <w:ind w:left="1660" w:hanging="306"/>
        <w:spacing w:after="0"/>
        <w:tabs>
          <w:tab w:leader="none" w:pos="1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or outstanding in favor of the Company;</w:t>
      </w:r>
    </w:p>
    <w:p>
      <w:pPr>
        <w:spacing w:after="0" w:line="110" w:lineRule="exact"/>
        <w:rPr>
          <w:rFonts w:ascii="Times New Roman" w:cs="Times New Roman" w:eastAsia="Times New Roman" w:hAnsi="Times New Roman"/>
          <w:sz w:val="18"/>
          <w:szCs w:val="18"/>
          <w:color w:val="auto"/>
        </w:rPr>
      </w:pPr>
    </w:p>
    <w:p>
      <w:pPr>
        <w:ind w:left="420" w:right="100" w:firstLine="934"/>
        <w:spacing w:after="0" w:line="253" w:lineRule="auto"/>
        <w:tabs>
          <w:tab w:leader="none" w:pos="165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in respect of Relevant Indebtedness of the Company or any Principal Controlled Entity with respect to which the Company or such Principal Controlled Entity has paid money or deposited money or securities with a fiscal agent, trustee or depositary to pay or discharge in full the obligations of the Company or such Principal Controlled Entity in respect thereof (other than the obligation that such money or securities so paid or deposited, and the proceeds therefrom, be sufficient to pay or discharge such obligations in full);</w:t>
      </w:r>
    </w:p>
    <w:p>
      <w:pPr>
        <w:spacing w:after="0" w:line="79" w:lineRule="exact"/>
        <w:rPr>
          <w:rFonts w:ascii="Times New Roman" w:cs="Times New Roman" w:eastAsia="Times New Roman" w:hAnsi="Times New Roman"/>
          <w:sz w:val="18"/>
          <w:szCs w:val="18"/>
          <w:color w:val="auto"/>
        </w:rPr>
      </w:pPr>
    </w:p>
    <w:p>
      <w:pPr>
        <w:ind w:left="420" w:right="220" w:firstLine="934"/>
        <w:spacing w:after="0" w:line="270" w:lineRule="auto"/>
        <w:tabs>
          <w:tab w:leader="none" w:pos="160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in connection with Relevant Indebtedness of the Company or any Principal Controlled Entity denominated in Renminbi and initially offered, marketed or issued primarily to Persons resident in the PRC;</w:t>
      </w:r>
    </w:p>
    <w:p>
      <w:pPr>
        <w:spacing w:after="0" w:line="63" w:lineRule="exact"/>
        <w:rPr>
          <w:rFonts w:ascii="Times New Roman" w:cs="Times New Roman" w:eastAsia="Times New Roman" w:hAnsi="Times New Roman"/>
          <w:sz w:val="18"/>
          <w:szCs w:val="18"/>
          <w:color w:val="auto"/>
        </w:rPr>
      </w:pPr>
    </w:p>
    <w:p>
      <w:pPr>
        <w:ind w:left="1660" w:hanging="306"/>
        <w:spacing w:after="0"/>
        <w:tabs>
          <w:tab w:leader="none" w:pos="1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in connection with a project financed with, or created to secure, Non-recourse Obligations; or</w:t>
      </w:r>
    </w:p>
    <w:p>
      <w:pPr>
        <w:spacing w:after="0" w:line="110" w:lineRule="exact"/>
        <w:rPr>
          <w:rFonts w:ascii="Times New Roman" w:cs="Times New Roman" w:eastAsia="Times New Roman" w:hAnsi="Times New Roman"/>
          <w:sz w:val="18"/>
          <w:szCs w:val="18"/>
          <w:color w:val="auto"/>
        </w:rPr>
      </w:pPr>
    </w:p>
    <w:p>
      <w:pPr>
        <w:jc w:val="both"/>
        <w:ind w:left="420" w:right="20" w:firstLine="934"/>
        <w:spacing w:after="0" w:line="253" w:lineRule="auto"/>
        <w:tabs>
          <w:tab w:leader="none" w:pos="169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arising out of the refinancing, extension, renewal or refunding of any Relevant Indebtedness secured by any Lien permitted by the foregoing clause (ii), (v), or (vi) or this clause (vii) of this Section 2.04(b);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Relevant Indebtedness is not increased beyond the principal amount thereof (together with the costs of such refinancing, extension, renewal or refunding) and is not secured by any additional property or assets.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Repurchase Upon Triggering Event</w:t>
      </w:r>
      <w:r>
        <w:rPr>
          <w:rFonts w:ascii="Times New Roman" w:cs="Times New Roman" w:eastAsia="Times New Roman" w:hAnsi="Times New Roman"/>
          <w:sz w:val="18"/>
          <w:szCs w:val="18"/>
          <w:color w:val="auto"/>
        </w:rPr>
        <w:t>. The following additional covenant shall apply with respect to the 2031 Notes and the 2036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so long as any of the 2031 Notes or the 2036 Notes, as the case may be, remain outstanding:</w:t>
      </w:r>
    </w:p>
    <w:p>
      <w:pPr>
        <w:spacing w:after="0" w:line="199" w:lineRule="exact"/>
        <w:rPr>
          <w:sz w:val="20"/>
          <w:szCs w:val="20"/>
          <w:color w:val="auto"/>
        </w:rPr>
      </w:pPr>
    </w:p>
    <w:p>
      <w:pPr>
        <w:ind w:firstLine="961"/>
        <w:spacing w:after="0" w:line="248" w:lineRule="auto"/>
        <w:tabs>
          <w:tab w:leader="none" w:pos="121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Triggering Event occurs, unless the Company has exercised its right to redeem all of the Notes pursuant to Section 2.03 hereof or Section 4.07 of the Base Indenture, the Company shall make an offer to repurchase all or, at the Holder’s option, any part (equal to CNY1,000,000 or multiples of CNY10,000 in excess thereof, provided that the principal amount of any Note remaining after partial redemption shall be CNY1,000,000 or multiples of CNY10,000 in excess thereof) of each Holder’s Notes pursuant to the offer described below (the “</w:t>
      </w:r>
      <w:r>
        <w:rPr>
          <w:rFonts w:ascii="Times New Roman" w:cs="Times New Roman" w:eastAsia="Times New Roman" w:hAnsi="Times New Roman"/>
          <w:sz w:val="18"/>
          <w:szCs w:val="18"/>
          <w:u w:val="single" w:color="auto"/>
          <w:color w:val="auto"/>
        </w:rPr>
        <w:t>Triggering Event Offer</w:t>
      </w:r>
      <w:r>
        <w:rPr>
          <w:rFonts w:ascii="Times New Roman" w:cs="Times New Roman" w:eastAsia="Times New Roman" w:hAnsi="Times New Roman"/>
          <w:sz w:val="18"/>
          <w:szCs w:val="18"/>
          <w:color w:val="auto"/>
        </w:rPr>
        <w:t>”), at a purchase price in cash equal to 101% of the aggregate principal amount of the Notes repurchased plus accrued and unpaid interest, if any, on the Notes repurchased to, but not including, the date of purchase (the “</w:t>
      </w:r>
      <w:r>
        <w:rPr>
          <w:rFonts w:ascii="Times New Roman" w:cs="Times New Roman" w:eastAsia="Times New Roman" w:hAnsi="Times New Roman"/>
          <w:sz w:val="18"/>
          <w:szCs w:val="18"/>
          <w:u w:val="single" w:color="auto"/>
          <w:color w:val="auto"/>
        </w:rPr>
        <w:t>Triggering Event Payment</w:t>
      </w:r>
      <w:r>
        <w:rPr>
          <w:rFonts w:ascii="Times New Roman" w:cs="Times New Roman" w:eastAsia="Times New Roman" w:hAnsi="Times New Roman"/>
          <w:sz w:val="18"/>
          <w:szCs w:val="18"/>
          <w:color w:val="auto"/>
        </w:rPr>
        <w:t>”) (subject to the right of Holders of record on the relevant Record Date to receive interest due on the relevant Interest Payment Date). Within 30 days following a Triggering Event, unless the Company has exercised its right to redeem all of the Notes pursuant to Section 2.03 hereof or Section 4.07 of the Base Indenture, the Company will mail a notice of such Triggering Event Offer to each Holder or otherwise give notice in accordance with the applicable procedures of CMU, with a copy to the Trustee and Agents, stating:</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40"/>
          </w:cols>
          <w:pgMar w:left="560" w:top="266" w:right="599" w:bottom="1440" w:gutter="0" w:footer="0" w:header="0"/>
        </w:sectPr>
      </w:pPr>
    </w:p>
    <w:bookmarkStart w:id="296" w:name="page297"/>
    <w:bookmarkEnd w:id="296"/>
    <w:p>
      <w:pPr>
        <w:jc w:val="both"/>
        <w:ind w:firstLine="934"/>
        <w:spacing w:after="0" w:line="251" w:lineRule="auto"/>
        <w:tabs>
          <w:tab w:leader="none" w:pos="1142"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that a Triggering Event Offer is being made pursuant to this Section 2.05, including a description of the transaction or transactions that constitute the Triggering Event, and that all Notes properly tendered pursuant to such Triggering Event Offer will be accepted for purchase by the Company at a purchase price in cash equal to 101% of the aggregate principal amount of such Notes plus accrued and unpaid interest, if any, on such Notes to the date of purchase (subject to the right of Holders of record on the relevant Record Date to receive interest due on the relevant Interest Payment Date);</w:t>
      </w:r>
    </w:p>
    <w:p>
      <w:pPr>
        <w:spacing w:after="0" w:line="80" w:lineRule="exact"/>
        <w:rPr>
          <w:rFonts w:ascii="Times New Roman" w:cs="Times New Roman" w:eastAsia="Times New Roman" w:hAnsi="Times New Roman"/>
          <w:sz w:val="18"/>
          <w:szCs w:val="18"/>
          <w:color w:val="auto"/>
        </w:rPr>
      </w:pPr>
    </w:p>
    <w:p>
      <w:pPr>
        <w:ind w:left="1200" w:hanging="266"/>
        <w:spacing w:after="0"/>
        <w:tabs>
          <w:tab w:leader="none" w:pos="120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date (which shall be no earlier than 30 days and no later than 60 days from the date such notice is mailed)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 Payment Date</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right="480" w:firstLine="934"/>
        <w:spacing w:after="0" w:line="270" w:lineRule="auto"/>
        <w:tabs>
          <w:tab w:leader="none" w:pos="12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must be tendered in amounts of CNY1,000,000 or multiples of CNY10,000 in excess thereof, and any Note not properly tendered will remain outstanding and continue to accrue interest;</w:t>
      </w:r>
    </w:p>
    <w:p>
      <w:pPr>
        <w:spacing w:after="0" w:line="63" w:lineRule="exact"/>
        <w:rPr>
          <w:rFonts w:ascii="Times New Roman" w:cs="Times New Roman" w:eastAsia="Times New Roman" w:hAnsi="Times New Roman"/>
          <w:sz w:val="18"/>
          <w:szCs w:val="18"/>
          <w:color w:val="auto"/>
        </w:rPr>
      </w:pPr>
    </w:p>
    <w:p>
      <w:pPr>
        <w:ind w:right="100" w:firstLine="934"/>
        <w:spacing w:after="0" w:line="270" w:lineRule="auto"/>
        <w:tabs>
          <w:tab w:leader="none" w:pos="123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on the payment of the Triggering Event Payment, any Note accepted for payment pursuant to the Triggering Event Offer will cease to accrue interest on and after the Triggering Event Payment Date;</w:t>
      </w:r>
    </w:p>
    <w:p>
      <w:pPr>
        <w:spacing w:after="0" w:line="63" w:lineRule="exact"/>
        <w:rPr>
          <w:rFonts w:ascii="Times New Roman" w:cs="Times New Roman" w:eastAsia="Times New Roman" w:hAnsi="Times New Roman"/>
          <w:sz w:val="18"/>
          <w:szCs w:val="18"/>
          <w:color w:val="auto"/>
        </w:rPr>
      </w:pPr>
    </w:p>
    <w:p>
      <w:pPr>
        <w:ind w:firstLine="934"/>
        <w:spacing w:after="0" w:line="253" w:lineRule="auto"/>
        <w:tabs>
          <w:tab w:leader="none" w:pos="118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purchased pursuant to a Triggering Event Offer will be required to surrender such Notes, with the form entitled “Option of Holder to Elect Purchase” on the reverse of such Notes completed, to the CMU Lodging and Paying Agent specified in the notice at the address specified in the notice prior to the close of business on the third Business Day preceding the Triggering Event Payment Date;</w:t>
      </w:r>
    </w:p>
    <w:p>
      <w:pPr>
        <w:spacing w:after="0" w:line="79" w:lineRule="exact"/>
        <w:rPr>
          <w:rFonts w:ascii="Times New Roman" w:cs="Times New Roman" w:eastAsia="Times New Roman" w:hAnsi="Times New Roman"/>
          <w:sz w:val="18"/>
          <w:szCs w:val="18"/>
          <w:color w:val="auto"/>
        </w:rPr>
      </w:pPr>
    </w:p>
    <w:p>
      <w:pPr>
        <w:ind w:firstLine="934"/>
        <w:spacing w:after="0" w:line="251" w:lineRule="auto"/>
        <w:tabs>
          <w:tab w:leader="none" w:pos="123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shall be entitled to withdraw their tendered Notes and their election to require the Company to purchase such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CMU Lodging and Paying Agent receives at the address specified in the notice, not later than the close of business on the 30th day following the date of the Triggering Event notice, an email transmission or a letter setting forth the name of the Holder of the Notes, the principal amount of Notes tendered for purchase, and a statement that such Holder is withdrawing its tendered Notes and its election to have such Notes purchased;</w:t>
      </w:r>
    </w:p>
    <w:p>
      <w:pPr>
        <w:spacing w:after="0" w:line="80" w:lineRule="exact"/>
        <w:rPr>
          <w:rFonts w:ascii="Times New Roman" w:cs="Times New Roman" w:eastAsia="Times New Roman" w:hAnsi="Times New Roman"/>
          <w:sz w:val="18"/>
          <w:szCs w:val="18"/>
          <w:color w:val="auto"/>
        </w:rPr>
      </w:pPr>
    </w:p>
    <w:p>
      <w:pPr>
        <w:ind w:right="260" w:firstLine="934"/>
        <w:spacing w:after="0" w:line="258" w:lineRule="auto"/>
        <w:tabs>
          <w:tab w:leader="none" w:pos="127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 Holder is tendering less than all of its Notes, such Holder will be issued new Notes equal in principal amount to the unpurchased portion of the Notes surrendered (the unpurchased portion of the Notes must be equal to CNY1,000,000 or an integral multiple of CNY10,000 in excess thereof); and</w:t>
      </w:r>
    </w:p>
    <w:p>
      <w:pPr>
        <w:spacing w:after="0" w:line="72" w:lineRule="exact"/>
        <w:rPr>
          <w:rFonts w:ascii="Times New Roman" w:cs="Times New Roman" w:eastAsia="Times New Roman" w:hAnsi="Times New Roman"/>
          <w:sz w:val="18"/>
          <w:szCs w:val="18"/>
          <w:color w:val="auto"/>
        </w:rPr>
      </w:pPr>
    </w:p>
    <w:p>
      <w:pPr>
        <w:ind w:left="1340" w:hanging="406"/>
        <w:spacing w:after="0"/>
        <w:tabs>
          <w:tab w:leader="none" w:pos="1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instructions, as determined by the Company consistent with this Section 2.05, that a Holder must follow.</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320"/>
          </w:cols>
          <w:pgMar w:left="980" w:top="267" w:right="599" w:bottom="1440" w:gutter="0" w:footer="0" w:header="0"/>
        </w:sectPr>
      </w:pPr>
    </w:p>
    <w:bookmarkStart w:id="297" w:name="page298"/>
    <w:bookmarkEnd w:id="297"/>
    <w:p>
      <w:pPr>
        <w:ind w:firstLine="97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notice, if sent in a manner herein provided, shall be conclusively presumed to have been given, whether or not the Holder receives such notice. If (A) the notice is sent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w:t>
      </w:r>
    </w:p>
    <w:p>
      <w:pPr>
        <w:spacing w:after="0" w:line="185" w:lineRule="exact"/>
        <w:rPr>
          <w:sz w:val="20"/>
          <w:szCs w:val="20"/>
          <w:color w:val="auto"/>
        </w:rPr>
      </w:pPr>
    </w:p>
    <w:p>
      <w:pPr>
        <w:ind w:left="1220" w:hanging="259"/>
        <w:spacing w:after="0"/>
        <w:tabs>
          <w:tab w:leader="none" w:pos="12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Triggering Event Payment Date, the Company will, to the extent lawful:</w:t>
      </w:r>
    </w:p>
    <w:p>
      <w:pPr>
        <w:spacing w:after="0" w:line="110" w:lineRule="exact"/>
        <w:rPr>
          <w:rFonts w:ascii="Times New Roman" w:cs="Times New Roman" w:eastAsia="Times New Roman" w:hAnsi="Times New Roman"/>
          <w:sz w:val="18"/>
          <w:szCs w:val="18"/>
          <w:color w:val="auto"/>
        </w:rPr>
      </w:pPr>
    </w:p>
    <w:p>
      <w:pPr>
        <w:ind w:left="420" w:right="500" w:firstLine="934"/>
        <w:spacing w:after="0" w:line="270" w:lineRule="auto"/>
        <w:tabs>
          <w:tab w:leader="none" w:pos="1562"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(of CNY1,000,000 or integral multiples of CNY10,000 in excess thereof) properly tendered pursuant to the Triggering Event Offer;</w:t>
      </w:r>
    </w:p>
    <w:p>
      <w:pPr>
        <w:spacing w:after="0" w:line="63" w:lineRule="exact"/>
        <w:rPr>
          <w:rFonts w:ascii="Times New Roman" w:cs="Times New Roman" w:eastAsia="Times New Roman" w:hAnsi="Times New Roman"/>
          <w:sz w:val="18"/>
          <w:szCs w:val="18"/>
          <w:color w:val="auto"/>
        </w:rPr>
      </w:pPr>
    </w:p>
    <w:p>
      <w:pPr>
        <w:jc w:val="both"/>
        <w:ind w:left="420" w:right="360" w:firstLine="934"/>
        <w:spacing w:after="0" w:line="258" w:lineRule="auto"/>
        <w:tabs>
          <w:tab w:leader="none" w:pos="161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CMU Lodging and Paying Agent, on or prior to 11:00 a.m., Hong Kong time, one Business Day prior to the Triggering Event Payment Date, an amount of cash in Renmenbi equal to the Triggering Event Payment in respect of all Notes or portions of Notes properly tendered; and</w:t>
      </w:r>
    </w:p>
    <w:p>
      <w:pPr>
        <w:spacing w:after="0" w:line="72" w:lineRule="exact"/>
        <w:rPr>
          <w:rFonts w:ascii="Times New Roman" w:cs="Times New Roman" w:eastAsia="Times New Roman" w:hAnsi="Times New Roman"/>
          <w:sz w:val="18"/>
          <w:szCs w:val="18"/>
          <w:color w:val="auto"/>
        </w:rPr>
      </w:pPr>
    </w:p>
    <w:p>
      <w:pPr>
        <w:ind w:left="420" w:right="380" w:firstLine="934"/>
        <w:spacing w:after="0" w:line="300" w:lineRule="auto"/>
        <w:tabs>
          <w:tab w:leader="none" w:pos="1660" w:val="left"/>
        </w:tabs>
        <w:numPr>
          <w:ilvl w:val="1"/>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or cause to be delivered to the Trustee the Notes properly accepted together with an Officers’ Certificate stating the aggregate principal amount of Notes or portions of Notes being purchased by the Company in accordance with the terms of this Section 2.05.</w:t>
      </w:r>
    </w:p>
    <w:p>
      <w:pPr>
        <w:spacing w:after="0" w:line="145" w:lineRule="exact"/>
        <w:rPr>
          <w:rFonts w:ascii="Times New Roman" w:cs="Times New Roman" w:eastAsia="Times New Roman" w:hAnsi="Times New Roman"/>
          <w:sz w:val="17"/>
          <w:szCs w:val="17"/>
          <w:color w:val="auto"/>
        </w:rPr>
      </w:pPr>
    </w:p>
    <w:p>
      <w:pPr>
        <w:jc w:val="both"/>
        <w:ind w:right="140" w:firstLine="961"/>
        <w:spacing w:after="0" w:line="253" w:lineRule="auto"/>
        <w:tabs>
          <w:tab w:leader="none" w:pos="121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CMU Lodging and Paying Agent shall promptly mail, to each Holder who properly tendered Notes, the purchase price for such Notes properly tendered, and the Registrar shall promptly authenticate and mail (or cause to be transferred by book-entry) to each such Holder a new Note equal in principal amount to any unpurchased portion of the Notes surrendered,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 Note will be in a principal amount of CNY1,000,000 or a multiple of CNY10,000 in excess thereof.</w:t>
      </w:r>
    </w:p>
    <w:p>
      <w:pPr>
        <w:spacing w:after="0" w:line="184" w:lineRule="exact"/>
        <w:rPr>
          <w:rFonts w:ascii="Times New Roman" w:cs="Times New Roman" w:eastAsia="Times New Roman" w:hAnsi="Times New Roman"/>
          <w:sz w:val="18"/>
          <w:szCs w:val="18"/>
          <w:color w:val="auto"/>
        </w:rPr>
      </w:pPr>
    </w:p>
    <w:p>
      <w:pPr>
        <w:jc w:val="both"/>
        <w:ind w:right="220" w:firstLine="961"/>
        <w:spacing w:after="0" w:line="258" w:lineRule="auto"/>
        <w:tabs>
          <w:tab w:leader="none" w:pos="12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Triggering Event Payment Date is on or after the relevant Record Date and on or before the related Interest Payment Date, any accrued and unpaid interest to the Triggering Event Payment Date shall be paid on such Interest Payment Date to the Person in whose name a Note is registered at the close of business on such Record Date.</w:t>
      </w:r>
    </w:p>
    <w:p>
      <w:pPr>
        <w:spacing w:after="0" w:line="178" w:lineRule="exact"/>
        <w:rPr>
          <w:rFonts w:ascii="Times New Roman" w:cs="Times New Roman" w:eastAsia="Times New Roman" w:hAnsi="Times New Roman"/>
          <w:sz w:val="18"/>
          <w:szCs w:val="18"/>
          <w:color w:val="auto"/>
        </w:rPr>
      </w:pPr>
    </w:p>
    <w:p>
      <w:pPr>
        <w:ind w:firstLine="961"/>
        <w:spacing w:after="0" w:line="253" w:lineRule="auto"/>
        <w:tabs>
          <w:tab w:leader="none" w:pos="121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make a Triggering Event Offer upon a Triggering Event if a third party makes such an offer in the manner, at the times and otherwise in compliance with the requirements for an offer made by the Company and such third party purchases all Notes properly tendered and not withdrawn under its offer. In the event that such third party terminates or defaults on its offer, the Company will be required to make a Triggering Event Offer treating the date of such termination or default as though it were the date of the Triggering Event.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60" w:top="266" w:right="579" w:bottom="1440" w:gutter="0" w:footer="0" w:header="0"/>
        </w:sectPr>
      </w:pPr>
    </w:p>
    <w:bookmarkStart w:id="298" w:name="page299"/>
    <w:bookmarkEnd w:id="298"/>
    <w:p>
      <w:pPr>
        <w:ind w:right="260" w:firstLine="961"/>
        <w:spacing w:after="0" w:line="251" w:lineRule="auto"/>
        <w:tabs>
          <w:tab w:leader="none" w:pos="119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The Company shall comply with the requirements of Rule 14e-1 under the Exchange Act, to the extent applicable, and any other securities laws and regulations thereunder to the extent those laws and regulations are applicable in connection with the repurchase of the Notes as a result of a Triggering Event. To the extent that the provision of any such securities laws or regulations conflicts with the Triggering Event Offer provisions of the Notes, the Company will comply with those securities laws and regulations and will not be deemed to have breached its obligations under the Triggering Event Offer provisions of the Notes by virtue of any such conflict.</w:t>
      </w:r>
    </w:p>
    <w:p>
      <w:pPr>
        <w:spacing w:after="0" w:line="186" w:lineRule="exact"/>
        <w:rPr>
          <w:rFonts w:ascii="Times New Roman" w:cs="Times New Roman" w:eastAsia="Times New Roman" w:hAnsi="Times New Roman"/>
          <w:sz w:val="18"/>
          <w:szCs w:val="18"/>
          <w:color w:val="auto"/>
        </w:rPr>
      </w:pPr>
    </w:p>
    <w:p>
      <w:pPr>
        <w:ind w:right="720" w:firstLine="961"/>
        <w:spacing w:after="0" w:line="270" w:lineRule="auto"/>
        <w:tabs>
          <w:tab w:leader="none" w:pos="122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take any steps to ascertain whether a Triggering Event or any event which could lead to a Triggering Event has occurred and shall not be liable to any Persons for any failure to do so.</w:t>
      </w:r>
    </w:p>
    <w:p>
      <w:pPr>
        <w:spacing w:after="0" w:line="169" w:lineRule="exact"/>
        <w:rPr>
          <w:sz w:val="20"/>
          <w:szCs w:val="20"/>
          <w:color w:val="auto"/>
        </w:rPr>
      </w:pPr>
    </w:p>
    <w:p>
      <w:pPr>
        <w:ind w:firstLine="431"/>
        <w:spacing w:after="0" w:line="216" w:lineRule="exact"/>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NDRC Post-issuance Filing</w:t>
      </w:r>
      <w:r>
        <w:rPr>
          <w:rFonts w:ascii="Times New Roman" w:cs="Times New Roman" w:eastAsia="Times New Roman" w:hAnsi="Times New Roman"/>
          <w:sz w:val="18"/>
          <w:szCs w:val="18"/>
          <w:color w:val="auto"/>
        </w:rPr>
        <w:t>. The Company will notify the Trustee if it does not file or cause to be filed with the NDRC the requisite information and documents required to be filed with the NDRC in respect of the Notes within the relevant prescribed timeframe after the completion of the Notes issuance in accordance with the Administrative Measures for the Review and Registration of Medium- and Long-Term Foreign Debt of Enterprises (</w:t>
      </w:r>
      <w:r>
        <w:rPr>
          <w:rFonts w:ascii="SimSun" w:cs="SimSun" w:eastAsia="SimSun" w:hAnsi="SimSun"/>
          <w:sz w:val="18"/>
          <w:szCs w:val="18"/>
          <w:color w:val="auto"/>
        </w:rPr>
        <w:t>企业中长期外债审核登记管理办法</w:t>
      </w:r>
      <w:r>
        <w:rPr>
          <w:rFonts w:ascii="Times New Roman" w:cs="Times New Roman" w:eastAsia="Times New Roman" w:hAnsi="Times New Roman"/>
          <w:sz w:val="18"/>
          <w:szCs w:val="18"/>
          <w:color w:val="auto"/>
        </w:rPr>
        <w:t>(</w:t>
      </w:r>
      <w:r>
        <w:rPr>
          <w:rFonts w:ascii="SimSun" w:cs="SimSun" w:eastAsia="SimSun" w:hAnsi="SimSun"/>
          <w:sz w:val="18"/>
          <w:szCs w:val="18"/>
          <w:color w:val="auto"/>
        </w:rPr>
        <w:t>国家发展和改革委员会令第</w:t>
      </w:r>
      <w:r>
        <w:rPr>
          <w:rFonts w:ascii="Times New Roman" w:cs="Times New Roman" w:eastAsia="Times New Roman" w:hAnsi="Times New Roman"/>
          <w:sz w:val="18"/>
          <w:szCs w:val="18"/>
          <w:color w:val="auto"/>
        </w:rPr>
        <w:t xml:space="preserve"> 56</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issued by the NDRC and effective from February 10, 2023, and/or any applicable implementation rules, reports, certificates, approvals or guidelines as may be issued by the NDRC from time to time (the “</w:t>
      </w:r>
      <w:r>
        <w:rPr>
          <w:rFonts w:ascii="Times New Roman" w:cs="Times New Roman" w:eastAsia="Times New Roman" w:hAnsi="Times New Roman"/>
          <w:sz w:val="18"/>
          <w:szCs w:val="18"/>
          <w:u w:val="single" w:color="auto"/>
          <w:color w:val="auto"/>
        </w:rPr>
        <w:t>NDRC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Post-Issuance Filings</w:t>
      </w:r>
      <w:r>
        <w:rPr>
          <w:rFonts w:ascii="Times New Roman" w:cs="Times New Roman" w:eastAsia="Times New Roman" w:hAnsi="Times New Roman"/>
          <w:sz w:val="18"/>
          <w:szCs w:val="18"/>
          <w:color w:val="auto"/>
        </w:rPr>
        <w:t>”). Such notification to the Trustee shall be made within 10 PRC Business Days after such failure to complete the NDRC Post-Issuance Filing. The Trustee shall have no obligation or duty to monitor or assist with and ensure the completion of the NDRC Post-Issuance Filings on or before the deadline referred to above or to verify the accuracy, validity, and/or genuineness of any documents in relation to or in connection with the NDRC Post-Issuance Filings, or to translate or procure the translation into English of the documents in relation to or in connection with the NDRC Post-Issuance Filing, or to give notice to the Holders confirming the completion of the NDRC Post-Issuance Filing, and shall not be liable to the Company, the Holders or any other person for not doing so.</w:t>
      </w:r>
    </w:p>
    <w:p>
      <w:pPr>
        <w:spacing w:after="0" w:line="199" w:lineRule="exact"/>
        <w:rPr>
          <w:sz w:val="20"/>
          <w:szCs w:val="20"/>
          <w:color w:val="auto"/>
        </w:rPr>
      </w:pPr>
    </w:p>
    <w:p>
      <w:pPr>
        <w:ind w:right="440" w:firstLine="431"/>
        <w:spacing w:after="0" w:line="25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under Section 12.03(a) of the Base Indenture of the option applicable to Section 12.03(c) thereof, the Company shall, subject to the satisfaction of the conditions set forth in Section 12.03(d) thereof, be released from its obligations under the covenants contained in Section 6.04 and Section 6.06 thereof and from its obligations under the covenants contained in Section 2.04, Section 2.05 and Section 2.06 of this Third Supplemental Indenture, on and after the date the conditions set forth in Section 12.03(d) thereof are satisfied.</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Supplemental Indentures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Definition of “Holder” under Section 1.01 of the Base Indenture shall be replaced in its entirety by the following with respect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only:</w:t>
      </w:r>
    </w:p>
    <w:p>
      <w:pPr>
        <w:spacing w:after="0" w:line="93" w:lineRule="exact"/>
        <w:rPr>
          <w:sz w:val="20"/>
          <w:szCs w:val="20"/>
          <w:color w:val="auto"/>
        </w:rPr>
      </w:pPr>
    </w:p>
    <w:p>
      <w:pPr>
        <w:ind w:left="9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in relation to a Security, means the Person in whose name a Security is registered in the security register for the registration and the registration of transfer or of exchange of the Securities save that, for so long as such Securities are evidenced by a Global Security held by a subcustodian of the CMU, each Person who is for the time being shown in the records of the CMU Operator as the Holder of a particular principal amount of Securities (in which regard any certificate or other document issued by the CMU Operator as to the principal amount of such Securities standing to the account of any person shall be conclusive and binding for all purposes except in the case of manifest error) and shall be treated by the Company, the Trustee, the CMU Lodging and Paying Agent, the Registrar, the Transfer Agent, the other agents and the CMU Operator as the holder of such principal amount of such Securities for all purposes other than with respect to the payment of principal, premium (if any) or interest on the Securities, the right to which shall be vested, as against the Company, the Trustee, the CMU Lodging and Paying Agent, the Registrar, the Transfer Agent, the other agents and the CMU Operator, solely in the registered holder of the Global Security in accordance with and subject to its terms and the expressions; “</w:t>
      </w:r>
      <w:r>
        <w:rPr>
          <w:rFonts w:ascii="Times New Roman" w:cs="Times New Roman" w:eastAsia="Times New Roman" w:hAnsi="Times New Roman"/>
          <w:sz w:val="18"/>
          <w:szCs w:val="18"/>
          <w:u w:val="single" w:color="auto"/>
          <w:color w:val="auto"/>
        </w:rPr>
        <w:t>Holder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and related expressions shall (where appropriate) be construed accordingly.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0"/>
          </w:cols>
          <w:pgMar w:left="560" w:top="267" w:right="579" w:bottom="1440" w:gutter="0" w:footer="0" w:header="0"/>
        </w:sectPr>
      </w:pPr>
    </w:p>
    <w:bookmarkStart w:id="299" w:name="page300"/>
    <w:bookmarkEnd w:id="299"/>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(b) Section 3.03(g) of the Base Indenture shall be replaced in its entirety by the following with respect to the Notes only:</w:t>
      </w:r>
    </w:p>
    <w:p>
      <w:pPr>
        <w:spacing w:after="0" w:line="110" w:lineRule="exact"/>
        <w:rPr>
          <w:sz w:val="20"/>
          <w:szCs w:val="20"/>
          <w:color w:val="auto"/>
        </w:rPr>
      </w:pPr>
    </w:p>
    <w:p>
      <w:pPr>
        <w:ind w:left="960"/>
        <w:spacing w:after="0" w:line="270" w:lineRule="auto"/>
        <w:rPr>
          <w:sz w:val="20"/>
          <w:szCs w:val="20"/>
          <w:color w:val="auto"/>
        </w:rPr>
      </w:pPr>
      <w:r>
        <w:rPr>
          <w:rFonts w:ascii="Times New Roman" w:cs="Times New Roman" w:eastAsia="Times New Roman" w:hAnsi="Times New Roman"/>
          <w:sz w:val="18"/>
          <w:szCs w:val="18"/>
          <w:color w:val="auto"/>
        </w:rPr>
        <w:t>“Each Depositary designated pursuant to Section 3.01 for a Global Security in registered form must, at the time of its designation and at all times while it serves as such Depositary, be a clearing agency registered under applicable statute or regulation.”</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(c) The first sentence of Section 3.06(c)(i) of the Base Indenture shall be replaced in its entirety by the following with respect to the Notes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w:t>
      </w:r>
    </w:p>
    <w:p>
      <w:pPr>
        <w:spacing w:after="0" w:line="93" w:lineRule="exact"/>
        <w:rPr>
          <w:sz w:val="20"/>
          <w:szCs w:val="20"/>
          <w:color w:val="auto"/>
        </w:rPr>
      </w:pPr>
    </w:p>
    <w:p>
      <w:pPr>
        <w:jc w:val="both"/>
        <w:ind w:left="960" w:right="40"/>
        <w:spacing w:after="0" w:line="253" w:lineRule="auto"/>
        <w:rPr>
          <w:sz w:val="20"/>
          <w:szCs w:val="20"/>
          <w:color w:val="auto"/>
        </w:rPr>
      </w:pPr>
      <w:r>
        <w:rPr>
          <w:rFonts w:ascii="Times New Roman" w:cs="Times New Roman" w:eastAsia="Times New Roman" w:hAnsi="Times New Roman"/>
          <w:sz w:val="18"/>
          <w:szCs w:val="18"/>
          <w:color w:val="auto"/>
        </w:rPr>
        <w:t>“(i) Individual Securities shall be issued to all owners of beneficial interests in a Global Security in exchange for such interests at any time the Depositary of the Securities of a series or any other clearing system selected by the Company through which the Securities are held is closed for business for a continuous period of 14 calendar days (other than by reason of holidays, statutory or otherwise) or announces an intention permanently to cease business or does in fact do so.”</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 Section 3.06(h) of the Base Indenture shall be replaced in its entirety by the following with respect to the Notes only:</w:t>
      </w:r>
    </w:p>
    <w:p>
      <w:pPr>
        <w:spacing w:after="0" w:line="110" w:lineRule="exact"/>
        <w:rPr>
          <w:sz w:val="20"/>
          <w:szCs w:val="20"/>
          <w:color w:val="auto"/>
        </w:rPr>
      </w:pPr>
    </w:p>
    <w:p>
      <w:pPr>
        <w:ind w:left="960" w:right="20"/>
        <w:spacing w:after="0" w:line="248" w:lineRule="auto"/>
        <w:rPr>
          <w:sz w:val="20"/>
          <w:szCs w:val="20"/>
          <w:color w:val="auto"/>
        </w:rPr>
      </w:pPr>
      <w:r>
        <w:rPr>
          <w:rFonts w:ascii="Times New Roman" w:cs="Times New Roman" w:eastAsia="Times New Roman" w:hAnsi="Times New Roman"/>
          <w:sz w:val="18"/>
          <w:szCs w:val="18"/>
          <w:color w:val="auto"/>
        </w:rPr>
        <w:t>“Prior to the due presentation for registration of transfer or exchange of any Security, the Company, the Trustee, the CMU Lodging and Paying Agent, the Transfer Agent, the Registrar or any of their agents may deem and treat the Person who is for the time being shown in the records of the CMU Operator as the holder of a particular principal amount of Securities (each such person, an “</w:t>
      </w:r>
      <w:r>
        <w:rPr>
          <w:rFonts w:ascii="Times New Roman" w:cs="Times New Roman" w:eastAsia="Times New Roman" w:hAnsi="Times New Roman"/>
          <w:sz w:val="18"/>
          <w:szCs w:val="18"/>
          <w:u w:val="single" w:color="auto"/>
          <w:color w:val="auto"/>
        </w:rPr>
        <w:t>account holder</w:t>
      </w:r>
      <w:r>
        <w:rPr>
          <w:rFonts w:ascii="Times New Roman" w:cs="Times New Roman" w:eastAsia="Times New Roman" w:hAnsi="Times New Roman"/>
          <w:sz w:val="18"/>
          <w:szCs w:val="18"/>
          <w:color w:val="auto"/>
        </w:rPr>
        <w:t>”), in which regard any certificate or other documents issued by the CMU Operator as to the principal amount of such Securities standing to the account of any Person shall be conclusive and binding for all purposes and shall be treated by the Company, the Trustee, the Agents and the CMU Operator as the Holder of such principal amount of such Securities for all purposes other than with respect to the payment of principal, premium (if any) or interest on the Securities, the right to which shall be vested, as against the Company, the Trustee, the Agents and the CMU Operator solely in the registered holder of the Global Securities in accordance with and subject to its terms. Notwithstanding the above, if the Global Securities are held by or on behalf of the CMU, any payments that are made in respect of the Securities evidenced by the Global Securities shall be made to the respective account holders.”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560" w:top="266" w:right="579" w:bottom="1440" w:gutter="0" w:footer="0" w:header="0"/>
        </w:sectPr>
      </w:pPr>
    </w:p>
    <w:bookmarkStart w:id="300" w:name="page301"/>
    <w:bookmarkEnd w:id="300"/>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(e) Section 4.02(a) of the Base Indenture shall be replaced in its entirety by the following with respect to the Notes only:</w:t>
      </w:r>
    </w:p>
    <w:p>
      <w:pPr>
        <w:spacing w:after="0" w:line="110" w:lineRule="exact"/>
        <w:rPr>
          <w:sz w:val="20"/>
          <w:szCs w:val="20"/>
          <w:color w:val="auto"/>
        </w:rPr>
      </w:pPr>
    </w:p>
    <w:p>
      <w:pPr>
        <w:ind w:left="80"/>
        <w:spacing w:after="0" w:line="248" w:lineRule="auto"/>
        <w:rPr>
          <w:sz w:val="20"/>
          <w:szCs w:val="20"/>
          <w:color w:val="auto"/>
        </w:rPr>
      </w:pPr>
      <w:r>
        <w:rPr>
          <w:rFonts w:ascii="Times New Roman" w:cs="Times New Roman" w:eastAsia="Times New Roman" w:hAnsi="Times New Roman"/>
          <w:sz w:val="18"/>
          <w:szCs w:val="18"/>
          <w:color w:val="auto"/>
        </w:rPr>
        <w:t>“If the Company shall at any time elect to redeem all or any portion of the Securities of a series then Outstanding, it shall at least 15 calendar days (or such shorter period acceptable to the Trustee) prior to the date the notice of redemption is to be mailed, notify the Trustee of such Redemption Date and of the principal amount of Securities to be redeemed, and the Securities for redemption will be selected (i) if held through CMU, in accordance with the requirements of CMU, and (ii) if the Securities are not held through CMU, then pro rata, unless otherwise required by applicable law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In any case where more than one Security of such series is registered in the same name, the Trustee may treat the aggregate principal amount so registered as if it were represented by one Security of such series. If the Securities are in definitive form, the Trustee shall, as soon as practicable, notify the Company in writing of the Securities and portions of Securities so selected.”</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 Section 4.04 of the Base Indenture shall be replaced in its entirety by the following with respect to the Notes only:</w:t>
      </w:r>
    </w:p>
    <w:p>
      <w:pPr>
        <w:spacing w:after="0" w:line="110" w:lineRule="exact"/>
        <w:rPr>
          <w:sz w:val="20"/>
          <w:szCs w:val="20"/>
          <w:color w:val="auto"/>
        </w:rPr>
      </w:pPr>
    </w:p>
    <w:p>
      <w:pPr>
        <w:ind w:left="80" w:right="540"/>
        <w:spacing w:after="0" w:line="280" w:lineRule="auto"/>
        <w:rPr>
          <w:sz w:val="20"/>
          <w:szCs w:val="20"/>
          <w:color w:val="auto"/>
        </w:rPr>
      </w:pPr>
      <w:r>
        <w:rPr>
          <w:rFonts w:ascii="Times New Roman" w:cs="Times New Roman" w:eastAsia="Times New Roman" w:hAnsi="Times New Roman"/>
          <w:sz w:val="17"/>
          <w:szCs w:val="17"/>
          <w:color w:val="auto"/>
        </w:rPr>
        <w:t>“On or prior to 11:00 a.m., Hong Kong time, one Business Day prior to the Redemption Date for any Securities, the Company shall deposit with the CMU Lodging and Paying Agent an amount of money in the Renminbi in which such Securities are denominated sufficient to pay the Redemption Price of such Securities or any portions thereof that are to be redeemed on that date.”</w:t>
      </w:r>
    </w:p>
    <w:p>
      <w:pPr>
        <w:spacing w:after="0" w:line="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80"/>
          </w:cols>
          <w:pgMar w:left="1440" w:top="267" w:right="579" w:bottom="1440" w:gutter="0" w:footer="0" w:header="0"/>
        </w:sectPr>
      </w:pPr>
    </w:p>
    <w:bookmarkStart w:id="301" w:name="page302"/>
    <w:bookmarkEnd w:id="301"/>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(g) Section 4.05 of the Base Indenture shall be replaced in its entirety by the following with respect to the Notes only:</w:t>
      </w:r>
    </w:p>
    <w:p>
      <w:pPr>
        <w:spacing w:after="0" w:line="110" w:lineRule="exact"/>
        <w:rPr>
          <w:sz w:val="20"/>
          <w:szCs w:val="20"/>
          <w:color w:val="auto"/>
        </w:rPr>
      </w:pPr>
    </w:p>
    <w:p>
      <w:pPr>
        <w:ind w:left="80"/>
        <w:spacing w:after="0" w:line="248" w:lineRule="auto"/>
        <w:rPr>
          <w:sz w:val="20"/>
          <w:szCs w:val="20"/>
          <w:color w:val="auto"/>
        </w:rPr>
      </w:pPr>
      <w:r>
        <w:rPr>
          <w:rFonts w:ascii="Times New Roman" w:cs="Times New Roman" w:eastAsia="Times New Roman" w:hAnsi="Times New Roman"/>
          <w:sz w:val="18"/>
          <w:szCs w:val="18"/>
          <w:color w:val="auto"/>
        </w:rPr>
        <w:t>“If notice of redemption has been given as above provided, any Securities so to be redeemed shall, on the Redemption Date, become due and payable at the Redemption Price and from and after such date (unless the Company shall Default in the payment of the Redemption Price) such Securities shall be redeemed and cease to bear interest, and, except as provided in Section 12.07, such Securities shall cease from and after the Redemption Date to be entitled to any benefit or security under the Indenture, and the Holders thereof shall have no right in respect of such Securities except the right to receive the Redemption Price thereof and unpaid interest to the Redemption Date. Upon surrender of any such Security for redemption in accordance with said notice, such Security shall be paid by the Paying Agent with the moneys deposited in accordance with Section 4.04 above at the Redemption Price (unless the Company shall Default in the payment of the Redemption Price); provided, however, that (unless otherwise provided pursuant to Section 3.01) installments of interest that have a Stated Maturity on or prior to the Redemption Date for such Securities shall be payable according to the terms of such Securities and the provisions of Section 3.08.</w:t>
      </w:r>
    </w:p>
    <w:p>
      <w:pPr>
        <w:spacing w:after="0" w:line="82" w:lineRule="exact"/>
        <w:rPr>
          <w:sz w:val="20"/>
          <w:szCs w:val="20"/>
          <w:color w:val="auto"/>
        </w:rPr>
      </w:pPr>
    </w:p>
    <w:p>
      <w:pPr>
        <w:ind w:left="80" w:right="200"/>
        <w:spacing w:after="0" w:line="270"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thereof shall, until paid or duly provided for, bear interest from the Redemption Date at the rate prescribed therefor in the Security.”</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 Section 4.07(a) of the Base Indenture shall be replaced in its entirety by the following with respect to the Notes only:</w:t>
      </w:r>
    </w:p>
    <w:p>
      <w:pPr>
        <w:spacing w:after="0" w:line="110" w:lineRule="exact"/>
        <w:rPr>
          <w:sz w:val="20"/>
          <w:szCs w:val="20"/>
          <w:color w:val="auto"/>
        </w:rPr>
      </w:pPr>
    </w:p>
    <w:p>
      <w:pPr>
        <w:ind w:left="80" w:right="40"/>
        <w:spacing w:after="0" w:line="247" w:lineRule="auto"/>
        <w:rPr>
          <w:sz w:val="20"/>
          <w:szCs w:val="20"/>
          <w:color w:val="auto"/>
        </w:rPr>
      </w:pPr>
      <w:r>
        <w:rPr>
          <w:rFonts w:ascii="Times New Roman" w:cs="Times New Roman" w:eastAsia="Times New Roman" w:hAnsi="Times New Roman"/>
          <w:sz w:val="18"/>
          <w:szCs w:val="18"/>
          <w:color w:val="auto"/>
        </w:rPr>
        <w:t>“Each series of Securities may be redeemed at any time, at the option of the Company, in whole but not in part, upon written notice as described below, at a redemption price equal to 100% of the principal amount thereof, together with accrued and unpaid interest, if any, to, but not including, the Redemption Date, if (i) as a result of any change in, or amendment to, the laws or regulations of the Relevant Jurisdiction (or, in the case of Additional Amounts payable by a successor Person to the Company, the applicable Successor Jurisdiction), or any change in the official application or official interpretation of such laws or regulations, which change or amendment becomes effective on or after the Issue Date (or, in the case of Additional Amounts payable by a successor Person to the Company, the date on which such successor Person to the Company became such pursuant to the applicable provisions of this Indenture) (a “</w:t>
      </w:r>
      <w:r>
        <w:rPr>
          <w:rFonts w:ascii="Times New Roman" w:cs="Times New Roman" w:eastAsia="Times New Roman" w:hAnsi="Times New Roman"/>
          <w:sz w:val="18"/>
          <w:szCs w:val="18"/>
          <w:u w:val="single" w:color="auto"/>
          <w:color w:val="auto"/>
        </w:rPr>
        <w:t>Tax Change</w:t>
      </w:r>
      <w:r>
        <w:rPr>
          <w:rFonts w:ascii="Times New Roman" w:cs="Times New Roman" w:eastAsia="Times New Roman" w:hAnsi="Times New Roman"/>
          <w:sz w:val="18"/>
          <w:szCs w:val="18"/>
          <w:color w:val="auto"/>
        </w:rPr>
        <w:t>”), the Company or any such successor Person to the Company is, or would be, obligated to pay Additional Amounts upon the next payment of principal, premium, if any, or interest in respect of such Securities and (ii) such obligation cannot be avoided by the Company or any such successor Person to the Company taking commercially reasonable measures available to it (which, for the avoidance of doubt, shall not include any measure that would, in our sole discretion, be likely to have a material adverse effect on our business, operations, financial condition or reputation), provided that changing the jurisdiction of the Company or such successor Person to Company is not a reasonable measure for purposes of this Section 4.07(a).”</w:t>
      </w:r>
    </w:p>
    <w:p>
      <w:pPr>
        <w:spacing w:after="0" w:line="1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880"/>
          </w:cols>
          <w:pgMar w:left="1440" w:top="266" w:right="579" w:bottom="1440" w:gutter="0" w:footer="0" w:header="0"/>
        </w:sectPr>
      </w:pPr>
    </w:p>
    <w:bookmarkStart w:id="302" w:name="page303"/>
    <w:bookmarkEnd w:id="302"/>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 Section 6.05(a) of the Base Indenture shall be replaced in its entirety by the following with respect to the Notes only:</w:t>
      </w:r>
    </w:p>
    <w:p>
      <w:pPr>
        <w:spacing w:after="0" w:line="110" w:lineRule="exact"/>
        <w:rPr>
          <w:sz w:val="20"/>
          <w:szCs w:val="20"/>
          <w:color w:val="auto"/>
        </w:rPr>
      </w:pPr>
    </w:p>
    <w:p>
      <w:pPr>
        <w:ind w:left="80"/>
        <w:spacing w:after="0" w:line="248" w:lineRule="auto"/>
        <w:rPr>
          <w:sz w:val="20"/>
          <w:szCs w:val="20"/>
          <w:color w:val="auto"/>
        </w:rPr>
      </w:pPr>
      <w:r>
        <w:rPr>
          <w:rFonts w:ascii="Times New Roman" w:cs="Times New Roman" w:eastAsia="Times New Roman" w:hAnsi="Times New Roman"/>
          <w:sz w:val="18"/>
          <w:szCs w:val="18"/>
          <w:color w:val="auto"/>
        </w:rPr>
        <w:t>“All payments of principal, premium, if any, and interest made by or on behalf of the Company in respect of any Security shall be made without withholding or deduction for, or on account of, any present or future taxes, duties, assessments or governmental charges of whatever nature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or levied by or within the Cayman Islands, Hong Kong the PRC or any jurisdiction where the Company or its paying agent are otherwise considered by a taxing authority to be a resident for tax purposes (in each case, including any political subdivision or any authority therein or thereof having power to tax) (the “</w:t>
      </w:r>
      <w:r>
        <w:rPr>
          <w:rFonts w:ascii="Times New Roman" w:cs="Times New Roman" w:eastAsia="Times New Roman" w:hAnsi="Times New Roman"/>
          <w:sz w:val="18"/>
          <w:szCs w:val="18"/>
          <w:u w:val="single" w:color="auto"/>
          <w:color w:val="auto"/>
        </w:rPr>
        <w:t>Relevant Jurisdiction</w:t>
      </w:r>
      <w:r>
        <w:rPr>
          <w:rFonts w:ascii="Times New Roman" w:cs="Times New Roman" w:eastAsia="Times New Roman" w:hAnsi="Times New Roman"/>
          <w:sz w:val="18"/>
          <w:szCs w:val="18"/>
          <w:color w:val="auto"/>
        </w:rPr>
        <w:t>”), unless such withholding or deduction of such Taxes is required by law. If the Company is required to make such withholding or deduction, the Company shall pay such additional amounts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as will result in receipt by each Holder of Securities of such amounts as would have been received by such Holder had no such withholding or deduction of such Taxes been required, except that no such Additional Amounts shall be payable:</w:t>
      </w:r>
    </w:p>
    <w:p>
      <w:pPr>
        <w:spacing w:after="0" w:line="84" w:lineRule="exact"/>
        <w:rPr>
          <w:sz w:val="20"/>
          <w:szCs w:val="20"/>
          <w:color w:val="auto"/>
        </w:rPr>
      </w:pPr>
    </w:p>
    <w:p>
      <w:pPr>
        <w:ind w:left="80" w:right="100" w:firstLine="394"/>
        <w:spacing w:after="0" w:line="250" w:lineRule="auto"/>
        <w:tabs>
          <w:tab w:leader="none" w:pos="68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such Taxes that would not have been imposed, deducted or withheld but for the existence of any connection (whether present or former) between the Holder or beneficial owner of a Security and the Relevant Jurisdiction other than merely holding such Security or receiving principal, premium, if any, or interest in respect thereof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place of management or fixed base therein);</w:t>
      </w:r>
    </w:p>
    <w:p>
      <w:pPr>
        <w:spacing w:after="0" w:line="81" w:lineRule="exact"/>
        <w:rPr>
          <w:rFonts w:ascii="Times New Roman" w:cs="Times New Roman" w:eastAsia="Times New Roman" w:hAnsi="Times New Roman"/>
          <w:sz w:val="18"/>
          <w:szCs w:val="18"/>
          <w:color w:val="auto"/>
        </w:rPr>
      </w:pPr>
    </w:p>
    <w:p>
      <w:pPr>
        <w:ind w:left="80" w:right="140" w:firstLine="394"/>
        <w:spacing w:after="0" w:line="253" w:lineRule="auto"/>
        <w:tabs>
          <w:tab w:leader="none" w:pos="73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Security presented for payment (where presentation is required) more than 30 days after the relevant date, except to the extent that the Holder thereof would have been entitled to such Additional Amounts on presenting the same for payment on the last day of such 30-day period. For this purpose, the “</w:t>
      </w:r>
      <w:r>
        <w:rPr>
          <w:rFonts w:ascii="Times New Roman" w:cs="Times New Roman" w:eastAsia="Times New Roman" w:hAnsi="Times New Roman"/>
          <w:sz w:val="18"/>
          <w:szCs w:val="18"/>
          <w:u w:val="single" w:color="auto"/>
          <w:color w:val="auto"/>
        </w:rPr>
        <w:t>relevant date</w:t>
      </w:r>
      <w:r>
        <w:rPr>
          <w:rFonts w:ascii="Times New Roman" w:cs="Times New Roman" w:eastAsia="Times New Roman" w:hAnsi="Times New Roman"/>
          <w:sz w:val="18"/>
          <w:szCs w:val="18"/>
          <w:color w:val="auto"/>
        </w:rPr>
        <w:t>” in relation to any Security means the later of (a) the due date for such payment or (b) the date such payment was made or duly provided for;</w:t>
      </w:r>
    </w:p>
    <w:p>
      <w:pPr>
        <w:spacing w:after="0" w:line="79" w:lineRule="exact"/>
        <w:rPr>
          <w:rFonts w:ascii="Times New Roman" w:cs="Times New Roman" w:eastAsia="Times New Roman" w:hAnsi="Times New Roman"/>
          <w:sz w:val="18"/>
          <w:szCs w:val="18"/>
          <w:color w:val="auto"/>
        </w:rPr>
      </w:pPr>
    </w:p>
    <w:p>
      <w:pPr>
        <w:ind w:left="80" w:right="120" w:firstLine="394"/>
        <w:spacing w:after="0" w:line="250" w:lineRule="auto"/>
        <w:tabs>
          <w:tab w:leader="none" w:pos="78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Taxes that would not have been imposed, deducted or withheld but for a failure of the Holder or beneficial owner of a Security to promptly comply with any request (whether timely or not) by the Company addressed to the Holder or beneficial owner to (a) provide information, documentation or forms concerning such Holder’s or beneficial owner’s nationality, residence, identity or connection with any Relevant Jurisdiction or (b) take any other action that we reasonably request, if and to the extent that due and timely compliance with such request is required under the tax laws of such jurisdiction in order to reduce or eliminate any withholding or deduction as to which Additional Amounts would have otherwise been payable to such Holder;</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880"/>
          </w:cols>
          <w:pgMar w:left="1440" w:top="266" w:right="579" w:bottom="1440" w:gutter="0" w:footer="0" w:header="0"/>
        </w:sectPr>
      </w:pPr>
    </w:p>
    <w:bookmarkStart w:id="303" w:name="page304"/>
    <w:bookmarkEnd w:id="303"/>
    <w:p>
      <w:pPr>
        <w:ind w:left="80" w:right="320" w:firstLine="394"/>
        <w:spacing w:after="0" w:line="270" w:lineRule="auto"/>
        <w:tabs>
          <w:tab w:leader="none" w:pos="77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respect of any Taxes imposed as a result of a Security being presented for payment (where presentation is required) in the Relevant Jurisdiction, unless such Security could not have been presented for payment elsewhere;</w:t>
      </w:r>
    </w:p>
    <w:p>
      <w:pPr>
        <w:spacing w:after="0" w:line="63" w:lineRule="exact"/>
        <w:rPr>
          <w:rFonts w:ascii="Times New Roman" w:cs="Times New Roman" w:eastAsia="Times New Roman" w:hAnsi="Times New Roman"/>
          <w:sz w:val="18"/>
          <w:szCs w:val="18"/>
          <w:color w:val="auto"/>
        </w:rPr>
      </w:pPr>
    </w:p>
    <w:p>
      <w:pPr>
        <w:ind w:left="720" w:hanging="246"/>
        <w:spacing w:after="0"/>
        <w:tabs>
          <w:tab w:leader="none" w:pos="7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estate, inheritance, gift, sales, transfer, personal property or similar Taxes;</w:t>
      </w:r>
    </w:p>
    <w:p>
      <w:pPr>
        <w:spacing w:after="0" w:line="110" w:lineRule="exact"/>
        <w:rPr>
          <w:rFonts w:ascii="Times New Roman" w:cs="Times New Roman" w:eastAsia="Times New Roman" w:hAnsi="Times New Roman"/>
          <w:sz w:val="18"/>
          <w:szCs w:val="18"/>
          <w:color w:val="auto"/>
        </w:rPr>
      </w:pPr>
    </w:p>
    <w:p>
      <w:pPr>
        <w:jc w:val="both"/>
        <w:ind w:left="80" w:firstLine="394"/>
        <w:spacing w:after="0" w:line="253" w:lineRule="auto"/>
        <w:tabs>
          <w:tab w:leader="none" w:pos="77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 Security that is a fiduciary, partnership or person other than the sole beneficial owner of any payment to the extent that such payment would be required to be included in the income under the laws of a Relevant Jurisdiction, for tax purposes, of a beneficiary or settlor with respect to the fiduciary, or a member of that partnership or a beneficial owner who would not have been entitled to such Additional Amounts had that beneficiary, settlor, partner or beneficial owner been the Holder thereof;</w:t>
      </w:r>
    </w:p>
    <w:p>
      <w:pPr>
        <w:spacing w:after="0" w:line="79" w:lineRule="exact"/>
        <w:rPr>
          <w:rFonts w:ascii="Times New Roman" w:cs="Times New Roman" w:eastAsia="Times New Roman" w:hAnsi="Times New Roman"/>
          <w:sz w:val="18"/>
          <w:szCs w:val="18"/>
          <w:color w:val="auto"/>
        </w:rPr>
      </w:pPr>
    </w:p>
    <w:p>
      <w:pPr>
        <w:ind w:left="80" w:right="160" w:firstLine="394"/>
        <w:spacing w:after="0" w:line="253" w:lineRule="auto"/>
        <w:tabs>
          <w:tab w:leader="none" w:pos="8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withholding or deduction that is imposed in connection with Sections 1471-1474 of the Internal Revenue Code of 1986, as amended, and U.S. Treasury regulations thereunder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any intergovernmental agreement between the United States and any other jurisdiction implementing or relating to FATCA or any non-U.S. law, regulation or guidance enacted or issued with respect thereto;</w:t>
      </w:r>
    </w:p>
    <w:p>
      <w:pPr>
        <w:spacing w:after="0" w:line="79" w:lineRule="exact"/>
        <w:rPr>
          <w:rFonts w:ascii="Times New Roman" w:cs="Times New Roman" w:eastAsia="Times New Roman" w:hAnsi="Times New Roman"/>
          <w:sz w:val="18"/>
          <w:szCs w:val="18"/>
          <w:color w:val="auto"/>
        </w:rPr>
      </w:pPr>
    </w:p>
    <w:p>
      <w:pPr>
        <w:ind w:left="880" w:hanging="406"/>
        <w:spacing w:after="0"/>
        <w:tabs>
          <w:tab w:leader="none" w:pos="88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Taxes payable otherwise than by deduction or withholding from payments under or with respect to any Security; or</w:t>
      </w:r>
    </w:p>
    <w:p>
      <w:pPr>
        <w:spacing w:after="0" w:line="121" w:lineRule="exact"/>
        <w:rPr>
          <w:rFonts w:ascii="Times New Roman" w:cs="Times New Roman" w:eastAsia="Times New Roman" w:hAnsi="Times New Roman"/>
          <w:sz w:val="17"/>
          <w:szCs w:val="17"/>
          <w:color w:val="auto"/>
        </w:rPr>
      </w:pPr>
    </w:p>
    <w:p>
      <w:pPr>
        <w:ind w:left="780" w:hanging="306"/>
        <w:spacing w:after="0"/>
        <w:tabs>
          <w:tab w:leader="none" w:pos="78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Taxes referred to in the preceding clauses (i) through (viii) above.”</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 Section 7.01(d) of the Base Indenture shall be replaced in its entirety by the following with respect to the Notes only:</w:t>
      </w:r>
    </w:p>
    <w:p>
      <w:pPr>
        <w:spacing w:after="0" w:line="110" w:lineRule="exact"/>
        <w:rPr>
          <w:sz w:val="20"/>
          <w:szCs w:val="20"/>
          <w:color w:val="auto"/>
        </w:rPr>
      </w:pPr>
    </w:p>
    <w:p>
      <w:pPr>
        <w:ind w:left="80" w:right="240"/>
        <w:spacing w:after="0" w:line="253" w:lineRule="auto"/>
        <w:rPr>
          <w:sz w:val="20"/>
          <w:szCs w:val="20"/>
          <w:color w:val="auto"/>
        </w:rPr>
      </w:pPr>
      <w:r>
        <w:rPr>
          <w:rFonts w:ascii="Times New Roman" w:cs="Times New Roman" w:eastAsia="Times New Roman" w:hAnsi="Times New Roman"/>
          <w:sz w:val="18"/>
          <w:szCs w:val="18"/>
          <w:color w:val="auto"/>
        </w:rPr>
        <w:t>“the Company, subject to the provisions of Section 6.08, defaults in the performance of or breaches any covenant or agreement in this Indenture or under the Securities of such series (other than a default specified in clause (a), (b) or (c) above) and such default or breach continues for a period of 60 consecutive days after written notice by the Trustee or the Holders of 25% or more in aggregate principal amount of the Securities of such series then Outstanding;”</w:t>
      </w:r>
    </w:p>
    <w:p>
      <w:pPr>
        <w:spacing w:after="0" w:line="185" w:lineRule="exact"/>
        <w:rPr>
          <w:sz w:val="20"/>
          <w:szCs w:val="20"/>
          <w:color w:val="auto"/>
        </w:rPr>
      </w:pPr>
    </w:p>
    <w:p>
      <w:pPr>
        <w:ind w:left="340" w:hanging="259"/>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7.01(e), 7.01(f) and 7.02(b) of the Base Indenture shall be deleted in its entirety with respect to the Notes only.</w:t>
      </w:r>
    </w:p>
    <w:p>
      <w:pPr>
        <w:spacing w:after="0" w:line="149"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9840"/>
          </w:cols>
          <w:pgMar w:left="1440" w:top="267" w:right="619" w:bottom="1440" w:gutter="0" w:footer="0" w:header="0"/>
        </w:sectPr>
      </w:pPr>
    </w:p>
    <w:bookmarkStart w:id="304" w:name="page305"/>
    <w:bookmarkEnd w:id="304"/>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(l) Section 7.02(a) of the Base Indenture shall be replaced in its entirety by the following with respect to the Notes only:</w:t>
      </w:r>
    </w:p>
    <w:p>
      <w:pPr>
        <w:spacing w:after="0" w:line="110" w:lineRule="exact"/>
        <w:rPr>
          <w:sz w:val="20"/>
          <w:szCs w:val="20"/>
          <w:color w:val="auto"/>
        </w:rPr>
      </w:pPr>
    </w:p>
    <w:p>
      <w:pPr>
        <w:ind w:left="80"/>
        <w:spacing w:after="0" w:line="262" w:lineRule="auto"/>
        <w:rPr>
          <w:sz w:val="20"/>
          <w:szCs w:val="20"/>
          <w:color w:val="auto"/>
        </w:rPr>
      </w:pPr>
      <w:r>
        <w:rPr>
          <w:rFonts w:ascii="Times New Roman" w:cs="Times New Roman" w:eastAsia="Times New Roman" w:hAnsi="Times New Roman"/>
          <w:sz w:val="17"/>
          <w:szCs w:val="17"/>
          <w:color w:val="auto"/>
        </w:rPr>
        <w:t>“Except as otherwise provided as contemplated by Section 3.01 with respect to any series of Securities, if any one or more of the above-described Events of Default (other than an Event of Default specified in Section 7.01(g) or 7.01(h)) shall happen with respect to Securities of any series at the time Outstanding, then, and in each and every such case, during the continuance of any such Event of Default, the Trustee or the Holders of not less than 25% in aggregate principal amount of the Securities of such series then Outstanding may, and the Trustee acting on the written direction of holders of at least 25% in aggregate principal amount of the Securities of that series then outstanding (subject to receipt of satisfactory indemnity, security and/or prefunding) shall, declare the principal (or, if the Securities of that series are Original Issue Discount Securities, such portion of the principal amount as may be specified in the terms of that series) of and all accrued but unpaid interest on all the Securities of such series then Outstanding to be due and payable immediately by a notice in writing to the Company (and to the Trustee if given by Holders), and upon any such declaration such principal amount (or specified amount) shall become immediately due and payable. If an Event of Default specified in Section 7.01(g) or 7.01(h) occurs and is continuing, then in every such case, the principal amount of all of the Securities of that series then Outstanding shall automatically, and without any declaration or any other action on the part of the Trustee or any Holder, become due and payable immediately. Upon payment of such amounts in the Currency in which such Securities are denominated (subject to Section 3.11 and except as otherwise provided pursuant to Section 3.01), all obligations of the Company in respect of the payment of principal of and interest on the Securities of such series shall terminate.”</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 With respect to the Notes only, the following paragraph shall be added to Section 7.03 of the Base Indenture:</w:t>
      </w:r>
    </w:p>
    <w:p>
      <w:pPr>
        <w:spacing w:after="0" w:line="110" w:lineRule="exact"/>
        <w:rPr>
          <w:sz w:val="20"/>
          <w:szCs w:val="20"/>
          <w:color w:val="auto"/>
        </w:rPr>
      </w:pPr>
    </w:p>
    <w:p>
      <w:pPr>
        <w:ind w:left="80" w:right="20"/>
        <w:spacing w:after="0" w:line="250"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and shall (subject to it being indemnified and/or secured and/or prefunded to its satisfaction) upon written request of Holders of at least 25% in aggregate principal amount of outstanding Securities, in its own name and as trustee of an express trust, institute any action or proceeding at law or in equity for the collection of the sums so due and unpaid, and may prosecute any such action or proceeding to judgment or final decree, and may enforce any such judgment or final decree against the Company or any other obligor upon the Securities of such series, and collect the moneys adjudged or decreed to be payable out of our property, wherever situated, in the manner provided by law.”</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 Section 12.02(a)(i)(B) of the Base Indenture shall be replaced in its entirety by the following with respect to the Notes only:</w:t>
      </w:r>
    </w:p>
    <w:p>
      <w:pPr>
        <w:spacing w:after="0" w:line="110" w:lineRule="exact"/>
        <w:rPr>
          <w:sz w:val="20"/>
          <w:szCs w:val="20"/>
          <w:color w:val="auto"/>
        </w:rPr>
      </w:pPr>
    </w:p>
    <w:p>
      <w:pPr>
        <w:ind w:left="80" w:right="100"/>
        <w:spacing w:after="0" w:line="264" w:lineRule="auto"/>
        <w:rPr>
          <w:sz w:val="20"/>
          <w:szCs w:val="20"/>
          <w:color w:val="auto"/>
        </w:rPr>
      </w:pPr>
      <w:r>
        <w:rPr>
          <w:rFonts w:ascii="Times New Roman" w:cs="Times New Roman" w:eastAsia="Times New Roman" w:hAnsi="Times New Roman"/>
          <w:sz w:val="17"/>
          <w:szCs w:val="17"/>
          <w:color w:val="auto"/>
        </w:rPr>
        <w:t xml:space="preserve">“all Securities of such series that have not been delivered to the Paying Agent for cancellation have become due and payable by reason of the mailing of a notice of redemption or otherwise or will become due and payable within one year and the Company has irrevocably deposited or caused to be deposited with the Trustee (or its agent) as trust funds in trust solely for the benefit of the Holders, cash in Renminbi, in amounts as will be sufficient, without consideration of any reinvestment of interest, to pay and discharge the entire Indebtedness on such Securities not delivered to the Paying Agent for cancellation for principal, premium, if any, and accrued interest to the Stated Maturity or Redemption Date,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the event a petition for relief under the Bankruptcy Code or any applicable state bankruptcy, insolvency or other similar law is filed with respect to the Company within 91 days after the deposit and the Trustee (or its agent) is required to return the moneys then on deposit with the Trustee to the Company, the obligations of the Company under this Indenture with respect to such Securities shall not be deemed terminated or discharged;”</w:t>
      </w:r>
    </w:p>
    <w:p>
      <w:pPr>
        <w:spacing w:after="0" w:line="11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880"/>
          </w:cols>
          <w:pgMar w:left="1440" w:top="266" w:right="579" w:bottom="1440" w:gutter="0" w:footer="0" w:header="0"/>
        </w:sectPr>
      </w:pPr>
    </w:p>
    <w:bookmarkStart w:id="305" w:name="page306"/>
    <w:bookmarkEnd w:id="305"/>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(o) Section 12.03(d)(i) of the Base Indenture shall be replaced in its entirety by the following with respect to the Notes only:</w:t>
      </w:r>
    </w:p>
    <w:p>
      <w:pPr>
        <w:spacing w:after="0" w:line="110" w:lineRule="exact"/>
        <w:rPr>
          <w:sz w:val="20"/>
          <w:szCs w:val="20"/>
          <w:color w:val="auto"/>
        </w:rPr>
      </w:pPr>
    </w:p>
    <w:p>
      <w:pPr>
        <w:ind w:left="80"/>
        <w:spacing w:after="0" w:line="251" w:lineRule="auto"/>
        <w:rPr>
          <w:sz w:val="20"/>
          <w:szCs w:val="20"/>
          <w:color w:val="auto"/>
        </w:rPr>
      </w:pPr>
      <w:r>
        <w:rPr>
          <w:rFonts w:ascii="Times New Roman" w:cs="Times New Roman" w:eastAsia="Times New Roman" w:hAnsi="Times New Roman"/>
          <w:sz w:val="18"/>
          <w:szCs w:val="18"/>
          <w:color w:val="auto"/>
        </w:rPr>
        <w:t>“the Company must irrevocably deposit with the Trustee (or its agent) as trust funds, in trust, for the benefit of the Holders of all Securities subject to Legal Defeasance or Covenant Defeasance, cash in Renminbi, in amounts as will be sufficient, in the opinion of a nationally recognized investment bank, appraisal firm or firm of independent public accountants to pay the principal of, or interest and premium on such Securities that are then Outstanding on the Stated Maturity or Redemption Date, as the case may be, and the Company must specify whether such Securities are being defeased to maturity or to a particular Redemption Date;”</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 Section 14.01(h) of the Base Indenture shall be replaced in its entirety by the following with respect to the Notes only:</w:t>
      </w:r>
    </w:p>
    <w:p>
      <w:pPr>
        <w:spacing w:after="0" w:line="110" w:lineRule="exact"/>
        <w:rPr>
          <w:sz w:val="20"/>
          <w:szCs w:val="20"/>
          <w:color w:val="auto"/>
        </w:rPr>
      </w:pPr>
    </w:p>
    <w:p>
      <w:pPr>
        <w:ind w:left="80" w:right="180"/>
        <w:spacing w:after="0" w:line="258" w:lineRule="auto"/>
        <w:rPr>
          <w:sz w:val="20"/>
          <w:szCs w:val="20"/>
          <w:color w:val="auto"/>
        </w:rPr>
      </w:pPr>
      <w:r>
        <w:rPr>
          <w:rFonts w:ascii="Times New Roman" w:cs="Times New Roman" w:eastAsia="Times New Roman" w:hAnsi="Times New Roman"/>
          <w:sz w:val="18"/>
          <w:szCs w:val="18"/>
          <w:color w:val="auto"/>
        </w:rPr>
        <w:t>“to conform the text of this Indenture or any series of the Securities to any provision of the section entitled “Description of the Notes” in the Offering Memorandum to the extent that such provision in the Offering Memorandum was intended to be a verbatim recitation of a provision of this Indenture or such series of the Securities as evidenced by an Officers’ Certificate;”</w:t>
      </w:r>
    </w:p>
    <w:p>
      <w:pPr>
        <w:spacing w:after="0" w:line="1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(q) Clause (ii) of Section 14.02(a) of the Base Indenture shall be replaced in its entirety by the following with respect to the Notes only:</w:t>
      </w:r>
    </w:p>
    <w:p>
      <w:pPr>
        <w:spacing w:after="0" w:line="110" w:lineRule="exact"/>
        <w:rPr>
          <w:sz w:val="20"/>
          <w:szCs w:val="20"/>
          <w:color w:val="auto"/>
        </w:rPr>
      </w:pPr>
    </w:p>
    <w:p>
      <w:pPr>
        <w:ind w:left="80" w:right="480"/>
        <w:spacing w:after="0" w:line="270" w:lineRule="auto"/>
        <w:rPr>
          <w:sz w:val="20"/>
          <w:szCs w:val="20"/>
          <w:color w:val="auto"/>
        </w:rPr>
      </w:pPr>
      <w:r>
        <w:rPr>
          <w:rFonts w:ascii="Times New Roman" w:cs="Times New Roman" w:eastAsia="Times New Roman" w:hAnsi="Times New Roman"/>
          <w:sz w:val="18"/>
          <w:szCs w:val="18"/>
          <w:color w:val="auto"/>
        </w:rPr>
        <w:t>“reduce the principal amount of or the payments of interest on any Security, or change the stated time for payment of interest on any Security;”</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 Clause (xi) of Section 14.02(a) of the Base Indenture shall be replaced in its entirety by the following with respect to the Notes only:</w:t>
      </w:r>
    </w:p>
    <w:p>
      <w:pPr>
        <w:spacing w:after="0" w:line="110" w:lineRule="exact"/>
        <w:rPr>
          <w:sz w:val="20"/>
          <w:szCs w:val="20"/>
          <w:color w:val="auto"/>
        </w:rPr>
      </w:pPr>
    </w:p>
    <w:p>
      <w:pPr>
        <w:ind w:left="80"/>
        <w:spacing w:after="0" w:line="253" w:lineRule="auto"/>
        <w:rPr>
          <w:sz w:val="20"/>
          <w:szCs w:val="20"/>
          <w:color w:val="auto"/>
        </w:rPr>
      </w:pPr>
      <w:r>
        <w:rPr>
          <w:rFonts w:ascii="Times New Roman" w:cs="Times New Roman" w:eastAsia="Times New Roman" w:hAnsi="Times New Roman"/>
          <w:sz w:val="18"/>
          <w:szCs w:val="18"/>
          <w:color w:val="auto"/>
        </w:rPr>
        <w:t>“reduce the amount of the premium payable upon the redemption or repurchase of any Security or change the time at which any Security may be redeemed or repurchased as described in Section 4.07 of the Base Indenture or as described in Section 2.03 or 2.05 of the Third Supplemental Indenture, whether through an amendment or waiver of provisions in the covenants, definitions or otherwise (except through amendments to the definition of “</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if applicable).”</w:t>
      </w:r>
    </w:p>
    <w:p>
      <w:pPr>
        <w:spacing w:after="0" w:line="11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880"/>
          </w:cols>
          <w:pgMar w:left="1440" w:top="266" w:right="579" w:bottom="1440" w:gutter="0" w:footer="0" w:header="0"/>
        </w:sectPr>
      </w:pPr>
    </w:p>
    <w:bookmarkStart w:id="306" w:name="page307"/>
    <w:bookmarkEnd w:id="306"/>
    <w:p>
      <w:pPr>
        <w:ind w:right="220" w:firstLine="961"/>
        <w:spacing w:after="0" w:line="270" w:lineRule="auto"/>
        <w:tabs>
          <w:tab w:leader="none" w:pos="120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 respect to the Notes only, all references in the Base Indenture to the Trustee in the context of authenticating and delivery of any Securities shall be deemed to include references to the Registrar as defined in this Third Supplemental Indenture.</w:t>
      </w:r>
    </w:p>
    <w:p>
      <w:pPr>
        <w:spacing w:after="0" w:line="168" w:lineRule="exact"/>
        <w:rPr>
          <w:rFonts w:ascii="Times New Roman" w:cs="Times New Roman" w:eastAsia="Times New Roman" w:hAnsi="Times New Roman"/>
          <w:sz w:val="18"/>
          <w:szCs w:val="18"/>
          <w:color w:val="auto"/>
        </w:rPr>
      </w:pPr>
    </w:p>
    <w:p>
      <w:pPr>
        <w:ind w:right="160" w:firstLine="961"/>
        <w:spacing w:after="0" w:line="253" w:lineRule="auto"/>
        <w:tabs>
          <w:tab w:leader="none" w:pos="118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only, provisions of the Base Indenture relating to the conduct or affecting the liability or offering rights, protection, privilege, immunity, limitations of liability or indemnity to the Trustee shall be deemed to apply with the same force and effect to, and shall be enforceable by The Bank of New York Mellon, Hong Kong Branch acting in its capacities as CMU Lodging and Paying Agent, Transfer Agent and Registrar.</w:t>
      </w:r>
    </w:p>
    <w:p>
      <w:pPr>
        <w:spacing w:after="0" w:line="184" w:lineRule="exact"/>
        <w:rPr>
          <w:rFonts w:ascii="Times New Roman" w:cs="Times New Roman" w:eastAsia="Times New Roman" w:hAnsi="Times New Roman"/>
          <w:sz w:val="18"/>
          <w:szCs w:val="18"/>
          <w:color w:val="auto"/>
        </w:rPr>
      </w:pPr>
    </w:p>
    <w:p>
      <w:pPr>
        <w:ind w:left="1220" w:hanging="259"/>
        <w:spacing w:after="0"/>
        <w:tabs>
          <w:tab w:leader="none" w:pos="12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Notes only, a new Section 11.01(s) shall be added as follows to the Base Indenture:</w:t>
      </w:r>
    </w:p>
    <w:p>
      <w:pPr>
        <w:spacing w:after="0" w:line="110" w:lineRule="exact"/>
        <w:rPr>
          <w:sz w:val="20"/>
          <w:szCs w:val="20"/>
          <w:color w:val="auto"/>
        </w:rPr>
      </w:pPr>
    </w:p>
    <w:p>
      <w:pPr>
        <w:ind w:left="960" w:right="200"/>
        <w:spacing w:after="0" w:line="266" w:lineRule="auto"/>
        <w:rPr>
          <w:sz w:val="20"/>
          <w:szCs w:val="20"/>
          <w:color w:val="auto"/>
        </w:rPr>
      </w:pPr>
      <w:r>
        <w:rPr>
          <w:rFonts w:ascii="Times New Roman" w:cs="Times New Roman" w:eastAsia="Times New Roman" w:hAnsi="Times New Roman"/>
          <w:sz w:val="17"/>
          <w:szCs w:val="17"/>
          <w:color w:val="auto"/>
        </w:rPr>
        <w:t>“In no event shall the Trustee, the CMU Lodging and Paying Agent, the Transfer Agent and the Registrar (collectively, the “</w:t>
      </w:r>
      <w:r>
        <w:rPr>
          <w:rFonts w:ascii="Times New Roman" w:cs="Times New Roman" w:eastAsia="Times New Roman" w:hAnsi="Times New Roman"/>
          <w:sz w:val="17"/>
          <w:szCs w:val="17"/>
          <w:u w:val="single" w:color="auto"/>
          <w:color w:val="auto"/>
        </w:rPr>
        <w:t>Agents</w:t>
      </w:r>
      <w:r>
        <w:rPr>
          <w:rFonts w:ascii="Times New Roman" w:cs="Times New Roman" w:eastAsia="Times New Roman" w:hAnsi="Times New Roman"/>
          <w:sz w:val="17"/>
          <w:szCs w:val="17"/>
          <w:color w:val="auto"/>
        </w:rPr>
        <w:t>”) be liable for any losses arising from the Trustee and/or the Agents receiving any data from or transmitting any data to the Company, the Trustee and/or the Agents (or any Authorized Person) or acting upon any notice, instruction or other communications via any Electronic Means. The Trustee and/or the Agents have no duty or obligation to verify or confirm that the person who sent such instructions or directions is, in fact, a person authorized to give instructions or directions on behalf of the Company (or any Authorized Person). The Company agrees that the security procedures, if any, to be followed in connection with a transmission of any such notice, instructions or other communications, provide to it a commercially reasonable degree of protection in light of its particular needs and circumstances.</w:t>
      </w:r>
    </w:p>
    <w:p>
      <w:pPr>
        <w:spacing w:after="0" w:line="70" w:lineRule="exact"/>
        <w:rPr>
          <w:sz w:val="20"/>
          <w:szCs w:val="20"/>
          <w:color w:val="auto"/>
        </w:rPr>
      </w:pPr>
    </w:p>
    <w:p>
      <w:pPr>
        <w:ind w:left="9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Means</w:t>
      </w:r>
      <w:r>
        <w:rPr>
          <w:rFonts w:ascii="Times New Roman" w:cs="Times New Roman" w:eastAsia="Times New Roman" w:hAnsi="Times New Roman"/>
          <w:sz w:val="18"/>
          <w:szCs w:val="18"/>
          <w:color w:val="auto"/>
        </w:rPr>
        <w:t>” shall mean the following communications methods: (i) non-secure methods of transmission or communication such as e-mail transmission and (ii) secure electronic transmission containing applicable authorization codes, passwords and/or authentication keys issued by the Trustee and/or the Agents, or another method or system specified by the Trustee and/or the Agents as available for use in connection with its services hereunder.</w:t>
      </w:r>
    </w:p>
    <w:p>
      <w:pPr>
        <w:spacing w:after="0" w:line="79" w:lineRule="exact"/>
        <w:rPr>
          <w:sz w:val="20"/>
          <w:szCs w:val="20"/>
          <w:color w:val="auto"/>
        </w:rPr>
      </w:pPr>
    </w:p>
    <w:p>
      <w:pPr>
        <w:jc w:val="both"/>
        <w:ind w:left="960" w:right="10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means any person included in the Officers’ Certificate setting forth the names of individuals and/or titles of officers of the Company authorized at to take specified actions pursuant to the Indenture that the Company has delivered and/or shall from time to time deliver to the Trustee pursuant to Section 11.01(p) of the Indenture.”</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 With respect to the Notes only, a new Section 11.01(t) shall be added as follows to the Base Indenture:</w:t>
      </w:r>
    </w:p>
    <w:p>
      <w:pPr>
        <w:spacing w:after="0" w:line="110" w:lineRule="exact"/>
        <w:rPr>
          <w:sz w:val="20"/>
          <w:szCs w:val="20"/>
          <w:color w:val="auto"/>
        </w:rPr>
      </w:pPr>
    </w:p>
    <w:p>
      <w:pPr>
        <w:ind w:left="960" w:right="40"/>
        <w:spacing w:after="0" w:line="250" w:lineRule="auto"/>
        <w:rPr>
          <w:sz w:val="20"/>
          <w:szCs w:val="20"/>
          <w:color w:val="auto"/>
        </w:rPr>
      </w:pPr>
      <w:r>
        <w:rPr>
          <w:rFonts w:ascii="Times New Roman" w:cs="Times New Roman" w:eastAsia="Times New Roman" w:hAnsi="Times New Roman"/>
          <w:sz w:val="18"/>
          <w:szCs w:val="18"/>
          <w:color w:val="auto"/>
        </w:rPr>
        <w:t>“If any payment provided for by Article 6 is made late but otherwise under the terms of the Indenture, the Company shall deliver such forms, instructions and information as are required by the CMU or the CMU Lodging and Paying Agent in order for the CMU Lodging and Paying Agent to process a late payment on such Notes including (but not limited to) noteholder account information and noteholder know-your-customer information. The Company acknowledges that such late payment shall not be made by the CMU Lodging and Paying Agent unless and until all forms, instructions and information required by CMU or the CMU Lodging and Paying Agent have been delivered to the CMU Lodging and Paying Agent by the Company pursuant to this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80"/>
          </w:cols>
          <w:pgMar w:left="560" w:top="266" w:right="559" w:bottom="1440" w:gutter="0" w:footer="0" w:header="0"/>
        </w:sectPr>
      </w:pPr>
    </w:p>
    <w:bookmarkStart w:id="307" w:name="page308"/>
    <w:bookmarkEnd w:id="307"/>
    <w:p>
      <w:pPr>
        <w:ind w:left="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 With respect to the Notes only, a new Section 11.01(u) shall be added as follows to the Base Indenture:</w:t>
      </w:r>
    </w:p>
    <w:p>
      <w:pPr>
        <w:spacing w:after="0" w:line="110" w:lineRule="exact"/>
        <w:rPr>
          <w:sz w:val="20"/>
          <w:szCs w:val="20"/>
          <w:color w:val="auto"/>
        </w:rPr>
      </w:pPr>
    </w:p>
    <w:p>
      <w:pPr>
        <w:ind w:left="80"/>
        <w:spacing w:after="0" w:line="248" w:lineRule="auto"/>
        <w:rPr>
          <w:sz w:val="20"/>
          <w:szCs w:val="20"/>
          <w:color w:val="auto"/>
        </w:rPr>
      </w:pPr>
      <w:r>
        <w:rPr>
          <w:rFonts w:ascii="Times New Roman" w:cs="Times New Roman" w:eastAsia="Times New Roman" w:hAnsi="Times New Roman"/>
          <w:sz w:val="18"/>
          <w:szCs w:val="18"/>
          <w:color w:val="auto"/>
        </w:rPr>
        <w:t>“The Company shall, within ten business days of a written request by the Trustee or the Agents, supply to them such forms, documentation and other information relating to it, its operations, or the Notes as the Trustee or the Agents reasonably requests for the purposes of their compliance with Applicable Law and shall notify the Company reasonably promptly in the event that it becomes aware that any of the forms, documentation or other information provided by the Company is (or becomes) inaccurate in any material respect; provided, however, that the Company shall not be required to provide any forms, documentation or other information pursuant to this Section to the extent that: (i) any such form, documentation or other information (or the information required to be provided on such form or documentation) is not reasonably available to the Company and cannot be obtained by the Company using reasonable efforts; or (ii) doing so would or might in the reasonable opinion of the Company constitute a breach of any: (a) Applicable Law; (b) fiduciary duty; or (c) duty of confidentiality.</w:t>
      </w:r>
    </w:p>
    <w:p>
      <w:pPr>
        <w:spacing w:after="0" w:line="84" w:lineRule="exact"/>
        <w:rPr>
          <w:sz w:val="20"/>
          <w:szCs w:val="20"/>
          <w:color w:val="auto"/>
        </w:rPr>
      </w:pPr>
    </w:p>
    <w:p>
      <w:pPr>
        <w:ind w:left="80" w:right="60"/>
        <w:spacing w:after="0" w:line="251" w:lineRule="auto"/>
        <w:rPr>
          <w:sz w:val="20"/>
          <w:szCs w:val="20"/>
          <w:color w:val="auto"/>
        </w:rPr>
      </w:pPr>
      <w:r>
        <w:rPr>
          <w:rFonts w:ascii="Times New Roman" w:cs="Times New Roman" w:eastAsia="Times New Roman" w:hAnsi="Times New Roman"/>
          <w:sz w:val="18"/>
          <w:szCs w:val="18"/>
          <w:color w:val="auto"/>
        </w:rPr>
        <w:t>The Company shall notify the Trustee and the Agents in the event that it determines that any payment to be made by the Trustee or the Agents under the Notes is a payment which could be subject to FATCA Withholding if such payment were made to a recipient that is generally unable to receive payments free from FATCA Withholding, and the extent to which the relevant payment is so treated, provided, however, that the Company’s obligation under this Section shall apply only to the extent that such payments are so treated by virtue of characteristics of the Company, the Notes, or both.</w:t>
      </w:r>
    </w:p>
    <w:p>
      <w:pPr>
        <w:spacing w:after="0" w:line="81" w:lineRule="exact"/>
        <w:rPr>
          <w:sz w:val="20"/>
          <w:szCs w:val="20"/>
          <w:color w:val="auto"/>
        </w:rPr>
      </w:pPr>
    </w:p>
    <w:p>
      <w:pPr>
        <w:ind w:left="80" w:right="40"/>
        <w:spacing w:after="0" w:line="249" w:lineRule="auto"/>
        <w:rPr>
          <w:sz w:val="20"/>
          <w:szCs w:val="20"/>
          <w:color w:val="auto"/>
        </w:rPr>
      </w:pPr>
      <w:r>
        <w:rPr>
          <w:rFonts w:ascii="Times New Roman" w:cs="Times New Roman" w:eastAsia="Times New Roman" w:hAnsi="Times New Roman"/>
          <w:sz w:val="18"/>
          <w:szCs w:val="18"/>
          <w:color w:val="auto"/>
        </w:rPr>
        <w:t>Notwithstanding any other provision of the Indenture, each of the Trustee and the Agents shall be entitled to make a deduction or withholding from any payment which it makes under the Notes for or on account of any Tax, if and only to the extent so required by Applicable Law, in which event the Trustee and the Agents shall make such payment after such deduction or withholding has been made and shall account to the relevant Authority within the time allowed for the amount so deducted or withheld or, at its option, shall reasonably promptly after making such payment return to the Company the amount so deducted or withheld, in which case, the Company shall so account to the relevant Authority for such amount. For the avoidance of doubt, FATCA Withholding is a deduction or withholding which is deemed to be required by Applicable Law for the purposes of this Section.</w:t>
      </w:r>
    </w:p>
    <w:p>
      <w:pPr>
        <w:spacing w:after="0" w:line="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“Applicable Law” means any law or regulation.</w:t>
      </w:r>
    </w:p>
    <w:p>
      <w:pPr>
        <w:spacing w:after="0" w:line="15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880"/>
          </w:cols>
          <w:pgMar w:left="1440" w:top="266" w:right="579" w:bottom="1440" w:gutter="0" w:footer="0" w:header="0"/>
        </w:sectPr>
      </w:pPr>
    </w:p>
    <w:bookmarkStart w:id="308" w:name="page309"/>
    <w:bookmarkEnd w:id="30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“Authority” means any competent regulatory, prosecuting, Tax or governmental authority in any jurisdiction.</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“Code” means the U.S. Internal Revenue Code of 1986, as amended.</w:t>
      </w:r>
    </w:p>
    <w:p>
      <w:pPr>
        <w:spacing w:after="0" w:line="110" w:lineRule="exact"/>
        <w:rPr>
          <w:sz w:val="20"/>
          <w:szCs w:val="20"/>
          <w:color w:val="auto"/>
        </w:rPr>
      </w:pPr>
    </w:p>
    <w:p>
      <w:pPr>
        <w:ind w:left="960" w:right="120"/>
        <w:spacing w:after="0" w:line="258" w:lineRule="auto"/>
        <w:rPr>
          <w:sz w:val="20"/>
          <w:szCs w:val="20"/>
          <w:color w:val="auto"/>
        </w:rPr>
      </w:pPr>
      <w:r>
        <w:rPr>
          <w:rFonts w:ascii="Times New Roman" w:cs="Times New Roman" w:eastAsia="Times New Roman" w:hAnsi="Times New Roman"/>
          <w:sz w:val="18"/>
          <w:szCs w:val="18"/>
          <w:color w:val="auto"/>
        </w:rPr>
        <w:t>“FATCA Withholding” means any withholding or deduction required pursuant to an agreement described in section 1471(b) of the Code, or otherwise imposed pursuant to sections 1471 through 1474 of the Code, any regulations or agreements thereunder, any official interpretations thereof, or any law implementing an intergovernmental approach thereto.</w:t>
      </w:r>
    </w:p>
    <w:p>
      <w:pPr>
        <w:spacing w:after="0" w:line="73" w:lineRule="exact"/>
        <w:rPr>
          <w:sz w:val="20"/>
          <w:szCs w:val="20"/>
          <w:color w:val="auto"/>
        </w:rPr>
      </w:pPr>
    </w:p>
    <w:p>
      <w:pPr>
        <w:ind w:left="960" w:right="440"/>
        <w:spacing w:after="0" w:line="270" w:lineRule="auto"/>
        <w:rPr>
          <w:sz w:val="20"/>
          <w:szCs w:val="20"/>
          <w:color w:val="auto"/>
        </w:rPr>
      </w:pPr>
      <w:r>
        <w:rPr>
          <w:rFonts w:ascii="Times New Roman" w:cs="Times New Roman" w:eastAsia="Times New Roman" w:hAnsi="Times New Roman"/>
          <w:sz w:val="18"/>
          <w:szCs w:val="18"/>
          <w:color w:val="auto"/>
        </w:rPr>
        <w:t>“Tax” means any present or future taxes, duties, assessments or governmental charges of whatever nature imposed, levied, collected, withheld or assessed by or on behalf of any Authority having power to tax.”</w:t>
      </w:r>
    </w:p>
    <w:p>
      <w:pPr>
        <w:spacing w:after="0" w:line="16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(x) For the purposes of the Notes issued pursuant to this Third Supplemental Indenture, Section 7.05 (</w:t>
      </w:r>
      <w:r>
        <w:rPr>
          <w:rFonts w:ascii="Times New Roman" w:cs="Times New Roman" w:eastAsia="Times New Roman" w:hAnsi="Times New Roman"/>
          <w:sz w:val="18"/>
          <w:szCs w:val="18"/>
          <w:i w:val="1"/>
          <w:iCs w:val="1"/>
          <w:color w:val="auto"/>
        </w:rPr>
        <w:t>Priorities</w:t>
      </w:r>
      <w:r>
        <w:rPr>
          <w:rFonts w:ascii="Times New Roman" w:cs="Times New Roman" w:eastAsia="Times New Roman" w:hAnsi="Times New Roman"/>
          <w:sz w:val="18"/>
          <w:szCs w:val="18"/>
          <w:color w:val="auto"/>
        </w:rPr>
        <w:t>) and Section 11.01(n)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Rights of Trustees; Compensation and Indemnity</w:t>
      </w:r>
      <w:r>
        <w:rPr>
          <w:rFonts w:ascii="Times New Roman" w:cs="Times New Roman" w:eastAsia="Times New Roman" w:hAnsi="Times New Roman"/>
          <w:sz w:val="17"/>
          <w:szCs w:val="17"/>
          <w:color w:val="auto"/>
        </w:rPr>
        <w:t>) of the Base Indenture shall be deemed to include reference to the Transfer Agent, the Registrar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CMU Lodging and Paying Agent (as defined herein) in addition to the existing reference to the “Trustee, Paying Agent and Registrar” in such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7.05 (Priorities) and “Trustee…the Paying Agent and the Registrar” in such Section 11.01(n) (</w:t>
      </w:r>
      <w:r>
        <w:rPr>
          <w:rFonts w:ascii="Times New Roman" w:cs="Times New Roman" w:eastAsia="Times New Roman" w:hAnsi="Times New Roman"/>
          <w:sz w:val="17"/>
          <w:szCs w:val="17"/>
          <w:i w:val="1"/>
          <w:iCs w:val="1"/>
          <w:color w:val="auto"/>
        </w:rPr>
        <w:t>Rights of Trustees; Compensation and Indemnity</w:t>
      </w:r>
      <w:r>
        <w:rPr>
          <w:rFonts w:ascii="Times New Roman" w:cs="Times New Roman" w:eastAsia="Times New Roman" w:hAnsi="Times New Roman"/>
          <w:sz w:val="17"/>
          <w:szCs w:val="17"/>
          <w:color w:val="auto"/>
        </w:rPr>
        <w: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Base Indenture.</w:t>
      </w:r>
    </w:p>
    <w:p>
      <w:pPr>
        <w:spacing w:after="0" w:line="19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(y) With respect to the Notes only, the definition of “Corporate Trust Office” in the Base Indenture shall be replaced with the following:</w:t>
      </w:r>
    </w:p>
    <w:p>
      <w:pPr>
        <w:spacing w:after="0" w:line="122" w:lineRule="exact"/>
        <w:rPr>
          <w:sz w:val="20"/>
          <w:szCs w:val="20"/>
          <w:color w:val="auto"/>
        </w:rPr>
      </w:pPr>
    </w:p>
    <w:p>
      <w:pPr>
        <w:ind w:left="960" w:right="260"/>
        <w:spacing w:after="0" w:line="270" w:lineRule="auto"/>
        <w:rPr>
          <w:sz w:val="20"/>
          <w:szCs w:val="20"/>
          <w:color w:val="auto"/>
        </w:rPr>
      </w:pPr>
      <w:r>
        <w:rPr>
          <w:rFonts w:ascii="Times New Roman" w:cs="Times New Roman" w:eastAsia="Times New Roman" w:hAnsi="Times New Roman"/>
          <w:sz w:val="18"/>
          <w:szCs w:val="18"/>
          <w:color w:val="auto"/>
        </w:rPr>
        <w:t>““Corporate Trust Office” means The Bank of New York Mellon, 240 Greenwich Street, New York, New York 10286, United States of America, attention: Corp Trust Administration – JD.com, Inc.”</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(z) With respect to the Notes only, the definition of “Specified Corporate Trust Office” in the Base Indenture shall be replaced with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93" w:lineRule="exact"/>
        <w:rPr>
          <w:sz w:val="20"/>
          <w:szCs w:val="20"/>
          <w:color w:val="auto"/>
        </w:rPr>
      </w:pPr>
    </w:p>
    <w:p>
      <w:pPr>
        <w:ind w:left="960"/>
        <w:spacing w:after="0" w:line="270" w:lineRule="auto"/>
        <w:rPr>
          <w:sz w:val="20"/>
          <w:szCs w:val="20"/>
          <w:color w:val="auto"/>
        </w:rPr>
      </w:pPr>
      <w:r>
        <w:rPr>
          <w:rFonts w:ascii="Times New Roman" w:cs="Times New Roman" w:eastAsia="Times New Roman" w:hAnsi="Times New Roman"/>
          <w:sz w:val="18"/>
          <w:szCs w:val="18"/>
          <w:color w:val="auto"/>
        </w:rPr>
        <w:t>““Specified Corporate Trust Office” means The Bank of New York Mellon, Hong Kong Branch located at Level 26, Three Pacific Place, 1 Queen’s Road East, Hong Kong, attention: Corporate Trust – JD.com, Inc., e-mail: honctrmta@bny.com.”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218" w:lineRule="exact"/>
        <w:rPr>
          <w:sz w:val="20"/>
          <w:szCs w:val="20"/>
          <w:color w:val="auto"/>
        </w:rPr>
      </w:pPr>
    </w:p>
    <w:p>
      <w:pPr>
        <w:ind w:right="200" w:firstLine="43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Confirmation of Indenture</w:t>
      </w:r>
      <w:r>
        <w:rPr>
          <w:rFonts w:ascii="Times New Roman" w:cs="Times New Roman" w:eastAsia="Times New Roman" w:hAnsi="Times New Roman"/>
          <w:sz w:val="18"/>
          <w:szCs w:val="18"/>
          <w:color w:val="auto"/>
        </w:rPr>
        <w:t>. The Base Indenture, as supplemented and amended by this Third Supplemental Indenture, is in all respects ratified and confirmed, and the Base Indenture, this Third Supplemental Indenture and all indentures supplemental thereto with respect to the Notes shall be read, taken and construed as one and the same instrument.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40"/>
          </w:cols>
          <w:pgMar w:left="560" w:top="266" w:right="599" w:bottom="1440" w:gutter="0" w:footer="0" w:header="0"/>
        </w:sectPr>
      </w:pPr>
    </w:p>
    <w:bookmarkStart w:id="309" w:name="page310"/>
    <w:bookmarkEnd w:id="309"/>
    <w:p>
      <w:pPr>
        <w:ind w:firstLine="43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in this Third Supplemental Indenture or in the Notes shall be held to be invalid, illegal or unenforceable under applicable law, then the remaining provisions in this Third Supplemental Indenture or in the Notes shall be construed as though such invalid, illegal or unenforceable provision were not contained herein.</w:t>
      </w:r>
    </w:p>
    <w:p>
      <w:pPr>
        <w:spacing w:after="0" w:line="179" w:lineRule="exact"/>
        <w:rPr>
          <w:sz w:val="20"/>
          <w:szCs w:val="20"/>
          <w:color w:val="auto"/>
        </w:rPr>
      </w:pPr>
    </w:p>
    <w:p>
      <w:pPr>
        <w:ind w:right="8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Conflicts with Base Indenture</w:t>
      </w:r>
      <w:r>
        <w:rPr>
          <w:rFonts w:ascii="Times New Roman" w:cs="Times New Roman" w:eastAsia="Times New Roman" w:hAnsi="Times New Roman"/>
          <w:sz w:val="18"/>
          <w:szCs w:val="18"/>
          <w:color w:val="auto"/>
        </w:rPr>
        <w:t>. In the event that any provision of this Third Supplemental Indenture limits, qualifies or conflicts with a provision of the Base Indenture, such provision of the Third Supplemental Indenture shall prevail.</w:t>
      </w:r>
    </w:p>
    <w:p>
      <w:pPr>
        <w:spacing w:after="0" w:line="169" w:lineRule="exact"/>
        <w:rPr>
          <w:sz w:val="20"/>
          <w:szCs w:val="20"/>
          <w:color w:val="auto"/>
        </w:rPr>
      </w:pPr>
    </w:p>
    <w:p>
      <w:pPr>
        <w:ind w:right="60" w:firstLine="431"/>
        <w:spacing w:after="0" w:line="251"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Third Supplemental Indenture expressed and nothing that may be implied from any of the provisions hereof is intended, or shall be construed, to confer upon, or to give to, any Person other than the parties hereto and their successors and the Holders of the Notes any benefit or any right, remedy or claim under or by reason of this Third Supplement Indenture or the Base Indenture or any covenant, condition, stipulation, promise or agreement hereof or thereof, and all covenants, conditions, stipulations, promises and agreements contained herein or therein shall be for the sole and exclusive benefit of the parties hereto and their successors and of the Holders of the Notes.</w:t>
      </w:r>
    </w:p>
    <w:p>
      <w:pPr>
        <w:spacing w:after="0" w:line="187" w:lineRule="exact"/>
        <w:rPr>
          <w:sz w:val="20"/>
          <w:szCs w:val="20"/>
          <w:color w:val="auto"/>
        </w:rPr>
      </w:pPr>
    </w:p>
    <w:p>
      <w:pPr>
        <w:ind w:right="18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 This Third Supplemental Indenture may be executed in any number of counterparts, each of which so executed shall be deemed to be an original, but all such counterparts shall together constitute but one and the same instrument.</w:t>
      </w:r>
    </w:p>
    <w:p>
      <w:pPr>
        <w:spacing w:after="0" w:line="169" w:lineRule="exact"/>
        <w:rPr>
          <w:sz w:val="20"/>
          <w:szCs w:val="20"/>
          <w:color w:val="auto"/>
        </w:rPr>
      </w:pPr>
    </w:p>
    <w:p>
      <w:pPr>
        <w:ind w:right="30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Governing Law; Waiver of Trial by Jury</w:t>
      </w:r>
      <w:r>
        <w:rPr>
          <w:rFonts w:ascii="Times New Roman" w:cs="Times New Roman" w:eastAsia="Times New Roman" w:hAnsi="Times New Roman"/>
          <w:sz w:val="18"/>
          <w:szCs w:val="18"/>
          <w:color w:val="auto"/>
        </w:rPr>
        <w:t>. This Third Supplemental Indenture and the Notes shall be deemed to be contracts made under the law of the State of New York, and for all purposes shall be governed by and construed in accordance with the law of said State.</w:t>
      </w:r>
    </w:p>
    <w:p>
      <w:pPr>
        <w:spacing w:after="0" w:line="169" w:lineRule="exact"/>
        <w:rPr>
          <w:sz w:val="20"/>
          <w:szCs w:val="20"/>
          <w:color w:val="auto"/>
        </w:rPr>
      </w:pPr>
    </w:p>
    <w:p>
      <w:pPr>
        <w:ind w:right="80" w:firstLine="431"/>
        <w:spacing w:after="0" w:line="258" w:lineRule="auto"/>
        <w:rPr>
          <w:sz w:val="20"/>
          <w:szCs w:val="20"/>
          <w:color w:val="auto"/>
        </w:rPr>
      </w:pPr>
      <w:r>
        <w:rPr>
          <w:rFonts w:ascii="Times New Roman" w:cs="Times New Roman" w:eastAsia="Times New Roman" w:hAnsi="Times New Roman"/>
          <w:sz w:val="18"/>
          <w:szCs w:val="18"/>
          <w:color w:val="auto"/>
        </w:rPr>
        <w:t>EACH OF THE COMPANY AND THE TRUSTEE HEREBY WAIVES, TO THE FULLEST EXTENT PERMITTED BY APPLICABLE LAW, ANY RIGHT IT MAY HAVE TO A TRIAL BY JURY IN RESPECT OF ANY LITIGATION DIRECTLY OR INDIRECTLY ARISING OUT OF, UNDER OR IN CONNECTION WITH THIS THIRD SUPPLEMENTAL INDENTURE.</w:t>
      </w:r>
    </w:p>
    <w:p>
      <w:pPr>
        <w:spacing w:after="0" w:line="179" w:lineRule="exact"/>
        <w:rPr>
          <w:sz w:val="20"/>
          <w:szCs w:val="20"/>
          <w:color w:val="auto"/>
        </w:rPr>
      </w:pPr>
    </w:p>
    <w:p>
      <w:pPr>
        <w:ind w:right="220" w:firstLine="431"/>
        <w:spacing w:after="0" w:line="270"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 representation</w:t>
      </w:r>
      <w:r>
        <w:rPr>
          <w:rFonts w:ascii="Times New Roman" w:cs="Times New Roman" w:eastAsia="Times New Roman" w:hAnsi="Times New Roman"/>
          <w:sz w:val="18"/>
          <w:szCs w:val="18"/>
          <w:color w:val="auto"/>
        </w:rPr>
        <w:t>. The Trustee makes no representation as to the validity or sufficiency of this Third Supplemental Indenture. The recitals herein are those of the Company and not of the Trustee.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60"/>
          </w:cols>
          <w:pgMar w:left="560" w:top="266" w:right="5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WITNESS WHEREOF, the parties have caused this Third Supplemental Indenture to be duly executed as of the date first written above.</w:t>
      </w:r>
    </w:p>
    <w:p>
      <w:pPr>
        <w:spacing w:after="0" w:line="25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JD.COM, INC.,</w:t>
      </w:r>
    </w:p>
    <w:p>
      <w:pPr>
        <w:spacing w:after="0" w:line="2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as Company</w:t>
      </w:r>
    </w:p>
    <w:p>
      <w:pPr>
        <w:spacing w:after="0" w:line="212" w:lineRule="exact"/>
        <w:rPr>
          <w:sz w:val="20"/>
          <w:szCs w:val="20"/>
          <w:color w:val="auto"/>
        </w:rPr>
      </w:pPr>
    </w:p>
    <w:p>
      <w:pPr>
        <w:ind w:left="6040"/>
        <w:spacing w:after="0"/>
        <w:tabs>
          <w:tab w:leader="none" w:pos="6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Ian Su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14605</wp:posOffset>
            </wp:positionV>
            <wp:extent cx="23755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9">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Ian Su Shan</w:t>
      </w:r>
    </w:p>
    <w:p>
      <w:pPr>
        <w:spacing w:after="0" w:line="22" w:lineRule="exact"/>
        <w:rPr>
          <w:sz w:val="20"/>
          <w:szCs w:val="20"/>
          <w:color w:val="auto"/>
        </w:rPr>
      </w:pPr>
    </w:p>
    <w:p>
      <w:pPr>
        <w:ind w:left="6040"/>
        <w:spacing w:after="0"/>
        <w:tabs>
          <w:tab w:leader="none" w:pos="66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ectPr>
          <w:pgSz w:w="11900" w:h="16838" w:orient="portrait"/>
          <w:cols w:equalWidth="0" w:num="1">
            <w:col w:w="9840"/>
          </w:cols>
          <w:pgMar w:left="980" w:top="266" w:right="1079" w:bottom="1440" w:gutter="0" w:footer="0" w:header="0"/>
        </w:sectPr>
      </w:pPr>
    </w:p>
    <w:bookmarkStart w:id="311" w:name="page312"/>
    <w:bookmarkEnd w:id="311"/>
    <w:p>
      <w:pPr>
        <w:ind w:left="55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BANK OF NEW YORK MELLON,</w:t>
      </w:r>
    </w:p>
    <w:p>
      <w:pPr>
        <w:spacing w:after="0" w:line="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as Trustee</w:t>
      </w:r>
    </w:p>
    <w:p>
      <w:pPr>
        <w:spacing w:after="0" w:line="212"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14605</wp:posOffset>
            </wp:positionV>
            <wp:extent cx="23755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1">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Michael Cheng</w:t>
      </w:r>
    </w:p>
    <w:p>
      <w:pPr>
        <w:spacing w:after="0" w:line="22"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Senior Vice President</w:t>
      </w:r>
    </w:p>
    <w:p>
      <w:pPr>
        <w:sectPr>
          <w:pgSz w:w="11900" w:h="16838" w:orient="portrait"/>
          <w:cols w:equalWidth="0" w:num="1">
            <w:col w:w="9019"/>
          </w:cols>
          <w:pgMar w:left="1440" w:top="266" w:right="1440" w:bottom="1440" w:gutter="0" w:footer="0" w:header="0"/>
        </w:sectPr>
      </w:pPr>
    </w:p>
    <w:bookmarkStart w:id="312" w:name="page313"/>
    <w:bookmarkEnd w:id="312"/>
    <w:p>
      <w:pPr>
        <w:ind w:left="5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BANK OF NEW YORK MELLON,</w:t>
      </w:r>
    </w:p>
    <w:p>
      <w:pPr>
        <w:spacing w:after="0" w:line="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HONG KONG BRANCH,</w:t>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as CMU Lodging and Paying Agent, Transfer Agent and</w:t>
      </w:r>
    </w:p>
    <w:p>
      <w:pPr>
        <w:spacing w:after="0" w:line="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Registrar</w:t>
      </w:r>
    </w:p>
    <w:p>
      <w:pPr>
        <w:spacing w:after="0" w:line="212"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14605</wp:posOffset>
            </wp:positionV>
            <wp:extent cx="23755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3">
                      <a:extLst>
                        <a:ext uri="{28A0092B-C50C-407E-A947-70E740481C1C}"/>
                      </a:extLst>
                    </a:blip>
                    <a:srcRect/>
                    <a:stretch>
                      <a:fillRect/>
                    </a:stretch>
                  </pic:blipFill>
                  <pic:spPr bwMode="auto">
                    <a:xfrm>
                      <a:off x="0" y="0"/>
                      <a:ext cx="2375535" cy="8255"/>
                    </a:xfrm>
                    <a:prstGeom prst="rect">
                      <a:avLst/>
                    </a:prstGeom>
                    <a:noFill/>
                  </pic:spPr>
                </pic:pic>
              </a:graphicData>
            </a:graphic>
          </wp:anchor>
        </w:drawing>
      </w:r>
    </w:p>
    <w:p>
      <w:pPr>
        <w:spacing w:after="0" w:line="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Michael Cheng</w:t>
      </w:r>
    </w:p>
    <w:p>
      <w:pPr>
        <w:spacing w:after="0" w:line="22" w:lineRule="exact"/>
        <w:rPr>
          <w:sz w:val="20"/>
          <w:szCs w:val="20"/>
          <w:color w:val="auto"/>
        </w:rPr>
      </w:pPr>
    </w:p>
    <w:p>
      <w:pPr>
        <w:ind w:left="558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Senior Vice President</w:t>
      </w:r>
    </w:p>
    <w:p>
      <w:pPr>
        <w:sectPr>
          <w:pgSz w:w="11900" w:h="16838" w:orient="portrait"/>
          <w:cols w:equalWidth="0" w:num="1">
            <w:col w:w="9580"/>
          </w:cols>
          <w:pgMar w:left="1440" w:top="266" w:right="87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2.05% NOTES DUE 2031</w:t>
      </w:r>
    </w:p>
    <w:p>
      <w:pPr>
        <w:spacing w:after="0" w:line="21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FACE OF NOTE</w:t>
      </w:r>
    </w:p>
    <w:p>
      <w:pPr>
        <w:spacing w:after="0" w:line="2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 Inclusion in a Global Security only —</w:t>
      </w:r>
      <w:r>
        <w:rPr>
          <w:rFonts w:ascii="Times New Roman" w:cs="Times New Roman" w:eastAsia="Times New Roman" w:hAnsi="Times New Roman"/>
          <w:sz w:val="18"/>
          <w:szCs w:val="18"/>
          <w:color w:val="auto"/>
        </w:rPr>
        <w:t xml:space="preserve"> THIS SECURITY HAS NOT BEEN REGISTERED UNDER THE UNITED STATES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HOLDER OF THIS SECURITY, BY ITS ACCEPTANCE HEREOF, AGREES ON ITS OWN BEHALF AND ON BEHALF OF ANY INVESTOR ACCOUNT FOR WHICH IT HAS PURCHASED SUCH SECURITY, TO OFFER, SELL OR OTHERWISE TRANSFER SUCH SECURITY, PRIOR TO THE DATE (THE “RESALE RESTRICTION TERMINATION DATE”) THAT IS 40 DAYS AFTER THE LATER OF THE ORIGINAL ISSUE DATE HEREOF AND THE LAST DATE ON WHICH THE ISSUER OR ANY AFFILIATE OF THE ISSUER WAS THE OWNER OF THIS SECURITY (OR ANY PREDECESSOR OF SUCH SECURITY), ONLY (A) TO THE ISSUER (B) PURSUANT TO A REGISTRATION STATEMENT THAT HAS BEEN DECLARED EFFECTIVE UNDER THE SECURITIES ACT, (C) PURSUANT TO OFFERS AND SALES TO NON-US PERSONS THAT OCCUR OUTSIDE THE UNITED STATES WITHIN THE MEANING OF REGULATION S UNDER THE SECURITIES ACT, OR (D) PURSUANT TO ANOTHER AVAILABLE EXEMPTION FROM THE REGISTRATION REQUIREMENTS OF THE SECURITIES ACT, SUBJECT TO THE ISSUER’S AND THE TRANSFER AGENT’S RIGHT PRIOR TO ANY SUCH OFFER, SALE OR TRANSFER PURSUANT TO CLAUSE (D) TO REQUIRE THE DELIVERY OF AN OPINION OF COUNSEL, CERTIFICATION AND/OR OTHER INFORMATION SATISFACTORY TO EACH OF THEM. THIS LEGEND WILL BE REMOVED UPON THE REQUEST OF THE HOLDER AFTER THE RESALE RESTRICTION TERMINATION DATE.</w:t>
      </w:r>
    </w:p>
    <w:p>
      <w:pPr>
        <w:spacing w:after="0" w:line="19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780"/>
          </w:cols>
          <w:pgMar w:left="560" w:top="264" w:right="559" w:bottom="1440" w:gutter="0" w:footer="0" w:header="0"/>
        </w:sectPr>
      </w:pPr>
    </w:p>
    <w:bookmarkStart w:id="314" w:name="page315"/>
    <w:bookmarkEnd w:id="31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JD.COM,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 Note Due 2031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CNY_________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 Common Code / CMU Instrument No: HK0001285094 / 332703587 / BNYHFN26120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_________</w:t>
      </w:r>
    </w:p>
    <w:p>
      <w:pPr>
        <w:spacing w:after="0" w:line="199" w:lineRule="exact"/>
        <w:rPr>
          <w:sz w:val="20"/>
          <w:szCs w:val="20"/>
          <w:color w:val="auto"/>
        </w:rPr>
      </w:pPr>
    </w:p>
    <w:p>
      <w:pPr>
        <w:jc w:val="both"/>
        <w:ind w:right="220" w:firstLine="431"/>
        <w:spacing w:after="0" w:line="266" w:lineRule="auto"/>
        <w:rPr>
          <w:sz w:val="20"/>
          <w:szCs w:val="20"/>
          <w:color w:val="auto"/>
        </w:rPr>
      </w:pPr>
      <w:r>
        <w:rPr>
          <w:rFonts w:ascii="Times New Roman" w:cs="Times New Roman" w:eastAsia="Times New Roman" w:hAnsi="Times New Roman"/>
          <w:sz w:val="17"/>
          <w:szCs w:val="17"/>
          <w:color w:val="auto"/>
        </w:rPr>
        <w:t>JD.com, Inc., an exempted company incorporated in the Cayman Islands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which term includes any successor thereto under the Indenture referred to on the reverse hereof), for value received, hereby promises to pay to The Bank of New York Depository (Nominees) Limited, or registered assigns, the principal sum of __________________ RENMINBI (CNY_____) (or such other principal amount as shall be set forth in the</w:t>
      </w:r>
    </w:p>
    <w:p>
      <w:pPr>
        <w:spacing w:after="0" w:line="2"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Schedule of Increases or Decreases in Note attached hereto) on April 10, 2031, or on such earlier date as the principal hereof may become due in accordance with the provisions of this Note.</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Rate: 2.05% per annum.</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Payment Dates: April 10 and October 10, commencing October 10, 2026.</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Record Dates: One Clearing System Business Day immediately preceding an Interest Payment Date.</w:t>
      </w:r>
    </w:p>
    <w:p>
      <w:pPr>
        <w:spacing w:after="0" w:line="216" w:lineRule="exact"/>
        <w:rPr>
          <w:sz w:val="20"/>
          <w:szCs w:val="20"/>
          <w:color w:val="auto"/>
        </w:rPr>
      </w:pPr>
    </w:p>
    <w:p>
      <w:pPr>
        <w:ind w:right="380" w:firstLine="431"/>
        <w:spacing w:after="0" w:line="270"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69"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manually signed by the Registrar under the Indenture referred to on the reverse 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760"/>
          </w:cols>
          <w:pgMar w:left="560" w:top="266" w:right="5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WITNESS WHEREOF, JD.com, Inc.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JD.COM,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14605</wp:posOffset>
            </wp:positionV>
            <wp:extent cx="25101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5820" w:space="220"/>
            <w:col w:w="3439"/>
          </w:cols>
          <w:pgMar w:left="980" w:top="266" w:right="1440" w:bottom="1440" w:gutter="0" w:footer="0" w:header="0"/>
        </w:sectPr>
      </w:pPr>
    </w:p>
    <w:bookmarkStart w:id="316" w:name="page317"/>
    <w:bookmarkEnd w:id="316"/>
    <w:p>
      <w:pPr>
        <w:ind w:left="3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CERTIFICATE OF AUTHENTICATION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authentication:</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HONG KONG BRANCH</w:t>
      </w:r>
    </w:p>
    <w:p>
      <w:pPr>
        <w:spacing w:after="0" w:line="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as Registrar</w:t>
      </w:r>
    </w:p>
    <w:p>
      <w:pPr>
        <w:spacing w:after="0" w:line="21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5101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9">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1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9899"/>
          </w:cols>
          <w:pgMar w:left="560" w:top="266" w:right="1440"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REVERSE OF NOTE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JD.COM,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 Note Due 2031</w:t>
      </w:r>
    </w:p>
    <w:p>
      <w:pPr>
        <w:spacing w:after="0" w:line="2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This Note is one of a duly authorized issue of debt securities of the Company of the series designated as the “2.05% Notes due 2031” (the</w:t>
      </w:r>
    </w:p>
    <w:p>
      <w:pPr>
        <w:spacing w:after="0" w:line="2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all issued or to be issued under and pursuant to an Indenture, dated as of April 29, 2016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duly executed and delivered by and between the Company and The Bank of New York Mellon, a banking corporation organized and existing under the laws of the State of New York with limited liability,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which term includes any successor trustee), as supplemented by the Third Supplemental Indenture, dated as of April 10, 2026 (the “</w:t>
      </w:r>
      <w:r>
        <w:rPr>
          <w:rFonts w:ascii="Times New Roman" w:cs="Times New Roman" w:eastAsia="Times New Roman" w:hAnsi="Times New Roman"/>
          <w:sz w:val="18"/>
          <w:szCs w:val="18"/>
          <w:u w:val="single" w:color="auto"/>
          <w:color w:val="auto"/>
        </w:rPr>
        <w:t>Third Supplemental Indenture</w:t>
      </w:r>
      <w:r>
        <w:rPr>
          <w:rFonts w:ascii="Times New Roman" w:cs="Times New Roman" w:eastAsia="Times New Roman" w:hAnsi="Times New Roman"/>
          <w:sz w:val="18"/>
          <w:szCs w:val="18"/>
          <w:color w:val="auto"/>
        </w:rPr>
        <w:t>”), duly executed and delivered by and between the Company, the Trustee and The Bank of New York Mellon, Hong Kong Branch, a banking corporation organized and existing under the laws of the State of New York with limited liability and operating through its branch in Hong Kong at Level 26, Three Pacific Place, 1 Queen’s Road East, Hong Kong, as CMU Lodging and Paying Agent, Transfer Agent and Registrar. The Base Indenture as supplemented and amended by the Third Supplemental Indenture is referred to herein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herein and not otherwise defined shall have the meanings given them in the Indenture.</w:t>
      </w:r>
    </w:p>
    <w:p>
      <w:pPr>
        <w:spacing w:after="0" w:line="196" w:lineRule="exact"/>
        <w:rPr>
          <w:sz w:val="20"/>
          <w:szCs w:val="20"/>
          <w:color w:val="auto"/>
        </w:rPr>
      </w:pPr>
    </w:p>
    <w:p>
      <w:pPr>
        <w:ind w:right="120" w:firstLine="422"/>
        <w:spacing w:after="0" w:line="253" w:lineRule="auto"/>
        <w:tabs>
          <w:tab w:leader="none" w:pos="60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Company promises to pay interest on the principal amount of this Note at a rate of 2.05% per annum. The Company will pay interest semi-annually in arrears on April 10 and October 10 of each year. If a payment date is not a Business Day as defined in the Indenture at a Place of Payment, payment may be made at that place on the next succeeding day that is a Business Day, and no interest shall accrue for the intervening period. Interest shall be computed on the basis of a 365-day year and the actual number of days elapsed.</w:t>
      </w:r>
    </w:p>
    <w:p>
      <w:pPr>
        <w:spacing w:after="0" w:line="184" w:lineRule="exact"/>
        <w:rPr>
          <w:rFonts w:ascii="Times New Roman" w:cs="Times New Roman" w:eastAsia="Times New Roman" w:hAnsi="Times New Roman"/>
          <w:sz w:val="18"/>
          <w:szCs w:val="18"/>
          <w:color w:val="auto"/>
        </w:rPr>
      </w:pPr>
    </w:p>
    <w:p>
      <w:pPr>
        <w:ind w:right="60" w:firstLine="422"/>
        <w:spacing w:after="0" w:line="249" w:lineRule="auto"/>
        <w:tabs>
          <w:tab w:leader="none" w:pos="60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Company shall pay interest on the Notes (except Defaulted Interest), if any, to the Persons in whose name such Notes are registered at the close of business on the Record Date referred to on the face of this Note immediately preceding the related Interest Payment Date, even if any Notes are canceled, repurchased or redeemed on or after such Record Date and on or before such Interest Payment Date. Payment of interest on the Notes shall be made, in the currency of the People’s Republic of China that at the time is legal tender for payment of public and private debts, at the specified office of the CMU Lodging and Paying Agent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88" w:lineRule="exact"/>
        <w:rPr>
          <w:rFonts w:ascii="Times New Roman" w:cs="Times New Roman" w:eastAsia="Times New Roman" w:hAnsi="Times New Roman"/>
          <w:sz w:val="18"/>
          <w:szCs w:val="18"/>
          <w:color w:val="auto"/>
        </w:rPr>
      </w:pPr>
    </w:p>
    <w:p>
      <w:pPr>
        <w:ind w:right="120" w:firstLine="422"/>
        <w:spacing w:after="0" w:line="258" w:lineRule="auto"/>
        <w:tabs>
          <w:tab w:leader="none" w:pos="60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CMU Lodging and Paying Agent and Registrar</w:t>
      </w:r>
      <w:r>
        <w:rPr>
          <w:rFonts w:ascii="Times New Roman" w:cs="Times New Roman" w:eastAsia="Times New Roman" w:hAnsi="Times New Roman"/>
          <w:sz w:val="18"/>
          <w:szCs w:val="18"/>
          <w:color w:val="auto"/>
        </w:rPr>
        <w:t>. Initially, The Bank of New York Mellon, Hong Kong Branch, will act as CMU Lodging and Paying Agent and Registrar. The Company may change or appoint any CMU Lodging and Paying Agent or Registrar without notice to any Noteholder. The Company may act in any such capacity.</w:t>
      </w:r>
    </w:p>
    <w:p>
      <w:pPr>
        <w:spacing w:after="0" w:line="178" w:lineRule="exact"/>
        <w:rPr>
          <w:rFonts w:ascii="Times New Roman" w:cs="Times New Roman" w:eastAsia="Times New Roman" w:hAnsi="Times New Roman"/>
          <w:sz w:val="18"/>
          <w:szCs w:val="18"/>
          <w:color w:val="auto"/>
        </w:rPr>
      </w:pPr>
    </w:p>
    <w:p>
      <w:pPr>
        <w:ind w:right="40" w:firstLine="422"/>
        <w:spacing w:after="0" w:line="265" w:lineRule="auto"/>
        <w:tabs>
          <w:tab w:leader="none" w:pos="608"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The terms of the Notes include those stated in the Indenture and those made part of the Indenture by reference to the Trust Indenture Act of 1939 (“</w:t>
      </w:r>
      <w:r>
        <w:rPr>
          <w:rFonts w:ascii="Times New Roman" w:cs="Times New Roman" w:eastAsia="Times New Roman" w:hAnsi="Times New Roman"/>
          <w:sz w:val="17"/>
          <w:szCs w:val="17"/>
          <w:u w:val="single" w:color="auto"/>
          <w:color w:val="auto"/>
        </w:rPr>
        <w:t>TIA</w:t>
      </w:r>
      <w:r>
        <w:rPr>
          <w:rFonts w:ascii="Times New Roman" w:cs="Times New Roman" w:eastAsia="Times New Roman" w:hAnsi="Times New Roman"/>
          <w:sz w:val="17"/>
          <w:szCs w:val="17"/>
          <w:color w:val="auto"/>
        </w:rPr>
        <w:t>”) as in effect on the date the Indenture is qualified. The Notes are subject to all such terms, and Noteholders are referred to the Indenture and TIA for a statement of such terms. To the extent permitted by applicable law, in the event of any inconsistency between the terms of this Note and the terms of the Indenture, the terms of the Indenture will control. The Notes are unsecured general obligations of the Company and constitute the series designated on the face of this Note as the “2.05% Notes due 2031,” initially limited to CNY7,500,000,000 in aggregate principal amount. The Company will furnish to any Noteholder upon written request and without charge a copy of the Base Indenture and the Third Supplemental Indenture. Requests may be made to: JD.com, Inc., 20th Floor, Building A, No.18 Kechuang 11 Street, Yizhuang Economic and Technological Development Zone, Daxing District, Beijing, 100101, People’s Republic of China, Attention: Chief Financial Officer, email: invoicebilling_tr@jd.com.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780"/>
          </w:cols>
          <w:pgMar w:left="560" w:top="266" w:right="559" w:bottom="1440" w:gutter="0" w:footer="0" w:header="0"/>
        </w:sectPr>
      </w:pPr>
    </w:p>
    <w:bookmarkStart w:id="318" w:name="page319"/>
    <w:bookmarkEnd w:id="318"/>
    <w:p>
      <w:pPr>
        <w:jc w:val="both"/>
        <w:ind w:left="-40" w:right="380" w:firstLine="422"/>
        <w:spacing w:after="0" w:line="300" w:lineRule="auto"/>
        <w:tabs>
          <w:tab w:leader="none" w:pos="568"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Redemption and Repurchase</w:t>
      </w:r>
      <w:r>
        <w:rPr>
          <w:rFonts w:ascii="Times New Roman" w:cs="Times New Roman" w:eastAsia="Times New Roman" w:hAnsi="Times New Roman"/>
          <w:sz w:val="17"/>
          <w:szCs w:val="17"/>
          <w:color w:val="auto"/>
        </w:rPr>
        <w:t>. The Notes are subject to optional redemption, and may be the subject of a Triggering Event Offer, as further described in the Indenture. The Company shall not be required to make mandatory redemption or sinking fund payments with respect to the Notes.</w:t>
      </w:r>
    </w:p>
    <w:p>
      <w:pPr>
        <w:spacing w:after="0" w:line="145" w:lineRule="exact"/>
        <w:rPr>
          <w:rFonts w:ascii="Times New Roman" w:cs="Times New Roman" w:eastAsia="Times New Roman" w:hAnsi="Times New Roman"/>
          <w:sz w:val="17"/>
          <w:szCs w:val="17"/>
          <w:color w:val="auto"/>
        </w:rPr>
      </w:pPr>
    </w:p>
    <w:p>
      <w:pPr>
        <w:ind w:left="-40" w:firstLine="422"/>
        <w:spacing w:after="0" w:line="250" w:lineRule="auto"/>
        <w:tabs>
          <w:tab w:leader="none" w:pos="56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the denominations of CNY1,000,000 or any integral multiple of CNY10,000 in excess thereof. The transfer of Notes may be registered and Notes may be exchanged as provided in the Indenture. The Notes may be presented for exchange or for registration of transfer (duly endorsed or with the form of transfer endorsed thereon duly executed if so required by the Company or the Registrar) at the office of the Registrar or at the office of any transfer agent designated by the Company for such purpose. The Company need not exchange or register the transfer of any Note or portion of a Note selected for redemption, except for the unredeemed portion of any Note being redeemed in part.</w:t>
      </w:r>
    </w:p>
    <w:p>
      <w:pPr>
        <w:spacing w:after="0" w:line="186" w:lineRule="exact"/>
        <w:rPr>
          <w:rFonts w:ascii="Times New Roman" w:cs="Times New Roman" w:eastAsia="Times New Roman" w:hAnsi="Times New Roman"/>
          <w:sz w:val="18"/>
          <w:szCs w:val="18"/>
          <w:color w:val="auto"/>
        </w:rPr>
      </w:pPr>
    </w:p>
    <w:p>
      <w:pPr>
        <w:ind w:left="560" w:hanging="178"/>
        <w:spacing w:after="0"/>
        <w:tabs>
          <w:tab w:leader="none" w:pos="5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Noteholder may be treated as its owner for all purposes.</w:t>
      </w:r>
    </w:p>
    <w:p>
      <w:pPr>
        <w:spacing w:after="0" w:line="216" w:lineRule="exact"/>
        <w:rPr>
          <w:rFonts w:ascii="Times New Roman" w:cs="Times New Roman" w:eastAsia="Times New Roman" w:hAnsi="Times New Roman"/>
          <w:sz w:val="18"/>
          <w:szCs w:val="18"/>
          <w:color w:val="auto"/>
        </w:rPr>
      </w:pPr>
    </w:p>
    <w:p>
      <w:pPr>
        <w:ind w:left="-40" w:right="160" w:firstLine="422"/>
        <w:spacing w:after="0" w:line="253" w:lineRule="auto"/>
        <w:tabs>
          <w:tab w:leader="none" w:pos="56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Supplements and Waivers</w:t>
      </w:r>
      <w:r>
        <w:rPr>
          <w:rFonts w:ascii="Times New Roman" w:cs="Times New Roman" w:eastAsia="Times New Roman" w:hAnsi="Times New Roman"/>
          <w:sz w:val="18"/>
          <w:szCs w:val="18"/>
          <w:color w:val="auto"/>
        </w:rPr>
        <w:t>. The Indenture and the Notes may be amended or supplemented as provided in the Indenture. Any consent or waiver by the Noteholders as provided in the Indenture shall be conclusive and binding upon such Holders and upon all future Noteholders and holders of any security issued upon the registration of transfer hereof or in exchange herefor or in lieu hereof, whether or not notation of such consent or waiver is made upon the Notes.</w:t>
      </w:r>
    </w:p>
    <w:p>
      <w:pPr>
        <w:spacing w:after="0" w:line="184" w:lineRule="exact"/>
        <w:rPr>
          <w:rFonts w:ascii="Times New Roman" w:cs="Times New Roman" w:eastAsia="Times New Roman" w:hAnsi="Times New Roman"/>
          <w:sz w:val="18"/>
          <w:szCs w:val="18"/>
          <w:color w:val="auto"/>
        </w:rPr>
      </w:pPr>
    </w:p>
    <w:p>
      <w:pPr>
        <w:jc w:val="both"/>
        <w:ind w:left="-40" w:right="120" w:firstLine="422"/>
        <w:spacing w:after="0" w:line="258" w:lineRule="auto"/>
        <w:tabs>
          <w:tab w:leader="none" w:pos="56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The Events of Default relating to the Notes are defined in Section 7.01 of the Base Indenture. Upon the occurrence of an Event of Default, the rights and obligations of the Company, the Trustee and the Noteholders shall be as set forth in the applicable provisions of the Indenture.</w:t>
      </w:r>
    </w:p>
    <w:p>
      <w:pPr>
        <w:spacing w:after="0" w:line="178" w:lineRule="exact"/>
        <w:rPr>
          <w:rFonts w:ascii="Times New Roman" w:cs="Times New Roman" w:eastAsia="Times New Roman" w:hAnsi="Times New Roman"/>
          <w:sz w:val="18"/>
          <w:szCs w:val="18"/>
          <w:color w:val="auto"/>
        </w:rPr>
      </w:pPr>
    </w:p>
    <w:p>
      <w:pPr>
        <w:ind w:left="-40" w:right="60" w:firstLine="422"/>
        <w:spacing w:after="0" w:line="251" w:lineRule="auto"/>
        <w:tabs>
          <w:tab w:leader="none" w:pos="6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recourse under or upon any obligation, covenant or agreement contained in the Indenture or the Notes,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680"/>
          </w:cols>
          <w:pgMar w:left="600" w:top="266" w:right="619" w:bottom="1440" w:gutter="0" w:footer="0" w:header="0"/>
        </w:sectPr>
      </w:pPr>
    </w:p>
    <w:bookmarkStart w:id="319" w:name="page320"/>
    <w:bookmarkEnd w:id="319"/>
    <w:p>
      <w:pPr>
        <w:ind w:left="-140" w:firstLine="422"/>
        <w:spacing w:after="0" w:line="270" w:lineRule="auto"/>
        <w:tabs>
          <w:tab w:leader="none" w:pos="54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entitled to any benefit under the Indenture or be valid or obligatory for any purpose until authenticated by the manual signature of the Registrar.</w:t>
      </w:r>
    </w:p>
    <w:p>
      <w:pPr>
        <w:spacing w:after="0" w:line="168" w:lineRule="exact"/>
        <w:rPr>
          <w:rFonts w:ascii="Times New Roman" w:cs="Times New Roman" w:eastAsia="Times New Roman" w:hAnsi="Times New Roman"/>
          <w:sz w:val="18"/>
          <w:szCs w:val="18"/>
          <w:color w:val="auto"/>
        </w:rPr>
      </w:pPr>
    </w:p>
    <w:p>
      <w:pPr>
        <w:ind w:left="-140" w:right="60" w:firstLine="422"/>
        <w:spacing w:after="0" w:line="270" w:lineRule="auto"/>
        <w:tabs>
          <w:tab w:leader="none" w:pos="55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Base Indenture, the Third Supplemental Indenture and this Note shall be deemed to be contracts made under the law of the State of New York, and for all purposes shall be governed by and construed in accordance with the law of said State.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00"/>
          </w:cols>
          <w:pgMar w:left="700" w:top="266" w:right="699" w:bottom="1440" w:gutter="0" w:footer="0" w:header="0"/>
        </w:sectPr>
      </w:pPr>
    </w:p>
    <w:bookmarkStart w:id="320" w:name="page321"/>
    <w:bookmarkEnd w:id="32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ASSIGNMENT</w:t>
      </w:r>
    </w:p>
    <w:p>
      <w:pPr>
        <w:spacing w:after="0" w:line="216" w:lineRule="exact"/>
        <w:rPr>
          <w:sz w:val="20"/>
          <w:szCs w:val="20"/>
          <w:color w:val="auto"/>
        </w:rPr>
      </w:pPr>
    </w:p>
    <w:p>
      <w:pPr>
        <w:jc w:val="center"/>
        <w:ind w:right="366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173990</wp:posOffset>
            </wp:positionV>
            <wp:extent cx="684974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4">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367030</wp:posOffset>
            </wp:positionV>
            <wp:extent cx="68497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5">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182245</wp:posOffset>
            </wp:positionV>
            <wp:extent cx="68497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6">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within Note and all rights thereunder, hereby irrevocably constituting and appointing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 Attorney to transfer such Note on the books of the Company, with full power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substitution in the premises.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Signature: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14605</wp:posOffset>
            </wp:positionV>
            <wp:extent cx="32823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7">
                      <a:extLst>
                        <a:ext uri="{28A0092B-C50C-407E-A947-70E740481C1C}"/>
                      </a:extLst>
                    </a:blip>
                    <a:srcRect/>
                    <a:stretch>
                      <a:fillRect/>
                    </a:stretch>
                  </pic:blipFill>
                  <pic:spPr bwMode="auto">
                    <a:xfrm>
                      <a:off x="0" y="0"/>
                      <a:ext cx="328231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-10160</wp:posOffset>
            </wp:positionV>
            <wp:extent cx="19024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8">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NOTICE: The signature to this assignment must correspond with the</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as written upon the face of the within Note in every particular</w:t>
      </w:r>
    </w:p>
    <w:p>
      <w:pPr>
        <w:spacing w:after="0" w:line="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without alteration or enlargement or any change whatsoever.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16" w:lineRule="exact"/>
        <w:rPr>
          <w:sz w:val="20"/>
          <w:szCs w:val="20"/>
          <w:color w:val="auto"/>
        </w:rPr>
      </w:pPr>
    </w:p>
    <w:p>
      <w:pPr>
        <w:ind w:right="340" w:firstLine="431"/>
        <w:spacing w:after="0" w:line="280"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740"/>
          </w:cols>
          <w:pgMar w:left="560" w:top="266" w:right="59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OPTION OF HOLDER TO ELECT PURCHASE</w:t>
      </w:r>
    </w:p>
    <w:p>
      <w:pPr>
        <w:spacing w:after="0" w:line="216" w:lineRule="exact"/>
        <w:rPr>
          <w:sz w:val="20"/>
          <w:szCs w:val="20"/>
          <w:color w:val="auto"/>
        </w:rPr>
      </w:pPr>
    </w:p>
    <w:p>
      <w:pPr>
        <w:ind w:right="340" w:firstLine="431"/>
        <w:spacing w:after="0" w:line="270" w:lineRule="auto"/>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2.05 of the Third Supplemental Indenture, check the box below:</w:t>
      </w:r>
    </w:p>
    <w:p>
      <w:pPr>
        <w:spacing w:after="0" w:line="169" w:lineRule="exact"/>
        <w:rPr>
          <w:sz w:val="20"/>
          <w:szCs w:val="20"/>
          <w:color w:val="auto"/>
        </w:rPr>
      </w:pPr>
    </w:p>
    <w:p>
      <w:pPr>
        <w:ind w:left="620" w:hanging="198"/>
        <w:spacing w:after="0"/>
        <w:tabs>
          <w:tab w:leader="none" w:pos="620" w:val="left"/>
        </w:tabs>
        <w:numPr>
          <w:ilvl w:val="0"/>
          <w:numId w:val="26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2.05</w:t>
      </w:r>
    </w:p>
    <w:p>
      <w:pPr>
        <w:spacing w:after="0" w:line="216" w:lineRule="exact"/>
        <w:rPr>
          <w:sz w:val="20"/>
          <w:szCs w:val="20"/>
          <w:color w:val="auto"/>
        </w:rPr>
      </w:pPr>
    </w:p>
    <w:p>
      <w:pPr>
        <w:ind w:right="160" w:firstLine="431"/>
        <w:spacing w:after="0" w:line="270"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2.05 of the Third Supplemental Indenture, state the amount you elect to have purchased: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CNY_________</w:t>
            </w: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tcPr>
          <w:p>
            <w:pPr>
              <w:spacing w:after="0"/>
              <w:rPr>
                <w:sz w:val="19"/>
                <w:szCs w:val="19"/>
                <w:color w:val="auto"/>
              </w:rPr>
            </w:pPr>
          </w:p>
        </w:tc>
      </w:tr>
      <w:tr>
        <w:trPr>
          <w:trHeight w:val="411"/>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7420" w:type="dxa"/>
            <w:vAlign w:val="bottom"/>
            <w:gridSpan w:val="3"/>
          </w:tcPr>
          <w:p>
            <w:pPr>
              <w:jc w:val="right"/>
              <w:ind w:right="3992"/>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0"/>
        </w:trPr>
        <w:tc>
          <w:tcPr>
            <w:tcW w:w="4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9"/>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7"/>
              </w:rPr>
              <w:t>(Sign exactly as your name appears</w:t>
            </w:r>
          </w:p>
        </w:tc>
      </w:tr>
      <w:tr>
        <w:trPr>
          <w:trHeight w:val="229"/>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 the face of this Note)</w:t>
            </w:r>
          </w:p>
        </w:tc>
      </w:tr>
      <w:tr>
        <w:trPr>
          <w:trHeight w:val="437"/>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Tax Identification No:</w:t>
            </w:r>
          </w:p>
        </w:tc>
        <w:tc>
          <w:tcPr>
            <w:tcW w:w="3980" w:type="dxa"/>
            <w:vAlign w:val="bottom"/>
            <w:tcBorders>
              <w:bottom w:val="single" w:sz="8" w:color="auto"/>
            </w:tcBorders>
          </w:tcPr>
          <w:p>
            <w:pPr>
              <w:spacing w:after="0"/>
              <w:rPr>
                <w:sz w:val="24"/>
                <w:szCs w:val="24"/>
                <w:color w:val="auto"/>
              </w:rPr>
            </w:pPr>
          </w:p>
        </w:tc>
      </w:tr>
      <w:tr>
        <w:trPr>
          <w:trHeight w:val="455"/>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w:t>
            </w:r>
          </w:p>
        </w:tc>
      </w:tr>
      <w:tr>
        <w:trPr>
          <w:trHeight w:val="424"/>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320" w:type="dxa"/>
            <w:vAlign w:val="bottom"/>
            <w:tcBorders>
              <w:bottom w:val="single" w:sz="8" w:color="auto"/>
            </w:tcBorders>
            <w:gridSpan w:val="2"/>
          </w:tcPr>
          <w:p>
            <w:pPr>
              <w:spacing w:after="0"/>
              <w:rPr>
                <w:sz w:val="24"/>
                <w:szCs w:val="24"/>
                <w:color w:val="auto"/>
              </w:rPr>
            </w:pPr>
          </w:p>
        </w:tc>
      </w:tr>
      <w:tr>
        <w:trPr>
          <w:trHeight w:val="362"/>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20" w:type="dxa"/>
            <w:vAlign w:val="bottom"/>
            <w:gridSpan w:val="3"/>
          </w:tcPr>
          <w:p>
            <w:pPr>
              <w:ind w:left="1880"/>
              <w:spacing w:after="0"/>
              <w:rPr>
                <w:sz w:val="20"/>
                <w:szCs w:val="20"/>
                <w:color w:val="auto"/>
              </w:rPr>
            </w:pPr>
            <w:r>
              <w:rPr>
                <w:rFonts w:ascii="Times New Roman" w:cs="Times New Roman" w:eastAsia="Times New Roman" w:hAnsi="Times New Roman"/>
                <w:sz w:val="18"/>
                <w:szCs w:val="18"/>
                <w:color w:val="auto"/>
              </w:rPr>
              <w:t>A-9</w:t>
            </w:r>
          </w:p>
        </w:tc>
      </w:tr>
    </w:tbl>
    <w:p>
      <w:pPr>
        <w:sectPr>
          <w:pgSz w:w="11900" w:h="16838" w:orient="portrait"/>
          <w:cols w:equalWidth="0" w:num="1">
            <w:col w:w="10780"/>
          </w:cols>
          <w:pgMar w:left="560" w:top="266" w:right="559" w:bottom="1440" w:gutter="0" w:footer="0" w:header="0"/>
        </w:sectPr>
      </w:pPr>
    </w:p>
    <w:bookmarkStart w:id="322" w:name="page323"/>
    <w:bookmarkEnd w:id="32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OF INCREASES OR DECREASES IN NOTE</w:t>
      </w:r>
      <w:r>
        <w:rPr>
          <w:rFonts w:ascii="Times New Roman" w:cs="Times New Roman" w:eastAsia="Times New Roman" w:hAnsi="Times New Roman"/>
          <w:sz w:val="26"/>
          <w:szCs w:val="26"/>
          <w:color w:val="auto"/>
          <w:vertAlign w:val="superscript"/>
        </w:rPr>
        <w:t>*</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initial principal amount of this Note is CNY_________. The following increases or decreases in a part of this Note have been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decrease</w:t>
            </w:r>
          </w:p>
        </w:tc>
        <w:tc>
          <w:tcPr>
            <w:tcW w:w="246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increase in</w:t>
            </w:r>
          </w:p>
        </w:tc>
        <w:tc>
          <w:tcPr>
            <w:tcW w:w="18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amount of this</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4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principal</w:t>
            </w:r>
          </w:p>
        </w:tc>
        <w:tc>
          <w:tcPr>
            <w:tcW w:w="18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Note following</w:t>
            </w: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authorized</w:t>
            </w:r>
          </w:p>
        </w:tc>
        <w:tc>
          <w:tcPr>
            <w:tcW w:w="0" w:type="dxa"/>
            <w:vAlign w:val="bottom"/>
          </w:tcPr>
          <w:p>
            <w:pPr>
              <w:spacing w:after="0"/>
              <w:rPr>
                <w:sz w:val="1"/>
                <w:szCs w:val="1"/>
                <w:color w:val="auto"/>
              </w:rPr>
            </w:pPr>
          </w:p>
        </w:tc>
      </w:tr>
      <w:tr>
        <w:trPr>
          <w:trHeight w:val="145"/>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340" w:type="dxa"/>
            <w:vAlign w:val="bottom"/>
          </w:tcPr>
          <w:p>
            <w:pPr>
              <w:spacing w:after="0"/>
              <w:rPr>
                <w:sz w:val="12"/>
                <w:szCs w:val="12"/>
                <w:color w:val="auto"/>
              </w:rPr>
            </w:pPr>
          </w:p>
        </w:tc>
        <w:tc>
          <w:tcPr>
            <w:tcW w:w="2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in principal amount</w:t>
            </w:r>
          </w:p>
        </w:tc>
        <w:tc>
          <w:tcPr>
            <w:tcW w:w="24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amount of this</w:t>
            </w:r>
          </w:p>
        </w:tc>
        <w:tc>
          <w:tcPr>
            <w:tcW w:w="18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such decrease (or</w:t>
            </w: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76"/>
        </w:trPr>
        <w:tc>
          <w:tcPr>
            <w:tcW w:w="280" w:type="dxa"/>
            <w:vAlign w:val="bottom"/>
            <w:tcBorders>
              <w:bottom w:val="single" w:sz="8" w:color="auto"/>
            </w:tcBorders>
            <w:vMerge w:val="continue"/>
          </w:tcPr>
          <w:p>
            <w:pPr>
              <w:spacing w:after="0"/>
              <w:rPr>
                <w:sz w:val="15"/>
                <w:szCs w:val="15"/>
                <w:color w:val="auto"/>
              </w:rPr>
            </w:pPr>
          </w:p>
        </w:tc>
        <w:tc>
          <w:tcPr>
            <w:tcW w:w="23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3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352425</wp:posOffset>
            </wp:positionV>
            <wp:extent cx="7556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1">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ectPr>
          <w:pgSz w:w="11900" w:h="16838" w:orient="portrait"/>
          <w:cols w:equalWidth="0" w:num="1">
            <w:col w:w="10780"/>
          </w:cols>
          <w:pgMar w:left="560" w:top="266" w:right="5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Insert in Global Notes.</w:t>
      </w:r>
    </w:p>
    <w:p>
      <w:pPr>
        <w:spacing w:after="0" w:line="161" w:lineRule="exact"/>
        <w:rPr>
          <w:sz w:val="20"/>
          <w:szCs w:val="20"/>
          <w:color w:val="auto"/>
        </w:rPr>
      </w:pPr>
    </w:p>
    <w:p>
      <w:pPr>
        <w:sectPr>
          <w:pgSz w:w="11900" w:h="16838" w:orient="portrait"/>
          <w:cols w:equalWidth="0" w:num="2">
            <w:col w:w="60" w:space="360"/>
            <w:col w:w="10360"/>
          </w:cols>
          <w:pgMar w:left="560" w:top="266" w:right="5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0780"/>
          </w:cols>
          <w:pgMar w:left="560" w:top="266" w:right="559" w:bottom="1440" w:gutter="0" w:footer="0" w:header="0"/>
          <w:type w:val="continuous"/>
        </w:sectPr>
      </w:pPr>
    </w:p>
    <w:bookmarkStart w:id="323" w:name="page324"/>
    <w:bookmarkEnd w:id="3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2.75% NOTES DUE 2036</w:t>
      </w:r>
    </w:p>
    <w:p>
      <w:pPr>
        <w:spacing w:after="0" w:line="21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7"/>
          <w:szCs w:val="17"/>
          <w:color w:val="auto"/>
        </w:rPr>
        <w:t>FACE OF NOTE</w:t>
      </w:r>
    </w:p>
    <w:p>
      <w:pPr>
        <w:spacing w:after="0" w:line="2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 Inclusion in a Global Security only —</w:t>
      </w:r>
      <w:r>
        <w:rPr>
          <w:rFonts w:ascii="Times New Roman" w:cs="Times New Roman" w:eastAsia="Times New Roman" w:hAnsi="Times New Roman"/>
          <w:sz w:val="18"/>
          <w:szCs w:val="18"/>
          <w:color w:val="auto"/>
        </w:rPr>
        <w:t xml:space="preserve"> THIS SECURITY HAS NOT BEEN REGISTERED UNDER THE UNITED STATES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w:t>
      </w:r>
    </w:p>
    <w:p>
      <w:pPr>
        <w:spacing w:after="0" w:line="18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HOLDER OF THIS SECURITY, BY ITS ACCEPTANCE HEREOF, AGREES ON ITS OWN BEHALF AND ON BEHALF OF ANY INVESTOR ACCOUNT FOR WHICH IT HAS PURCHASED SUCH SECURITY, TO OFFER, SELL OR OTHERWISE TRANSFER SUCH SECURITY, PRIOR TO THE DATE (THE “RESALE RESTRICTION TERMINATION DATE”) THAT IS 40 DAYS AFTER THE LATER OF THE ORIGINAL ISSUE DATE HEREOF AND THE LAST DATE ON WHICH THE ISSUER OR ANY AFFILIATE OF THE ISSUER WAS THE OWNER OF THIS SECURITY (OR ANY PREDECESSOR OF SUCH SECURITY), ONLY (A) TO THE ISSUER (B) PURSUANT TO A REGISTRATION STATEMENT THAT HAS BEEN DECLARED EFFECTIVE UNDER THE SECURITIES ACT, (C) PURSUANT TO OFFERS AND SALES TO NON-US PERSONS THAT OCCUR OUTSIDE THE UNITED STATES WITHIN THE MEANING OF REGULATION S UNDER THE SECURITIES ACT, OR (D) PURSUANT TO ANOTHER AVAILABLE EXEMPTION FROM THE REGISTRATION REQUIREMENTS OF THE SECURITIES ACT, SUBJECT TO THE ISSUER’S AND THE TRANSFER AGENT’S RIGHT PRIOR TO ANY SUCH OFFER, SALE OR TRANSFER PURSUANT TO CLAUSE (D) TO REQUIRE THE DELIVERY OF AN OPINION OF COUNSEL, CERTIFICATION AND/OR OTHER INFORMATION SATISFACTORY TO EACH OF THEM. THIS LEGEND WILL BE REMOVED UPON THE REQUEST OF THE HOLDER AFTER THE RESALE RESTRICTION TERMINATION DATE.</w:t>
      </w:r>
    </w:p>
    <w:p>
      <w:pPr>
        <w:spacing w:after="0" w:line="19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UNLESS AND UNTIL IT IS EXCHANGED IN WHOLE OR IN PART FOR THE INDIVIDUAL SECURITIES REPRESENTED HEREBY,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780"/>
          </w:cols>
          <w:pgMar w:left="560" w:top="264" w:right="55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JD.COM,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2.75% Note Due 2036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CNY_________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 Common Code / CMU Instrument No: HK0001285102 / 332704150 / BNYHFN26121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_________</w:t>
      </w:r>
    </w:p>
    <w:p>
      <w:pPr>
        <w:spacing w:after="0" w:line="199" w:lineRule="exact"/>
        <w:rPr>
          <w:sz w:val="20"/>
          <w:szCs w:val="20"/>
          <w:color w:val="auto"/>
        </w:rPr>
      </w:pPr>
    </w:p>
    <w:p>
      <w:pPr>
        <w:jc w:val="both"/>
        <w:ind w:right="220" w:firstLine="431"/>
        <w:spacing w:after="0" w:line="266" w:lineRule="auto"/>
        <w:rPr>
          <w:sz w:val="20"/>
          <w:szCs w:val="20"/>
          <w:color w:val="auto"/>
        </w:rPr>
      </w:pPr>
      <w:r>
        <w:rPr>
          <w:rFonts w:ascii="Times New Roman" w:cs="Times New Roman" w:eastAsia="Times New Roman" w:hAnsi="Times New Roman"/>
          <w:sz w:val="17"/>
          <w:szCs w:val="17"/>
          <w:color w:val="auto"/>
        </w:rPr>
        <w:t>JD.com, Inc., an exempted company incorporated in the Cayman Islands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which term includes any successor thereto under the Indenture referred to on the reverse hereof), for value received, hereby promises to pay to The Bank of New York Depository (Nominees) Limited, or registered assigns, the principal sum of __________________ RENMINBI (CNY_____) (or such other principal amount as shall be set forth in the</w:t>
      </w:r>
    </w:p>
    <w:p>
      <w:pPr>
        <w:spacing w:after="0" w:line="2"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8"/>
          <w:szCs w:val="18"/>
          <w:color w:val="auto"/>
        </w:rPr>
        <w:t>Schedule of Increases or Decreases in Note attached hereto) on April 10, 2036, or on such earlier date as the principal hereof may become due in accordance with the provisions of this Note.</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Rate: 2.75% per annum.</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Payment Dates: April 10 and October 10, commencing October 10, 2026.</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Record Dates: One Clearing System Business Day immediately preceding an Interest Payment Date.</w:t>
      </w:r>
    </w:p>
    <w:p>
      <w:pPr>
        <w:spacing w:after="0" w:line="216" w:lineRule="exact"/>
        <w:rPr>
          <w:sz w:val="20"/>
          <w:szCs w:val="20"/>
          <w:color w:val="auto"/>
        </w:rPr>
      </w:pPr>
    </w:p>
    <w:p>
      <w:pPr>
        <w:ind w:right="380" w:firstLine="431"/>
        <w:spacing w:after="0" w:line="270" w:lineRule="auto"/>
        <w:rPr>
          <w:sz w:val="20"/>
          <w:szCs w:val="20"/>
          <w:color w:val="auto"/>
        </w:rPr>
      </w:pPr>
      <w:r>
        <w:rPr>
          <w:rFonts w:ascii="Times New Roman" w:cs="Times New Roman" w:eastAsia="Times New Roman" w:hAnsi="Times New Roman"/>
          <w:sz w:val="18"/>
          <w:szCs w:val="18"/>
          <w:color w:val="auto"/>
        </w:rPr>
        <w:t>Reference is made to the further provisions of this Note set forth on the reverse hereof. Such further provisions shall for all purposes have the same effect as though fully set forth at this place.</w:t>
      </w:r>
    </w:p>
    <w:p>
      <w:pPr>
        <w:spacing w:after="0" w:line="169" w:lineRule="exact"/>
        <w:rPr>
          <w:sz w:val="20"/>
          <w:szCs w:val="20"/>
          <w:color w:val="auto"/>
        </w:rPr>
      </w:pPr>
    </w:p>
    <w:p>
      <w:pPr>
        <w:ind w:firstLine="431"/>
        <w:spacing w:after="0" w:line="270" w:lineRule="auto"/>
        <w:rPr>
          <w:sz w:val="20"/>
          <w:szCs w:val="20"/>
          <w:color w:val="auto"/>
        </w:rPr>
      </w:pPr>
      <w:r>
        <w:rPr>
          <w:rFonts w:ascii="Times New Roman" w:cs="Times New Roman" w:eastAsia="Times New Roman" w:hAnsi="Times New Roman"/>
          <w:sz w:val="18"/>
          <w:szCs w:val="18"/>
          <w:color w:val="auto"/>
        </w:rPr>
        <w:t>This Note shall not be valid or become obligatory for any purpose until the certificate of authentication hereon shall have been manually signed by the Registrar under the Indenture referred to on the reverse hereof.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760"/>
          </w:cols>
          <w:pgMar w:left="560" w:top="266" w:right="57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WITNESS WHEREOF, JD.com, Inc.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JD.COM,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14605</wp:posOffset>
            </wp:positionV>
            <wp:extent cx="25101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5">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5820" w:space="220"/>
            <w:col w:w="3439"/>
          </w:cols>
          <w:pgMar w:left="980" w:top="266" w:right="1440" w:bottom="1440" w:gutter="0" w:footer="0" w:header="0"/>
        </w:sectPr>
      </w:pPr>
    </w:p>
    <w:bookmarkStart w:id="326" w:name="page327"/>
    <w:bookmarkEnd w:id="326"/>
    <w:p>
      <w:pPr>
        <w:ind w:left="3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CERTIFICATE OF AUTHENTICATION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authentication:</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4"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HONG KONG BRANCH</w:t>
      </w:r>
    </w:p>
    <w:p>
      <w:pPr>
        <w:spacing w:after="0" w:line="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as Registrar</w:t>
      </w:r>
    </w:p>
    <w:p>
      <w:pPr>
        <w:spacing w:after="0" w:line="21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5101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1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9899"/>
          </w:cols>
          <w:pgMar w:left="560" w:top="266" w:right="1440"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REVERSE OF NOTE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JD.COM,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2.75% Note Due 2036</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Note is one of a duly authorized issue of debt securities of the Company of the series designated as the “2.75% Notes due 2036”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all issued or to be issued under and pursuant to an Indenture, dated as of April 29, 2016(the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duly executed and delivered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between the Company and The Bank of New York Mellon, a banking corporation organized and existing under the laws of the State of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limited liability, as trustee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which term includes any successor trustee), as supplemented by the Third Supplemental Indenture, dated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10, 2026 (the “</w:t>
      </w:r>
      <w:r>
        <w:rPr>
          <w:rFonts w:ascii="Times New Roman" w:cs="Times New Roman" w:eastAsia="Times New Roman" w:hAnsi="Times New Roman"/>
          <w:sz w:val="17"/>
          <w:szCs w:val="17"/>
          <w:u w:val="single" w:color="auto"/>
          <w:color w:val="auto"/>
        </w:rPr>
        <w:t>Third Supplemental Indenture</w:t>
      </w:r>
      <w:r>
        <w:rPr>
          <w:rFonts w:ascii="Times New Roman" w:cs="Times New Roman" w:eastAsia="Times New Roman" w:hAnsi="Times New Roman"/>
          <w:sz w:val="17"/>
          <w:szCs w:val="17"/>
          <w:color w:val="auto"/>
        </w:rPr>
        <w:t>”), duly executed and delivered by and between the Company, the Trustee and The Bank of New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Mellon, Hong Kong Branch, a banking corporation organized and existing under the laws of the State of New York with limited liability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through its branch in Hong Kong at Level 26, Three Pacific Place, 1 Queen’s Road East, Hong Kong, as CMU Lodging and Paying Agent,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The Base Indenture as supplemented and amended by the Third Supplemental Indenture is referred to herein as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Capitalized terms used herein and not otherwise defined shall have the meanings given them in the Indenture.</w:t>
      </w:r>
    </w:p>
    <w:p>
      <w:pPr>
        <w:spacing w:after="0" w:line="199" w:lineRule="exact"/>
        <w:rPr>
          <w:sz w:val="20"/>
          <w:szCs w:val="20"/>
          <w:color w:val="auto"/>
        </w:rPr>
      </w:pPr>
    </w:p>
    <w:p>
      <w:pPr>
        <w:ind w:right="120" w:firstLine="422"/>
        <w:spacing w:after="0" w:line="253" w:lineRule="auto"/>
        <w:tabs>
          <w:tab w:leader="none" w:pos="60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Company promises to pay interest on the principal amount of this Note at a rate of 2.75% per annum. The Company will pay interest semi-annually in arrears on April 10 and October 10 of each year. If a payment date is not a Business Day as defined in the Indenture at a Place of Payment, payment may be made at that place on the next succeeding day that is a Business Day, and no interest shall accrue for the intervening period. Interest shall be computed on the basis of a 365-day year and the actual number of days elapsed.</w:t>
      </w:r>
    </w:p>
    <w:p>
      <w:pPr>
        <w:spacing w:after="0" w:line="184" w:lineRule="exact"/>
        <w:rPr>
          <w:rFonts w:ascii="Times New Roman" w:cs="Times New Roman" w:eastAsia="Times New Roman" w:hAnsi="Times New Roman"/>
          <w:sz w:val="18"/>
          <w:szCs w:val="18"/>
          <w:color w:val="auto"/>
        </w:rPr>
      </w:pPr>
    </w:p>
    <w:p>
      <w:pPr>
        <w:ind w:right="60" w:firstLine="422"/>
        <w:spacing w:after="0" w:line="249" w:lineRule="auto"/>
        <w:tabs>
          <w:tab w:leader="none" w:pos="60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Company shall pay interest on the Notes (except Defaulted Interest), if any, to the Persons in whose name such Notes are registered at the close of business on the Record Date referred to on the face of this Note immediately preceding the related Interest Payment Date, even if any Notes are canceled, repurchased or redeemed on or after such Record Date and on or before such Interest Payment Date. Payment of interest on the Notes shall be made, in the currency of the People’s Republic of China that at the time is legal tender for payment of public and private debts, at the specified office of the CMU Lodging and Paying Agent or, at the option of the Company, by check mailed to the address of the Person entitled thereto as such address shall appear in the Register or, in accordance with arrangements satisfactory to the Trustee, by wire transfer to an account designated by the Holder.</w:t>
      </w:r>
    </w:p>
    <w:p>
      <w:pPr>
        <w:spacing w:after="0" w:line="188" w:lineRule="exact"/>
        <w:rPr>
          <w:rFonts w:ascii="Times New Roman" w:cs="Times New Roman" w:eastAsia="Times New Roman" w:hAnsi="Times New Roman"/>
          <w:sz w:val="18"/>
          <w:szCs w:val="18"/>
          <w:color w:val="auto"/>
        </w:rPr>
      </w:pPr>
    </w:p>
    <w:p>
      <w:pPr>
        <w:ind w:right="120" w:firstLine="422"/>
        <w:spacing w:after="0" w:line="258" w:lineRule="auto"/>
        <w:tabs>
          <w:tab w:leader="none" w:pos="60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CMU Lodging and </w:t>
      </w: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The Bank of New York Mellon, Hong Kong Branch, will act as CMU Lodging and Paying Agent and Registrar. The Company may change or appoint any CMU Lodging and Paying Agent or Registrar without notice to any Noteholder. The Company may act in any such capacity.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780"/>
          </w:cols>
          <w:pgMar w:left="560" w:top="266" w:right="559" w:bottom="1440" w:gutter="0" w:footer="0" w:header="0"/>
        </w:sectPr>
      </w:pPr>
    </w:p>
    <w:bookmarkStart w:id="328" w:name="page329"/>
    <w:bookmarkEnd w:id="328"/>
    <w:p>
      <w:pPr>
        <w:ind w:left="-40" w:firstLine="422"/>
        <w:spacing w:after="0" w:line="265" w:lineRule="auto"/>
        <w:tabs>
          <w:tab w:leader="none" w:pos="56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Indenture</w:t>
      </w:r>
      <w:r>
        <w:rPr>
          <w:rFonts w:ascii="Times New Roman" w:cs="Times New Roman" w:eastAsia="Times New Roman" w:hAnsi="Times New Roman"/>
          <w:sz w:val="17"/>
          <w:szCs w:val="17"/>
          <w:color w:val="auto"/>
        </w:rPr>
        <w:t>. The terms of the Notes include those stated in the Indenture and those made part of the Indenture by reference to the Trust Indenture Act of 1939 (“</w:t>
      </w:r>
      <w:r>
        <w:rPr>
          <w:rFonts w:ascii="Times New Roman" w:cs="Times New Roman" w:eastAsia="Times New Roman" w:hAnsi="Times New Roman"/>
          <w:sz w:val="17"/>
          <w:szCs w:val="17"/>
          <w:u w:val="single" w:color="auto"/>
          <w:color w:val="auto"/>
        </w:rPr>
        <w:t>TIA</w:t>
      </w:r>
      <w:r>
        <w:rPr>
          <w:rFonts w:ascii="Times New Roman" w:cs="Times New Roman" w:eastAsia="Times New Roman" w:hAnsi="Times New Roman"/>
          <w:sz w:val="17"/>
          <w:szCs w:val="17"/>
          <w:color w:val="auto"/>
        </w:rPr>
        <w:t>”) as in effect on the date the Indenture is qualified. The Notes are subject to all such terms, and Noteholders are referred to the Indenture and TIA for a statement of such terms. To the extent permitted by applicable law, in the event of any inconsistency between the terms of this Note and the terms of the Indenture, the terms of the Indenture will control. The Notes are unsecured general obligations of the Company and constitute the series designated on the face of this Note as the “2.75% Notes due 2036,” initially limited to CNY2,500,000,000 in aggregate principal amount. The Company will furnish to any Noteholder upon written request and without charge a copy of the Base Indenture and the Third Supplemental Indenture. Requests may be made to: JD.com, Inc., 20th Floor, Building A, No.18 Kechuang 11 Street, Yizhuang Economic and Technological Development Zone, Daxing District, Beijing, 100101, People’s Republic of China, Attention: Chief Financial Officer, email: invoicebilling_tr@jd.com.</w:t>
      </w:r>
    </w:p>
    <w:p>
      <w:pPr>
        <w:spacing w:after="0" w:line="176" w:lineRule="exact"/>
        <w:rPr>
          <w:rFonts w:ascii="Times New Roman" w:cs="Times New Roman" w:eastAsia="Times New Roman" w:hAnsi="Times New Roman"/>
          <w:sz w:val="17"/>
          <w:szCs w:val="17"/>
          <w:color w:val="auto"/>
        </w:rPr>
      </w:pPr>
    </w:p>
    <w:p>
      <w:pPr>
        <w:jc w:val="both"/>
        <w:ind w:left="-40" w:right="400" w:firstLine="422"/>
        <w:spacing w:after="0" w:line="300" w:lineRule="auto"/>
        <w:tabs>
          <w:tab w:leader="none" w:pos="56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and Repurchase</w:t>
      </w:r>
      <w:r>
        <w:rPr>
          <w:rFonts w:ascii="Times New Roman" w:cs="Times New Roman" w:eastAsia="Times New Roman" w:hAnsi="Times New Roman"/>
          <w:sz w:val="17"/>
          <w:szCs w:val="17"/>
          <w:color w:val="auto"/>
        </w:rPr>
        <w:t>. The Notes are subject to optional redemption, and may be the subject of a Triggering Event Offer, as further described in the Indenture. The Company shall not be required to make mandatory redemption or sinking fund payments with respect to the Notes.</w:t>
      </w:r>
    </w:p>
    <w:p>
      <w:pPr>
        <w:spacing w:after="0" w:line="145" w:lineRule="exact"/>
        <w:rPr>
          <w:rFonts w:ascii="Times New Roman" w:cs="Times New Roman" w:eastAsia="Times New Roman" w:hAnsi="Times New Roman"/>
          <w:sz w:val="17"/>
          <w:szCs w:val="17"/>
          <w:color w:val="auto"/>
        </w:rPr>
      </w:pPr>
    </w:p>
    <w:p>
      <w:pPr>
        <w:ind w:left="-40" w:right="20" w:firstLine="422"/>
        <w:spacing w:after="0" w:line="250" w:lineRule="auto"/>
        <w:tabs>
          <w:tab w:leader="none" w:pos="56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the denominations of CNY1,000,000 or any integral multiple of CNY10,000 in excess thereof. The transfer of Notes may be registered and Notes may be exchanged as provided in the Indenture. The Notes may be presented for exchange or for registration of transfer (duly endorsed or with the form of transfer endorsed thereon duly executed if so required by the Company or the Registrar) at the office of the Registrar or at the office of any transfer agent designated by the Company for such purpose. The Company need not exchange or register the transfer of any Note or portion of a Note selected for redemption, except for the unredeemed portion of any Note being redeemed in part.</w:t>
      </w:r>
    </w:p>
    <w:p>
      <w:pPr>
        <w:spacing w:after="0" w:line="186" w:lineRule="exact"/>
        <w:rPr>
          <w:rFonts w:ascii="Times New Roman" w:cs="Times New Roman" w:eastAsia="Times New Roman" w:hAnsi="Times New Roman"/>
          <w:sz w:val="18"/>
          <w:szCs w:val="18"/>
          <w:color w:val="auto"/>
        </w:rPr>
      </w:pPr>
    </w:p>
    <w:p>
      <w:pPr>
        <w:ind w:left="560" w:hanging="178"/>
        <w:spacing w:after="0"/>
        <w:tabs>
          <w:tab w:leader="none" w:pos="56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Noteholder may be treated as its owner for all purposes.</w:t>
      </w:r>
    </w:p>
    <w:p>
      <w:pPr>
        <w:spacing w:after="0" w:line="216" w:lineRule="exact"/>
        <w:rPr>
          <w:rFonts w:ascii="Times New Roman" w:cs="Times New Roman" w:eastAsia="Times New Roman" w:hAnsi="Times New Roman"/>
          <w:sz w:val="18"/>
          <w:szCs w:val="18"/>
          <w:color w:val="auto"/>
        </w:rPr>
      </w:pPr>
    </w:p>
    <w:p>
      <w:pPr>
        <w:ind w:left="-40" w:right="180" w:firstLine="422"/>
        <w:spacing w:after="0" w:line="253" w:lineRule="auto"/>
        <w:tabs>
          <w:tab w:leader="none" w:pos="56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Supplements and Waivers</w:t>
      </w:r>
      <w:r>
        <w:rPr>
          <w:rFonts w:ascii="Times New Roman" w:cs="Times New Roman" w:eastAsia="Times New Roman" w:hAnsi="Times New Roman"/>
          <w:sz w:val="18"/>
          <w:szCs w:val="18"/>
          <w:color w:val="auto"/>
        </w:rPr>
        <w:t>. The Indenture and the Notes may be amended or supplemented as provided in the Indenture. Any consent or waiver by the Noteholders as provided in the Indenture shall be conclusive and binding upon such Holders and upon all future Noteholders and holders of any security issued upon the registration of transfer hereof or in exchange herefor or in lieu hereof, whether or not notation of such consent or waiver is made upon the Notes.</w:t>
      </w:r>
    </w:p>
    <w:p>
      <w:pPr>
        <w:spacing w:after="0" w:line="184" w:lineRule="exact"/>
        <w:rPr>
          <w:rFonts w:ascii="Times New Roman" w:cs="Times New Roman" w:eastAsia="Times New Roman" w:hAnsi="Times New Roman"/>
          <w:sz w:val="18"/>
          <w:szCs w:val="18"/>
          <w:color w:val="auto"/>
        </w:rPr>
      </w:pPr>
    </w:p>
    <w:p>
      <w:pPr>
        <w:jc w:val="both"/>
        <w:ind w:left="-40" w:right="140" w:firstLine="422"/>
        <w:spacing w:after="0" w:line="258" w:lineRule="auto"/>
        <w:tabs>
          <w:tab w:leader="none" w:pos="56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The Events of Default relating to the Notes are defined in Section 7.01 of the Base Indenture. Upon the occurrence of an Event of Default, the rights and obligations of the Company, the Trustee and the Noteholders shall be as set forth in the applicable provisions of the Indenture.</w:t>
      </w:r>
    </w:p>
    <w:p>
      <w:pPr>
        <w:spacing w:after="0" w:line="178" w:lineRule="exact"/>
        <w:rPr>
          <w:rFonts w:ascii="Times New Roman" w:cs="Times New Roman" w:eastAsia="Times New Roman" w:hAnsi="Times New Roman"/>
          <w:sz w:val="18"/>
          <w:szCs w:val="18"/>
          <w:color w:val="auto"/>
        </w:rPr>
      </w:pPr>
    </w:p>
    <w:p>
      <w:pPr>
        <w:ind w:left="-40" w:right="80" w:firstLine="422"/>
        <w:spacing w:after="0" w:line="251" w:lineRule="auto"/>
        <w:tabs>
          <w:tab w:leader="none" w:pos="6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recourse under or upon any obligation, covenant or agreement contained in the Indenture or the Notes,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700"/>
          </w:cols>
          <w:pgMar w:left="600" w:top="266" w:right="599" w:bottom="1440" w:gutter="0" w:footer="0" w:header="0"/>
        </w:sectPr>
      </w:pPr>
    </w:p>
    <w:bookmarkStart w:id="329" w:name="page330"/>
    <w:bookmarkEnd w:id="329"/>
    <w:p>
      <w:pPr>
        <w:ind w:left="-140" w:firstLine="422"/>
        <w:spacing w:after="0" w:line="270" w:lineRule="auto"/>
        <w:tabs>
          <w:tab w:leader="none" w:pos="54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Authentication</w:t>
      </w:r>
      <w:r>
        <w:rPr>
          <w:rFonts w:ascii="Times New Roman" w:cs="Times New Roman" w:eastAsia="Times New Roman" w:hAnsi="Times New Roman"/>
          <w:sz w:val="18"/>
          <w:szCs w:val="18"/>
          <w:color w:val="auto"/>
        </w:rPr>
        <w:t>. This Note shall not be entitled to any benefit under the Indenture or be valid or obligatory for any purpose until authenticated by the manual signature of the Registrar.</w:t>
      </w:r>
    </w:p>
    <w:p>
      <w:pPr>
        <w:spacing w:after="0" w:line="168" w:lineRule="exact"/>
        <w:rPr>
          <w:rFonts w:ascii="Times New Roman" w:cs="Times New Roman" w:eastAsia="Times New Roman" w:hAnsi="Times New Roman"/>
          <w:sz w:val="18"/>
          <w:szCs w:val="18"/>
          <w:color w:val="auto"/>
        </w:rPr>
      </w:pPr>
    </w:p>
    <w:p>
      <w:pPr>
        <w:ind w:left="-140" w:right="60" w:firstLine="422"/>
        <w:spacing w:after="0" w:line="270" w:lineRule="auto"/>
        <w:tabs>
          <w:tab w:leader="none" w:pos="5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Base Indenture, the Third Supplemental Indenture and this Note shall be deemed to be contracts made under the law of the State of New York, and for all purposes shall be governed by and construed in accordance with the law of said State.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500"/>
          </w:cols>
          <w:pgMar w:left="700" w:top="266" w:right="699"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ASSIGNMENT</w:t>
      </w:r>
    </w:p>
    <w:p>
      <w:pPr>
        <w:spacing w:after="0" w:line="216" w:lineRule="exact"/>
        <w:rPr>
          <w:sz w:val="20"/>
          <w:szCs w:val="20"/>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173990</wp:posOffset>
            </wp:positionV>
            <wp:extent cx="68497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2">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350520</wp:posOffset>
            </wp:positionV>
            <wp:extent cx="684974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3">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OR TYPE NAME AND ADDRESS, INCLUDING ZIP CODE, OF ASSIGNEE]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within Note and all rights thereunder, hereby irrevocably constituting and appointing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-10160</wp:posOffset>
            </wp:positionV>
            <wp:extent cx="27971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4">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Attorney to transfer such Note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-24130</wp:posOffset>
            </wp:positionV>
            <wp:extent cx="25736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5">
                      <a:extLst>
                        <a:ext uri="{28A0092B-C50C-407E-A947-70E740481C1C}"/>
                      </a:extLst>
                    </a:blip>
                    <a:srcRect/>
                    <a:stretch>
                      <a:fillRect/>
                    </a:stretch>
                  </pic:blipFill>
                  <pic:spPr bwMode="auto">
                    <a:xfrm>
                      <a:off x="0" y="0"/>
                      <a:ext cx="25736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3175</wp:posOffset>
            </wp:positionV>
            <wp:extent cx="63207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6">
                      <a:extLst>
                        <a:ext uri="{28A0092B-C50C-407E-A947-70E740481C1C}"/>
                      </a:extLst>
                    </a:blip>
                    <a:srcRect/>
                    <a:stretch>
                      <a:fillRect/>
                    </a:stretch>
                  </pic:blipFill>
                  <pic:spPr bwMode="auto">
                    <a:xfrm>
                      <a:off x="0" y="0"/>
                      <a:ext cx="6320790" cy="8255"/>
                    </a:xfrm>
                    <a:prstGeom prst="rect">
                      <a:avLst/>
                    </a:prstGeom>
                    <a:noFill/>
                  </pic:spPr>
                </pic:pic>
              </a:graphicData>
            </a:graphic>
          </wp:anchor>
        </w:drawing>
      </w:r>
    </w:p>
    <w:p>
      <w:pPr>
        <w:ind w:left="5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NOTICE: The signature to this assignment must correspond with</w:t>
      </w:r>
    </w:p>
    <w:p>
      <w:pPr>
        <w:spacing w:after="0" w:line="2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the name as written upon the face of the within Note in every</w:t>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w:t>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whatsoever.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16" w:lineRule="exact"/>
        <w:rPr>
          <w:sz w:val="20"/>
          <w:szCs w:val="20"/>
          <w:color w:val="auto"/>
        </w:rPr>
      </w:pPr>
    </w:p>
    <w:p>
      <w:pPr>
        <w:ind w:right="360" w:firstLine="431"/>
        <w:spacing w:after="0" w:line="280"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7"/>
          <w:szCs w:val="17"/>
          <w:u w:val="single" w:color="auto"/>
          <w:color w:val="auto"/>
        </w:rPr>
        <w:t>STAMP</w:t>
      </w:r>
      <w:r>
        <w:rPr>
          <w:rFonts w:ascii="Times New Roman" w:cs="Times New Roman" w:eastAsia="Times New Roman" w:hAnsi="Times New Roman"/>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760"/>
          </w:cols>
          <w:pgMar w:left="560" w:top="266" w:right="579"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OPTION OF HOLDER TO ELECT PURCHASE</w:t>
      </w:r>
    </w:p>
    <w:p>
      <w:pPr>
        <w:spacing w:after="0" w:line="216" w:lineRule="exact"/>
        <w:rPr>
          <w:sz w:val="20"/>
          <w:szCs w:val="20"/>
          <w:color w:val="auto"/>
        </w:rPr>
      </w:pPr>
    </w:p>
    <w:p>
      <w:pPr>
        <w:ind w:right="340" w:firstLine="431"/>
        <w:spacing w:after="0" w:line="270" w:lineRule="auto"/>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2.05 of the Third Supplemental Indenture, check the box below:</w:t>
      </w:r>
    </w:p>
    <w:p>
      <w:pPr>
        <w:spacing w:after="0" w:line="169" w:lineRule="exact"/>
        <w:rPr>
          <w:sz w:val="20"/>
          <w:szCs w:val="20"/>
          <w:color w:val="auto"/>
        </w:rPr>
      </w:pPr>
    </w:p>
    <w:p>
      <w:pPr>
        <w:ind w:left="620" w:hanging="198"/>
        <w:spacing w:after="0"/>
        <w:tabs>
          <w:tab w:leader="none" w:pos="620" w:val="left"/>
        </w:tabs>
        <w:numPr>
          <w:ilvl w:val="0"/>
          <w:numId w:val="27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2.05</w:t>
      </w:r>
    </w:p>
    <w:p>
      <w:pPr>
        <w:spacing w:after="0" w:line="216" w:lineRule="exact"/>
        <w:rPr>
          <w:sz w:val="20"/>
          <w:szCs w:val="20"/>
          <w:color w:val="auto"/>
        </w:rPr>
      </w:pPr>
    </w:p>
    <w:p>
      <w:pPr>
        <w:ind w:right="160" w:firstLine="431"/>
        <w:spacing w:after="0" w:line="270"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2.05 of the Third Supplemental Indenture, state the amount you elect to have purchased: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1760" w:type="dxa"/>
            <w:vAlign w:val="bottom"/>
          </w:tcPr>
          <w:p>
            <w:pPr>
              <w:jc w:val="center"/>
              <w:ind w:right="512"/>
              <w:spacing w:after="0"/>
              <w:rPr>
                <w:sz w:val="20"/>
                <w:szCs w:val="20"/>
                <w:color w:val="auto"/>
              </w:rPr>
            </w:pPr>
            <w:r>
              <w:rPr>
                <w:rFonts w:ascii="Times New Roman" w:cs="Times New Roman" w:eastAsia="Times New Roman" w:hAnsi="Times New Roman"/>
                <w:sz w:val="18"/>
                <w:szCs w:val="18"/>
                <w:color w:val="auto"/>
                <w:w w:val="97"/>
              </w:rPr>
              <w:t>CNY_________</w:t>
            </w: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1"/>
        </w:trPr>
        <w:tc>
          <w:tcPr>
            <w:tcW w:w="21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rPr>
              <w:t xml:space="preserve">Date:                             </w:t>
            </w:r>
          </w:p>
        </w:tc>
        <w:tc>
          <w:tcPr>
            <w:tcW w:w="8600" w:type="dxa"/>
            <w:vAlign w:val="bottom"/>
            <w:gridSpan w:val="5"/>
          </w:tcPr>
          <w:p>
            <w:pPr>
              <w:ind w:left="268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0"/>
        </w:trPr>
        <w:tc>
          <w:tcPr>
            <w:tcW w:w="42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99"/>
        </w:trPr>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gridSpan w:val="3"/>
          </w:tcPr>
          <w:p>
            <w:pPr>
              <w:jc w:val="center"/>
              <w:ind w:right="240"/>
              <w:spacing w:after="0" w:line="200" w:lineRule="exact"/>
              <w:rPr>
                <w:sz w:val="20"/>
                <w:szCs w:val="20"/>
                <w:color w:val="auto"/>
              </w:rPr>
            </w:pPr>
            <w:r>
              <w:rPr>
                <w:rFonts w:ascii="Times New Roman" w:cs="Times New Roman" w:eastAsia="Times New Roman" w:hAnsi="Times New Roman"/>
                <w:sz w:val="18"/>
                <w:szCs w:val="18"/>
                <w:color w:val="auto"/>
                <w:w w:val="97"/>
              </w:rPr>
              <w:t>(Sign exactly as your name appears</w:t>
            </w:r>
          </w:p>
        </w:tc>
      </w:tr>
      <w:tr>
        <w:trPr>
          <w:trHeight w:val="225"/>
        </w:trPr>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on the face of this Note)</w:t>
            </w:r>
          </w:p>
        </w:tc>
      </w:tr>
      <w:tr>
        <w:trPr>
          <w:trHeight w:val="190"/>
        </w:trPr>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600" w:type="dxa"/>
            <w:vAlign w:val="bottom"/>
            <w:gridSpan w:val="5"/>
          </w:tcPr>
          <w:p>
            <w:pPr>
              <w:ind w:left="2680"/>
              <w:spacing w:after="0" w:line="190" w:lineRule="exact"/>
              <w:rPr>
                <w:sz w:val="20"/>
                <w:szCs w:val="20"/>
                <w:color w:val="auto"/>
              </w:rPr>
            </w:pPr>
            <w:r>
              <w:rPr>
                <w:rFonts w:ascii="Times New Roman" w:cs="Times New Roman" w:eastAsia="Times New Roman" w:hAnsi="Times New Roman"/>
                <w:sz w:val="18"/>
                <w:szCs w:val="18"/>
                <w:color w:val="auto"/>
              </w:rPr>
              <w:t xml:space="preserve">Tax Identification No:                                                                 </w:t>
            </w:r>
          </w:p>
        </w:tc>
      </w:tr>
      <w:tr>
        <w:trPr>
          <w:trHeight w:val="468"/>
        </w:trPr>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Borders>
              <w:top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Signature Guarantee:</w:t>
            </w:r>
          </w:p>
        </w:tc>
        <w:tc>
          <w:tcPr>
            <w:tcW w:w="420" w:type="dxa"/>
            <w:vAlign w:val="bottom"/>
          </w:tcPr>
          <w:p>
            <w:pPr>
              <w:spacing w:after="0"/>
              <w:rPr>
                <w:sz w:val="24"/>
                <w:szCs w:val="24"/>
                <w:color w:val="auto"/>
              </w:rPr>
            </w:pPr>
          </w:p>
        </w:tc>
      </w:tr>
      <w:tr>
        <w:trPr>
          <w:trHeight w:val="424"/>
        </w:trPr>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362"/>
        </w:trPr>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0" w:type="dxa"/>
            <w:vAlign w:val="bottom"/>
            <w:gridSpan w:val="5"/>
          </w:tcPr>
          <w:p>
            <w:pPr>
              <w:ind w:left="3080"/>
              <w:spacing w:after="0"/>
              <w:rPr>
                <w:sz w:val="20"/>
                <w:szCs w:val="20"/>
                <w:color w:val="auto"/>
              </w:rPr>
            </w:pPr>
            <w:r>
              <w:rPr>
                <w:rFonts w:ascii="Times New Roman" w:cs="Times New Roman" w:eastAsia="Times New Roman" w:hAnsi="Times New Roman"/>
                <w:sz w:val="18"/>
                <w:szCs w:val="18"/>
                <w:color w:val="auto"/>
              </w:rPr>
              <w:t>B-9</w:t>
            </w:r>
          </w:p>
        </w:tc>
      </w:tr>
    </w:tbl>
    <w:p>
      <w:pPr>
        <w:sectPr>
          <w:pgSz w:w="11900" w:h="16838" w:orient="portrait"/>
          <w:cols w:equalWidth="0" w:num="1">
            <w:col w:w="10780"/>
          </w:cols>
          <w:pgMar w:left="560" w:top="266" w:right="559" w:bottom="1440" w:gutter="0" w:footer="0" w:header="0"/>
        </w:sectPr>
      </w:pPr>
    </w:p>
    <w:bookmarkStart w:id="332" w:name="page333"/>
    <w:bookmarkEnd w:id="332"/>
    <w:p>
      <w:pPr>
        <w:jc w:val="center"/>
        <w:ind w:right="-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OF INCREASES OR DECREASES IN NOTE*</w:t>
      </w:r>
    </w:p>
    <w:p>
      <w:pPr>
        <w:spacing w:after="0" w:line="21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initial principal amount of this Note is CNY_________. The following increases or decreases in a part of this Note have been made:</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 decrease in</w:t>
            </w:r>
          </w:p>
        </w:tc>
        <w:tc>
          <w:tcPr>
            <w:tcW w:w="2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5"/>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2340" w:type="dxa"/>
            <w:vAlign w:val="bottom"/>
          </w:tcPr>
          <w:p>
            <w:pPr>
              <w:spacing w:after="0"/>
              <w:rPr>
                <w:sz w:val="12"/>
                <w:szCs w:val="12"/>
                <w:color w:val="auto"/>
              </w:rPr>
            </w:pPr>
          </w:p>
        </w:tc>
        <w:tc>
          <w:tcPr>
            <w:tcW w:w="21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46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Note following such</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80" w:type="dxa"/>
            <w:vAlign w:val="bottom"/>
            <w:tcBorders>
              <w:bottom w:val="single" w:sz="8" w:color="auto"/>
            </w:tcBorders>
            <w:vMerge w:val="continue"/>
          </w:tcPr>
          <w:p>
            <w:pPr>
              <w:spacing w:after="0"/>
              <w:rPr>
                <w:sz w:val="15"/>
                <w:szCs w:val="15"/>
                <w:color w:val="auto"/>
              </w:rPr>
            </w:pPr>
          </w:p>
        </w:tc>
        <w:tc>
          <w:tcPr>
            <w:tcW w:w="234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00" w:type="dxa"/>
            <w:vAlign w:val="bottom"/>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of this Note</w:t>
            </w:r>
          </w:p>
        </w:tc>
        <w:tc>
          <w:tcPr>
            <w:tcW w:w="3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1158240</wp:posOffset>
            </wp:positionV>
            <wp:extent cx="7556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9">
                      <a:extLst>
                        <a:ext uri="{28A0092B-C50C-407E-A947-70E740481C1C}"/>
                      </a:extLst>
                    </a:blip>
                    <a:srcRect/>
                    <a:stretch>
                      <a:fillRect/>
                    </a:stretch>
                  </pic:blipFill>
                  <pic:spPr bwMode="auto">
                    <a:xfrm>
                      <a:off x="0" y="0"/>
                      <a:ext cx="755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0" w:hanging="430"/>
        <w:spacing w:after="0"/>
        <w:tabs>
          <w:tab w:leader="none" w:pos="43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Insert in Global Notes.</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790"/>
          </w:cols>
          <w:pgMar w:left="550" w:top="266" w:right="55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JD.COM,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Note Due 20[•]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JD.com,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20th Floor, Building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No.18 Kechuang 11 Street, Yizhuang Economic and Technological Development Zone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Daxing District, Beijing, 100101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Hong Kong Branch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(ISIN / Common Code / CMU Instrument No: [•] / [•] / [•])</w:t>
      </w:r>
    </w:p>
    <w:p>
      <w:pPr>
        <w:spacing w:after="0" w:line="21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Reference is hereby made to the Indenture, dated as of April 29, 2016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JD.com, Inc.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Third Supplemental Indenture, dated as of April 10, 2026 between the Issuer, the Trustee and The Bank of New York Mellon, Hong Kong Branch as the agents thereto (as supplemented from time to time,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used but not defined herein shall have the meanings given to them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 amount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CNY________ in such Note[s] or interests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of Individual Securities for Beneficial Interests in Global Securities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connection with the Exchange of the Owner’s Individual Securities for a beneficial interest in the Global Securities, the Owner hereby certifies (i) the beneficial interest is being acquired for the Owner’s own account without transfer and (ii) such Exchange has been effected in compliance with the transfer restrictions applicable to the Global Securities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legend printed on the relevant Global Securities and in the Indenture and the Securities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1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0780"/>
          </w:cols>
          <w:pgMar w:left="560" w:top="264" w:right="559" w:bottom="1440" w:gutter="0" w:footer="0" w:header="0"/>
        </w:sectPr>
      </w:pPr>
    </w:p>
    <w:bookmarkStart w:id="334" w:name="page335"/>
    <w:bookmarkEnd w:id="334"/>
    <w:p>
      <w:pPr>
        <w:ind w:left="6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1">
                      <a:extLst>
                        <a:ext uri="{28A0092B-C50C-407E-A947-70E740481C1C}"/>
                      </a:extLst>
                    </a:blip>
                    <a:srcRect/>
                    <a:stretch>
                      <a:fillRect/>
                    </a:stretch>
                  </pic:blipFill>
                  <pic:spPr bwMode="auto">
                    <a:xfrm>
                      <a:off x="0" y="0"/>
                      <a:ext cx="7177405" cy="37465"/>
                    </a:xfrm>
                    <a:prstGeom prst="rect">
                      <a:avLst/>
                    </a:prstGeom>
                    <a:noFill/>
                  </pic:spPr>
                </pic:pic>
              </a:graphicData>
            </a:graphic>
          </wp:anchor>
        </w:drawing>
        <w:drawing>
          <wp:anchor simplePos="0" relativeHeight="251657728" behindDoc="1" locked="0" layoutInCell="0" allowOverlap="1">
            <wp:simplePos x="0" y="0"/>
            <wp:positionH relativeFrom="page">
              <wp:posOffset>4462780</wp:posOffset>
            </wp:positionH>
            <wp:positionV relativeFrom="page">
              <wp:posOffset>315595</wp:posOffset>
            </wp:positionV>
            <wp:extent cx="27368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2">
                      <a:extLst>
                        <a:ext uri="{28A0092B-C50C-407E-A947-70E740481C1C}"/>
                      </a:extLst>
                    </a:blip>
                    <a:srcRect/>
                    <a:stretch>
                      <a:fillRect/>
                    </a:stretch>
                  </pic:blipFill>
                  <pic:spPr bwMode="auto">
                    <a:xfrm>
                      <a:off x="0" y="0"/>
                      <a:ext cx="2736850" cy="8255"/>
                    </a:xfrm>
                    <a:prstGeom prst="rect">
                      <a:avLst/>
                    </a:prstGeom>
                    <a:noFill/>
                  </pic:spPr>
                </pic:pic>
              </a:graphicData>
            </a:graphic>
          </wp:anchor>
        </w:drawing>
        <w:t>[Insert Name of Transferor]</w:t>
      </w:r>
    </w:p>
    <w:p>
      <w:pPr>
        <w:spacing w:after="0" w:line="228"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5101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3">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1"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-10160</wp:posOffset>
            </wp:positionV>
            <wp:extent cx="16783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4">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spacing w:after="0" w:line="13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9899"/>
          </w:cols>
          <w:pgMar w:left="560" w:top="504" w:right="1440"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b w:val="1"/>
          <w:bCs w:val="1"/>
          <w:color w:val="auto"/>
        </w:rPr>
        <w:t>Exhibit 4.16</w:t>
      </w: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Exclusive Business Cooperation Agreement</w:t>
      </w:r>
    </w:p>
    <w:p>
      <w:pPr>
        <w:spacing w:after="0" w:line="216" w:lineRule="exact"/>
        <w:rPr>
          <w:sz w:val="20"/>
          <w:szCs w:val="20"/>
          <w:color w:val="auto"/>
        </w:rPr>
      </w:pPr>
    </w:p>
    <w:p>
      <w:pPr>
        <w:ind w:left="10" w:right="180"/>
        <w:spacing w:after="0" w:line="273" w:lineRule="auto"/>
        <w:rPr>
          <w:sz w:val="20"/>
          <w:szCs w:val="20"/>
          <w:color w:val="auto"/>
        </w:rPr>
      </w:pPr>
      <w:r>
        <w:rPr>
          <w:rFonts w:ascii="Times New Roman" w:cs="Times New Roman" w:eastAsia="Times New Roman" w:hAnsi="Times New Roman"/>
          <w:sz w:val="18"/>
          <w:szCs w:val="18"/>
          <w:color w:val="auto"/>
        </w:rPr>
        <w:t>This Exclusive Business Cooperation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by and between the following parties on </w:t>
      </w:r>
      <w:r>
        <w:rPr>
          <w:rFonts w:ascii="Times New Roman" w:cs="Times New Roman" w:eastAsia="Times New Roman" w:hAnsi="Times New Roman"/>
          <w:sz w:val="18"/>
          <w:szCs w:val="18"/>
          <w:u w:val="single" w:color="auto"/>
          <w:color w:val="auto"/>
        </w:rPr>
        <w:t>September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in Beijing, the People’s Republic of China (“</w:t>
      </w:r>
      <w:r>
        <w:rPr>
          <w:rFonts w:ascii="Times New Roman" w:cs="Times New Roman" w:eastAsia="Times New Roman" w:hAnsi="Times New Roman"/>
          <w:sz w:val="18"/>
          <w:szCs w:val="18"/>
          <w:b w:val="1"/>
          <w:bCs w:val="1"/>
          <w:color w:val="auto"/>
        </w:rPr>
        <w:t>China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7"/>
          <w:szCs w:val="17"/>
          <w:b w:val="1"/>
          <w:bCs w:val="1"/>
          <w:color w:val="auto"/>
        </w:rPr>
        <w:t>Xi’an Jingxundi Supply Chain Technology Co., Ltd.</w:t>
      </w:r>
    </w:p>
    <w:p>
      <w:pPr>
        <w:spacing w:after="0" w:line="112"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color w:val="auto"/>
        </w:rPr>
        <w:t>Address:</w:t>
        <w:tab/>
        <w:t>Building 5, SkyCity Central Square, East Chang’An Street No.666, National Civil Space Industrial Base, Xi’an, Shaanxi, China</w:t>
      </w:r>
    </w:p>
    <w:p>
      <w:pPr>
        <w:spacing w:after="0" w:line="108"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Xi’an Jingdong Xincheng Information Technology Co., Ltd.</w:t>
      </w:r>
    </w:p>
    <w:p>
      <w:pPr>
        <w:spacing w:after="0" w:line="112"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color w:val="auto"/>
        </w:rPr>
        <w:t>Address:</w:t>
        <w:tab/>
        <w:t>Building 5, SkyCity Central Square, East Chang’An Street No.666, Aerospace Base, Xi’an, Shaanxi, China</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Each of Party A and Party B shall be hereinafter referred to as a “Party” respectively, and as the “Parties” collectively.</w:t>
      </w:r>
    </w:p>
    <w:p>
      <w:pPr>
        <w:spacing w:after="0" w:line="3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60" w:hanging="430"/>
        <w:spacing w:after="0" w:line="253" w:lineRule="auto"/>
        <w:tabs>
          <w:tab w:leader="none" w:pos="43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registered in China and has the necessary resources to provide technical and consulting services. Party A is a company wholly and directly held by JD Logistics Holding Limited (a company registered under the laws of Hong Kong) (the “</w:t>
      </w:r>
      <w:r>
        <w:rPr>
          <w:rFonts w:ascii="Times New Roman" w:cs="Times New Roman" w:eastAsia="Times New Roman" w:hAnsi="Times New Roman"/>
          <w:sz w:val="18"/>
          <w:szCs w:val="18"/>
          <w:b w:val="1"/>
          <w:bCs w:val="1"/>
          <w:color w:val="auto"/>
        </w:rPr>
        <w:t>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Kong Company</w:t>
      </w:r>
      <w:r>
        <w:rPr>
          <w:rFonts w:ascii="Times New Roman" w:cs="Times New Roman" w:eastAsia="Times New Roman" w:hAnsi="Times New Roman"/>
          <w:sz w:val="18"/>
          <w:szCs w:val="18"/>
          <w:color w:val="auto"/>
        </w:rPr>
        <w:t>”), and the Hong Kong Company is wholly and directly held by JD Logistics, Inc. (a company registered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(the “</w:t>
      </w:r>
      <w:r>
        <w:rPr>
          <w:rFonts w:ascii="Times New Roman" w:cs="Times New Roman" w:eastAsia="Times New Roman" w:hAnsi="Times New Roman"/>
          <w:sz w:val="18"/>
          <w:szCs w:val="18"/>
          <w:b w:val="1"/>
          <w:bCs w:val="1"/>
          <w:color w:val="auto"/>
        </w:rPr>
        <w:t>Cayman Company</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430" w:right="120" w:hanging="430"/>
        <w:spacing w:after="0" w:line="251" w:lineRule="auto"/>
        <w:tabs>
          <w:tab w:leader="none" w:pos="43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limited liability company established in China, whose principal business is technical development of information technology, technical services, technology transfer, technology and information consultation; software services, software development; software design; enterprises management consultation; sale of hardware products, electronics (excluding prohibited or restricted), groceries, packaging materials, clothes, shoes and hats; the businesses conducted by Party B currently and any time during the term of this Agreement are collectively referred to as the “</w:t>
      </w:r>
      <w:r>
        <w:rPr>
          <w:rFonts w:ascii="Times New Roman" w:cs="Times New Roman" w:eastAsia="Times New Roman" w:hAnsi="Times New Roman"/>
          <w:sz w:val="18"/>
          <w:szCs w:val="18"/>
          <w:b w:val="1"/>
          <w:bCs w:val="1"/>
          <w:color w:val="auto"/>
        </w:rPr>
        <w:t>Principal Business</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430" w:right="180" w:hanging="430"/>
        <w:spacing w:after="0" w:line="251" w:lineRule="auto"/>
        <w:tabs>
          <w:tab w:leader="none" w:pos="43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agrees to use its advantage of technology, personnel and information to provide relevant exclusive technical services, technical consultation and other services (for the specific scope refers to the following clauses) for party B during the term of this Agreement, and Party B agrees to accept the services provided by Party A or Party A’s designated party’ (the designated party shall be the Cayman Company or a subsidiary directly or indirectly controlled by the Cayman Company, or other entity approved by all the directors of the Cayman Company, hereinafter referred as to the “</w:t>
      </w:r>
      <w:r>
        <w:rPr>
          <w:rFonts w:ascii="Times New Roman" w:cs="Times New Roman" w:eastAsia="Times New Roman" w:hAnsi="Times New Roman"/>
          <w:sz w:val="18"/>
          <w:szCs w:val="18"/>
          <w:b w:val="1"/>
          <w:bCs w:val="1"/>
          <w:color w:val="auto"/>
        </w:rPr>
        <w:t>Designated Party</w:t>
      </w:r>
      <w:r>
        <w:rPr>
          <w:rFonts w:ascii="Times New Roman" w:cs="Times New Roman" w:eastAsia="Times New Roman" w:hAnsi="Times New Roman"/>
          <w:sz w:val="18"/>
          <w:szCs w:val="18"/>
          <w:color w:val="auto"/>
        </w:rPr>
        <w:t>”) under this Agreement; and</w:t>
      </w:r>
    </w:p>
    <w:p>
      <w:pPr>
        <w:spacing w:after="0" w:line="9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desire to execute this Agreement with respect to the business cooperation between Party A and Party B.</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9" w:right="559" w:bottom="1440" w:gutter="0" w:footer="0" w:header="0"/>
        </w:sectPr>
      </w:pPr>
    </w:p>
    <w:bookmarkStart w:id="336" w:name="page337"/>
    <w:bookmarkEnd w:id="336"/>
    <w:p>
      <w:pPr>
        <w:ind w:left="1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Now, therefore, through mutual negotiation, the Parties have reached the following agreements:</w:t>
      </w:r>
    </w:p>
    <w:p>
      <w:pPr>
        <w:spacing w:after="0" w:line="122" w:lineRule="exact"/>
        <w:rPr>
          <w:sz w:val="20"/>
          <w:szCs w:val="20"/>
          <w:color w:val="auto"/>
        </w:rPr>
      </w:pPr>
    </w:p>
    <w:p>
      <w:pPr>
        <w:ind w:left="430" w:hanging="430"/>
        <w:spacing w:after="0"/>
        <w:tabs>
          <w:tab w:leader="none" w:pos="43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 Provided by Party A</w:t>
      </w:r>
    </w:p>
    <w:p>
      <w:pPr>
        <w:spacing w:after="0" w:line="125" w:lineRule="exact"/>
        <w:rPr>
          <w:rFonts w:ascii="Times New Roman" w:cs="Times New Roman" w:eastAsia="Times New Roman" w:hAnsi="Times New Roman"/>
          <w:sz w:val="18"/>
          <w:szCs w:val="18"/>
          <w:b w:val="1"/>
          <w:bCs w:val="1"/>
          <w:color w:val="auto"/>
        </w:rPr>
      </w:pPr>
    </w:p>
    <w:p>
      <w:pPr>
        <w:ind w:left="950" w:right="40" w:hanging="529"/>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Party B hereby appoints Party A as Party B’s exclusive service provider to provide Party B with complete business support, technology support and consulting services during the term of this Agreement, in accordance with the terms and conditions of this Agreement. Such services may include all or part of services within the scope of the Principal Business of Party B as may be determined from time to time by Party A, including, but not limited to the following: technical service, network support, business consulting, intellectual property license, equipment leasing, marketing consultation, system integration, product research and development and system maintenance, management and consulting services related to Party B’s business operation and, from time to time, provide other consultations and services(the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related to the foregoing services and according to Party B’s requests, given that such requests are permitted under the PRC laws.</w:t>
      </w:r>
    </w:p>
    <w:p>
      <w:pPr>
        <w:spacing w:after="0" w:line="99" w:lineRule="exact"/>
        <w:rPr>
          <w:rFonts w:ascii="Times New Roman" w:cs="Times New Roman" w:eastAsia="Times New Roman" w:hAnsi="Times New Roman"/>
          <w:sz w:val="18"/>
          <w:szCs w:val="18"/>
          <w:b w:val="1"/>
          <w:bCs w:val="1"/>
          <w:color w:val="auto"/>
        </w:rPr>
      </w:pPr>
    </w:p>
    <w:p>
      <w:pPr>
        <w:ind w:left="950" w:right="20" w:hanging="52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Party B agrees to accept all the consulting and Services provided by Party A. Party B further agrees that unless with Party A’s prior written consent, during the term of this Agreement, Party B shall not and shall cause its subsidiary not to accept any consulting and/or services provided by any third party and shall not establish similar cooperation relationships with any third party regarding to the abovementioned matters. Party A may designate the Designated Parties, who may enter into certain agreements described in Section 1.4 with Party B, to provide Party B with the consulting and/or services under this Agreement.</w:t>
      </w:r>
    </w:p>
    <w:p>
      <w:pPr>
        <w:spacing w:after="0" w:line="94" w:lineRule="exact"/>
        <w:rPr>
          <w:rFonts w:ascii="Times New Roman" w:cs="Times New Roman" w:eastAsia="Times New Roman" w:hAnsi="Times New Roman"/>
          <w:sz w:val="18"/>
          <w:szCs w:val="18"/>
          <w:b w:val="1"/>
          <w:bCs w:val="1"/>
          <w:color w:val="auto"/>
        </w:rPr>
      </w:pPr>
    </w:p>
    <w:p>
      <w:pPr>
        <w:ind w:left="950" w:right="40" w:hanging="52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 In order to ensure Party B meets the cash flow requirement for its daily operations and/or to compensate any losses arising from the daily operation, regardless of whether Party B actually suffers from operational losses, Party A can independently decide to provide financial support to Party B (given that it is permitted by the PRC laws). Party A can provide financial support for Party B through entrusted loan to the extent permitted by the PRC laws (as defined below), for which the Parties shall sign a separate entrusted loan contract.</w:t>
      </w:r>
    </w:p>
    <w:p>
      <w:pPr>
        <w:spacing w:after="0" w:line="9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    Service Providing Methodology</w:t>
      </w:r>
    </w:p>
    <w:p>
      <w:pPr>
        <w:spacing w:after="0" w:line="123" w:lineRule="exact"/>
        <w:rPr>
          <w:rFonts w:ascii="Times New Roman" w:cs="Times New Roman" w:eastAsia="Times New Roman" w:hAnsi="Times New Roman"/>
          <w:sz w:val="18"/>
          <w:szCs w:val="18"/>
          <w:b w:val="1"/>
          <w:bCs w:val="1"/>
          <w:color w:val="auto"/>
        </w:rPr>
      </w:pPr>
    </w:p>
    <w:p>
      <w:pPr>
        <w:ind w:left="1390" w:hanging="424"/>
        <w:spacing w:after="0" w:line="253" w:lineRule="auto"/>
        <w:tabs>
          <w:tab w:leader="none" w:pos="139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agree that, during the term of this Agreement, the Parties may enter into further technology and consulting service agreements directly or through their respective affiliates with corresponding service ability and resources for the purpose that Party A can provides service to Party B, and reach an agreement on the contents, methods, personnel and fees of the specified services.</w:t>
      </w:r>
    </w:p>
    <w:p>
      <w:pPr>
        <w:spacing w:after="0" w:line="23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50"/>
          </w:cols>
          <w:pgMar w:left="550" w:top="266" w:right="599" w:bottom="1440" w:gutter="0" w:footer="0" w:header="0"/>
        </w:sectPr>
      </w:pPr>
    </w:p>
    <w:bookmarkStart w:id="337" w:name="page338"/>
    <w:bookmarkEnd w:id="337"/>
    <w:p>
      <w:pPr>
        <w:ind w:left="500" w:right="160" w:hanging="424"/>
        <w:spacing w:after="0" w:line="253" w:lineRule="auto"/>
        <w:tabs>
          <w:tab w:leader="none" w:pos="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To fulfill this Agreement, the Parties agree that both Party A and Party B can enter into license agreements on intellectual property rights (including but not limited to: software, trademark, patents and technical secrets) directly or through their respective affiliates during the term of this Agreement. Such license agreements shall allow Party B to use the relevant intellectual property rights of Party A at any time according to the business needs of Party B.</w:t>
      </w:r>
    </w:p>
    <w:p>
      <w:pPr>
        <w:spacing w:after="0" w:line="92" w:lineRule="exact"/>
        <w:rPr>
          <w:rFonts w:ascii="Times New Roman" w:cs="Times New Roman" w:eastAsia="Times New Roman" w:hAnsi="Times New Roman"/>
          <w:sz w:val="18"/>
          <w:szCs w:val="18"/>
          <w:color w:val="auto"/>
        </w:rPr>
      </w:pPr>
    </w:p>
    <w:p>
      <w:pPr>
        <w:ind w:left="500" w:right="240" w:hanging="424"/>
        <w:spacing w:after="0" w:line="258" w:lineRule="auto"/>
        <w:tabs>
          <w:tab w:leader="none" w:pos="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fulfill this Agreement, the Parties agree that both Party A and Party B can enter into equipment or plant leasing agreements directly or through their respective affiliates during the term of this Agreement. Such equipment or plant leasing agreements shall allow Party B to use the relevant equipment or plant of Party A at any time according to Party B’s business needs.</w:t>
      </w:r>
    </w:p>
    <w:p>
      <w:pPr>
        <w:spacing w:after="0" w:line="85" w:lineRule="exact"/>
        <w:rPr>
          <w:rFonts w:ascii="Times New Roman" w:cs="Times New Roman" w:eastAsia="Times New Roman" w:hAnsi="Times New Roman"/>
          <w:sz w:val="18"/>
          <w:szCs w:val="18"/>
          <w:color w:val="auto"/>
        </w:rPr>
      </w:pPr>
    </w:p>
    <w:p>
      <w:pPr>
        <w:ind w:left="500" w:right="440" w:hanging="424"/>
        <w:spacing w:after="0" w:line="270" w:lineRule="auto"/>
        <w:tabs>
          <w:tab w:leader="none" w:pos="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fulfill this Agreement, the Parties agree that both Party A and Party B can enter into other agreements such that Party A can provide other services to Party B directly or through their respective affiliates during the term of this Agreement.</w:t>
      </w:r>
    </w:p>
    <w:p>
      <w:pPr>
        <w:spacing w:after="0" w:line="76" w:lineRule="exact"/>
        <w:rPr>
          <w:rFonts w:ascii="Times New Roman" w:cs="Times New Roman" w:eastAsia="Times New Roman" w:hAnsi="Times New Roman"/>
          <w:sz w:val="18"/>
          <w:szCs w:val="18"/>
          <w:color w:val="auto"/>
        </w:rPr>
      </w:pPr>
    </w:p>
    <w:p>
      <w:pPr>
        <w:ind w:left="500" w:right="100" w:hanging="424"/>
        <w:spacing w:after="0" w:line="270" w:lineRule="auto"/>
        <w:tabs>
          <w:tab w:leader="none" w:pos="5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can independently decide to subcontract the services to be provided to Party B in part or full herein to a third party with the corresponding business capacity and resources.</w:t>
      </w:r>
    </w:p>
    <w:p>
      <w:pPr>
        <w:spacing w:after="0" w:line="76" w:lineRule="exact"/>
        <w:rPr>
          <w:sz w:val="20"/>
          <w:szCs w:val="20"/>
          <w:color w:val="auto"/>
        </w:rPr>
      </w:pPr>
    </w:p>
    <w:p>
      <w:pPr>
        <w:ind w:left="60" w:right="480" w:hanging="528"/>
        <w:spacing w:after="0" w:line="270" w:lineRule="auto"/>
        <w:tabs>
          <w:tab w:leader="none" w:pos="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For the purpose of providing services in accordance to this Agreement, the Parties shall promptly communicate with each other with regards to relevant information about business and/or other information about customers.</w:t>
      </w:r>
    </w:p>
    <w:p>
      <w:pPr>
        <w:spacing w:after="0" w:line="63" w:lineRule="exact"/>
        <w:rPr>
          <w:sz w:val="20"/>
          <w:szCs w:val="20"/>
          <w:color w:val="auto"/>
        </w:rPr>
      </w:pPr>
    </w:p>
    <w:p>
      <w:pPr>
        <w:ind w:left="520"/>
        <w:spacing w:after="0" w:line="250" w:lineRule="auto"/>
        <w:rPr>
          <w:sz w:val="20"/>
          <w:szCs w:val="20"/>
          <w:color w:val="auto"/>
        </w:rPr>
      </w:pPr>
      <w:r>
        <w:rPr>
          <w:rFonts w:ascii="Times New Roman" w:cs="Times New Roman" w:eastAsia="Times New Roman" w:hAnsi="Times New Roman"/>
          <w:sz w:val="18"/>
          <w:szCs w:val="18"/>
          <w:color w:val="auto"/>
        </w:rPr>
        <w:t>The service provided by Party A herein shall be exclusive. Party B may continue to implement existing service contracts with third parties that involve identical or similar services provided by Party A with the written consent of Party A; if Party A does not approve the existing service contracts with third parties, Party B shall immediately terminate this Agreement with the third party and also undertake any expenses and responsibilities for terminating this Agreement. Other contracts that Party B is implementing or other legal documents defining Party B’s obligations shall still be implemented by Party B. Without Party A’s prior written consent, Party B shall not change, revise or terminate such contracts or legal documents.</w:t>
      </w:r>
    </w:p>
    <w:p>
      <w:pPr>
        <w:spacing w:after="0" w:line="94" w:lineRule="exact"/>
        <w:rPr>
          <w:sz w:val="20"/>
          <w:szCs w:val="20"/>
          <w:color w:val="auto"/>
        </w:rPr>
      </w:pPr>
    </w:p>
    <w:p>
      <w:pPr>
        <w:ind w:left="60" w:right="40" w:hanging="528"/>
        <w:spacing w:after="0" w:line="270" w:lineRule="auto"/>
        <w:tabs>
          <w:tab w:leader="none" w:pos="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In order to specify the Parties’ rights and obligations and ensure that the foregoing service provisions are actually implemented, the Parties agree as follows, provided that they are permitted under the PRC laws:</w:t>
      </w:r>
    </w:p>
    <w:p>
      <w:pPr>
        <w:spacing w:after="0" w:line="76" w:lineRule="exact"/>
        <w:rPr>
          <w:sz w:val="20"/>
          <w:szCs w:val="20"/>
          <w:color w:val="auto"/>
        </w:rPr>
      </w:pPr>
    </w:p>
    <w:p>
      <w:pPr>
        <w:ind w:left="4460" w:right="260" w:hanging="4384"/>
        <w:spacing w:after="0" w:line="577" w:lineRule="auto"/>
        <w:tabs>
          <w:tab w:leader="none" w:pos="49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carry out its business in accordance with the opinions and suggestions provided by Party A under Article 1.1 herein. 3</w:t>
      </w:r>
    </w:p>
    <w:p>
      <w:pPr>
        <w:sectPr>
          <w:pgSz w:w="11900" w:h="16838" w:orient="portrait"/>
          <w:cols w:equalWidth="0" w:num="1">
            <w:col w:w="9880"/>
          </w:cols>
          <w:pgMar w:left="1440" w:top="266" w:right="579" w:bottom="1440" w:gutter="0" w:footer="0" w:header="0"/>
        </w:sectPr>
      </w:pPr>
    </w:p>
    <w:bookmarkStart w:id="338" w:name="page339"/>
    <w:bookmarkEnd w:id="338"/>
    <w:p>
      <w:pPr>
        <w:ind w:left="500" w:hanging="424"/>
        <w:spacing w:after="0" w:line="248" w:lineRule="auto"/>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Except for the original directors and supervisors of Party B accepted by Party A, Party B will appoint the nominee recommended by Party A as Party B’s director through the appointment procedures of the PRC laws (including any laws, regulations, rules, notices, interpretations or other documents with binding force issued by the central government, local legislative, administrative or judicial departments before and after the signing of this Agreement, hereinafter referred to as the “</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 and, to the extent permitted by the PRC laws, will appoint the senior manager recommended and employed by Party A as Party B’s general manager, chief financial officer and other senior management personnel that are in charge of monitoring Party B’s company business and operation. Except for retirement, resignation, disqualification or death, Party B shall not dismiss the company’s director recommended by Party A under any circumstances without the prior written consent of Party A.</w:t>
      </w:r>
    </w:p>
    <w:p>
      <w:pPr>
        <w:spacing w:after="0" w:line="99" w:lineRule="exact"/>
        <w:rPr>
          <w:rFonts w:ascii="Times New Roman" w:cs="Times New Roman" w:eastAsia="Times New Roman" w:hAnsi="Times New Roman"/>
          <w:sz w:val="18"/>
          <w:szCs w:val="18"/>
          <w:color w:val="auto"/>
        </w:rPr>
      </w:pPr>
    </w:p>
    <w:p>
      <w:pPr>
        <w:ind w:left="500" w:right="300" w:hanging="424"/>
        <w:spacing w:after="0" w:line="270" w:lineRule="auto"/>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cause Party B’s director and senior manager exercise the powers that they have under the laws, regulations and articles of association based on Party A’s instruction.</w:t>
      </w:r>
    </w:p>
    <w:p>
      <w:pPr>
        <w:spacing w:after="0" w:line="76" w:lineRule="exact"/>
        <w:rPr>
          <w:rFonts w:ascii="Times New Roman" w:cs="Times New Roman" w:eastAsia="Times New Roman" w:hAnsi="Times New Roman"/>
          <w:sz w:val="18"/>
          <w:szCs w:val="18"/>
          <w:color w:val="auto"/>
        </w:rPr>
      </w:pPr>
    </w:p>
    <w:p>
      <w:pPr>
        <w:ind w:left="500" w:hanging="424"/>
        <w:spacing w:after="0"/>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may determine and adjust Party B’s organization structure, and manage human resources of Party B.</w:t>
      </w:r>
    </w:p>
    <w:p>
      <w:pPr>
        <w:spacing w:after="0" w:line="123" w:lineRule="exact"/>
        <w:rPr>
          <w:rFonts w:ascii="Times New Roman" w:cs="Times New Roman" w:eastAsia="Times New Roman" w:hAnsi="Times New Roman"/>
          <w:sz w:val="18"/>
          <w:szCs w:val="18"/>
          <w:color w:val="auto"/>
        </w:rPr>
      </w:pPr>
    </w:p>
    <w:p>
      <w:pPr>
        <w:ind w:left="500" w:right="20" w:hanging="424"/>
        <w:spacing w:after="0" w:line="258" w:lineRule="auto"/>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entitled to conduct business activities related to the Services on behalf of Party B. Party B shall provide all necessary support and convenience for Party A to conduct such business activities smoothly, including without limitation, issuing all necessary power of attorney for the provision of services.</w:t>
      </w:r>
    </w:p>
    <w:p>
      <w:pPr>
        <w:spacing w:after="0" w:line="85" w:lineRule="exact"/>
        <w:rPr>
          <w:rFonts w:ascii="Times New Roman" w:cs="Times New Roman" w:eastAsia="Times New Roman" w:hAnsi="Times New Roman"/>
          <w:sz w:val="18"/>
          <w:szCs w:val="18"/>
          <w:color w:val="auto"/>
        </w:rPr>
      </w:pPr>
    </w:p>
    <w:p>
      <w:pPr>
        <w:ind w:left="500" w:right="220" w:hanging="424"/>
        <w:spacing w:after="0" w:line="249" w:lineRule="auto"/>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PRC laws, Party A is entitled to check Party B’s accounts periodically and at any time, and Party B shall keep its accounts accurately and in due course, and provide the accounts to Party A upon its request. Party B agrees to coordinate with Party A and Party A’s shareholders (direct or indirect) over auditing (including but not limited to connected transaction auditing and other various auditing contents) and provide related information about Party B’s operation, business, customers, finance and staffs to Party A, Party A’s shareholders (direct or indirect) and/or auditor engaged by Party A during the term of this agreement, and also agree that Party A’s shareholders can disclose such information to satisfy the requirements of the securities regulation.</w:t>
      </w:r>
    </w:p>
    <w:p>
      <w:pPr>
        <w:spacing w:after="0" w:line="96" w:lineRule="exact"/>
        <w:rPr>
          <w:rFonts w:ascii="Times New Roman" w:cs="Times New Roman" w:eastAsia="Times New Roman" w:hAnsi="Times New Roman"/>
          <w:sz w:val="18"/>
          <w:szCs w:val="18"/>
          <w:color w:val="auto"/>
        </w:rPr>
      </w:pPr>
    </w:p>
    <w:p>
      <w:pPr>
        <w:ind w:left="500" w:right="20" w:hanging="424"/>
        <w:spacing w:after="0" w:line="253" w:lineRule="auto"/>
        <w:tabs>
          <w:tab w:leader="none" w:pos="5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deliver the relevant certificates and seals which are important to Party B’s daily operation, including Party B’s business license, organizational code certificate (if any), official seal, contract seal, special seal for finance and legal representative’s seal, to Party B’s director, legal representative, general manager, chief financial officer and other senior management personnel recommended by Party A and appointed by Party B according to legal procedures for custody.</w:t>
      </w: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860"/>
          </w:cols>
          <w:pgMar w:left="1440" w:top="266" w:right="599" w:bottom="1440" w:gutter="0" w:footer="0" w:header="0"/>
        </w:sectPr>
      </w:pPr>
    </w:p>
    <w:bookmarkStart w:id="339" w:name="page340"/>
    <w:bookmarkEnd w:id="339"/>
    <w:p>
      <w:pPr>
        <w:ind w:left="950" w:right="2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1.7</w:t>
      </w:r>
      <w:r>
        <w:rPr>
          <w:sz w:val="20"/>
          <w:szCs w:val="20"/>
          <w:color w:val="auto"/>
        </w:rPr>
        <w:tab/>
      </w:r>
      <w:r>
        <w:rPr>
          <w:rFonts w:ascii="Times New Roman" w:cs="Times New Roman" w:eastAsia="Times New Roman" w:hAnsi="Times New Roman"/>
          <w:sz w:val="18"/>
          <w:szCs w:val="18"/>
          <w:color w:val="auto"/>
        </w:rPr>
        <w:t>The Parties agree that the Services provided by Party A to Party B under this Agreement shall also apply to the subsidiaries of Party B, and Party B shall cause its subsidiaries to exercise rights and fulfill obligations hereunder.</w:t>
      </w:r>
    </w:p>
    <w:p>
      <w:pPr>
        <w:spacing w:after="0" w:line="76" w:lineRule="exact"/>
        <w:rPr>
          <w:sz w:val="20"/>
          <w:szCs w:val="20"/>
          <w:color w:val="auto"/>
        </w:rPr>
      </w:pPr>
    </w:p>
    <w:p>
      <w:pPr>
        <w:ind w:left="430" w:hanging="430"/>
        <w:spacing w:after="0"/>
        <w:tabs>
          <w:tab w:leader="none" w:pos="43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Service Fee, Payment Mode, Financial Statements, Auditing and Taxation</w:t>
      </w:r>
    </w:p>
    <w:p>
      <w:pPr>
        <w:spacing w:after="0" w:line="123" w:lineRule="exact"/>
        <w:rPr>
          <w:rFonts w:ascii="Times New Roman" w:cs="Times New Roman" w:eastAsia="Times New Roman" w:hAnsi="Times New Roman"/>
          <w:sz w:val="18"/>
          <w:szCs w:val="18"/>
          <w:color w:val="auto"/>
        </w:rPr>
      </w:pPr>
    </w:p>
    <w:p>
      <w:pPr>
        <w:ind w:left="950" w:hanging="52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With regard to the Services provided by Party A according to this Agreement and to the extent permitted by the PRC laws, Party B and Party B’s subsidiary shall pay to Party A service fees (hereinafter referred to as “</w:t>
      </w:r>
      <w:r>
        <w:rPr>
          <w:rFonts w:ascii="Times New Roman" w:cs="Times New Roman" w:eastAsia="Times New Roman" w:hAnsi="Times New Roman"/>
          <w:sz w:val="18"/>
          <w:szCs w:val="18"/>
          <w:b w:val="1"/>
          <w:bCs w:val="1"/>
          <w:color w:val="auto"/>
        </w:rPr>
        <w:t>service fees</w:t>
      </w:r>
      <w:r>
        <w:rPr>
          <w:rFonts w:ascii="Times New Roman" w:cs="Times New Roman" w:eastAsia="Times New Roman" w:hAnsi="Times New Roman"/>
          <w:sz w:val="18"/>
          <w:szCs w:val="18"/>
          <w:color w:val="auto"/>
        </w:rPr>
        <w:t>”) equivalent to the net profit of Party B and Party B’s subsidiary after deducting the annual loss of the year before (if necessary), deducting the necessary costs, expenses and taxes within the corresponding fiscal year and withdrawing the statutory reserve fund, retained fund, staff award fund, welfare fund, enterprise development fund according to the law during the term of this Agreement; Party A is entitled to determine the foregoing deduction items. The amount of such service fees shall be determined by Party A. The calculation and adjustment of the service fees shall take into consideration the following factors without limitation, and Party A is entitled to independently decide to adjust the service fees without obtaining Party B’s consent: (a) the difficulty in technologies provided by Party A and the complexity of technological consulting and other services provided by Party A; (b) the time required by Party A’s technical staffs to provide such software development, technological consulting and other services; (c) specific content and commercial value of software development, technological consulting and other services provided by Party A; (d) market price of the services of the same type. The above services fee shall be remitted to the bank account of Party A or the Designated Party by wire transfer or other manners agreed by the Parties after Party A has issued the payment instruction, and Party A may change the payment instructions from time to time. The Parties agree that the payment of the above service fees shall not cause any Party to have difficulties in its operation each year. For the purposes above, and to the extent of achieving the above principles, Party A is entitled to agree on Party B’s delay of the service fees’ payment to avoid any financial difficulties; and Party A is also entitled to make any other adjustments of the service fees as deemed reasonable by itself, but Party A shall send a written notice to Party B in advance.</w:t>
      </w:r>
    </w:p>
    <w:p>
      <w:pPr>
        <w:spacing w:after="0" w:line="25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70"/>
          </w:cols>
          <w:pgMar w:left="550" w:top="266" w:right="579" w:bottom="1440" w:gutter="0" w:footer="0" w:header="0"/>
        </w:sectPr>
      </w:pPr>
    </w:p>
    <w:bookmarkStart w:id="340" w:name="page341"/>
    <w:bookmarkEnd w:id="340"/>
    <w:p>
      <w:pPr>
        <w:ind w:left="950" w:hanging="528"/>
        <w:spacing w:after="0" w:line="253"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color w:val="auto"/>
        </w:rPr>
        <w:t>Party A agrees that Party A will enjoy and undertake all economic interests and risks arising from Party B’s business during the term hereof; When Party B suffers from operating loss or faces serious management difficulties, Party A shall provide financial support; in case of the occurrence of foregoing situation, Party A is entitled to decide whether Party B will continue its business operation and Party B shall accept Party A’s decision unconditionally.</w:t>
      </w:r>
    </w:p>
    <w:p>
      <w:pPr>
        <w:spacing w:after="0" w:line="92" w:lineRule="exact"/>
        <w:rPr>
          <w:sz w:val="20"/>
          <w:szCs w:val="20"/>
          <w:color w:val="auto"/>
        </w:rPr>
      </w:pPr>
    </w:p>
    <w:p>
      <w:pPr>
        <w:ind w:left="950" w:right="78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Party B shall prepare financial statements required by Party A in accordance with the requirements of applicable laws, generally acknowledged accounting standards and business practice.</w:t>
      </w:r>
    </w:p>
    <w:p>
      <w:pPr>
        <w:spacing w:after="0" w:line="76" w:lineRule="exact"/>
        <w:rPr>
          <w:sz w:val="20"/>
          <w:szCs w:val="20"/>
          <w:color w:val="auto"/>
        </w:rPr>
      </w:pPr>
    </w:p>
    <w:p>
      <w:pPr>
        <w:ind w:left="950" w:hanging="528"/>
        <w:spacing w:after="0" w:line="251" w:lineRule="auto"/>
        <w:tabs>
          <w:tab w:leader="none" w:pos="929"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After notified by Party A in advance, Party A and/or Party A’s designated auditor is entitled to review Party B’s relevant account books and record and copy necessary partial book accounts and records in the main office location of Party B so as to verify the accuracy in Party B’s income and statements. Party B shall provide related information about Party B’s operation, business, customers, finance and staffs according to Party A’s requirements, and agree that Party A or Party A’s direct or indirect shareholder can disclose or make such information publicly if necessary.</w:t>
      </w:r>
    </w:p>
    <w:p>
      <w:pPr>
        <w:spacing w:after="0" w:line="94"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tax arising from the execution of this Agreement shall be undertaken respectively by each party.</w:t>
      </w:r>
    </w:p>
    <w:p>
      <w:pPr>
        <w:spacing w:after="0" w:line="359" w:lineRule="exact"/>
        <w:rPr>
          <w:sz w:val="20"/>
          <w:szCs w:val="20"/>
          <w:color w:val="auto"/>
        </w:rPr>
      </w:pPr>
    </w:p>
    <w:p>
      <w:pPr>
        <w:ind w:left="430" w:hanging="430"/>
        <w:spacing w:after="0"/>
        <w:tabs>
          <w:tab w:leader="none" w:pos="43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Right, Confidentiality and Prohibited Competition</w:t>
      </w:r>
    </w:p>
    <w:p>
      <w:pPr>
        <w:spacing w:after="0" w:line="125" w:lineRule="exact"/>
        <w:rPr>
          <w:rFonts w:ascii="Times New Roman" w:cs="Times New Roman" w:eastAsia="Times New Roman" w:hAnsi="Times New Roman"/>
          <w:sz w:val="18"/>
          <w:szCs w:val="18"/>
          <w:b w:val="1"/>
          <w:bCs w:val="1"/>
          <w:color w:val="auto"/>
        </w:rPr>
      </w:pPr>
    </w:p>
    <w:p>
      <w:pPr>
        <w:ind w:left="950" w:right="18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 Party A shall have exclusive and proprietary ownership, rights and interests in any and all intellectual properties arising out of or created during the performance of this Agreement, including but not limited to software, trademarks, patents, technical secrets, trade secrets and others, and shall be entitled to use these rights for free.</w:t>
      </w:r>
    </w:p>
    <w:p>
      <w:pPr>
        <w:spacing w:after="0" w:line="85" w:lineRule="exact"/>
        <w:rPr>
          <w:rFonts w:ascii="Times New Roman" w:cs="Times New Roman" w:eastAsia="Times New Roman" w:hAnsi="Times New Roman"/>
          <w:sz w:val="18"/>
          <w:szCs w:val="18"/>
          <w:b w:val="1"/>
          <w:bCs w:val="1"/>
          <w:color w:val="auto"/>
        </w:rPr>
      </w:pPr>
    </w:p>
    <w:p>
      <w:pPr>
        <w:ind w:left="950" w:hanging="529"/>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 To fulfill this Agreement, Party A and Party B agree that the Parties may execute intellectual property license agreements during the term of this Agreement, which shall permit Party B to use Party A’s relevant intellectual property rights for free within Party B’s business requirements, or Party A agrees to transfer part of Party A’s intellectual property rights to Party B or register such intellectual property rights in Party B’s name if necessary. However, Party B shall transfer the foregoing intellectual property rights registered under Party B to Party A at no consideration or at the lowest price permitted by law upon Party A’s request. Party B shall execute all appropriate documents, take all appropriate actions, submit all filings and/or applications, render all appropriate assistance and otherwise conduct whatever is necessary as deemed by Party A at its sole discretion for the purposes of vesting any ownership, right or interest of any such intellectual property rights in Party A, and/or perfecting the protections for any such intellectual property rights in Party A. Party A is entitled to use any intellectual property registered under Party B for free.</w:t>
      </w:r>
    </w:p>
    <w:p>
      <w:pPr>
        <w:spacing w:after="0" w:line="24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70"/>
          </w:cols>
          <w:pgMar w:left="550" w:top="266" w:right="579" w:bottom="1440" w:gutter="0" w:footer="0" w:header="0"/>
        </w:sectPr>
      </w:pPr>
    </w:p>
    <w:bookmarkStart w:id="341" w:name="page342"/>
    <w:bookmarkEnd w:id="341"/>
    <w:p>
      <w:pPr>
        <w:ind w:left="520" w:right="80" w:hanging="528"/>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7"/>
          <w:szCs w:val="17"/>
          <w:color w:val="auto"/>
        </w:rPr>
        <w:t>Unless otherwise permitted by Party A, Party A shall have exclusive and proprietary ownership in any rights, ownership, interests and intellectual property rights generated or created by Party B and Party B’s subsidiary during the term of this Agreement, including without limitation, existing and future total copyrights, patents (including invention patents, utility model patents and appearance design patents), patent applications, trademarks, trade names, brands, software, technical secrets, commercial secrets, relevant reputations, domain names and other any similar rights (herein after referred to as “</w:t>
      </w:r>
      <w:r>
        <w:rPr>
          <w:rFonts w:ascii="Times New Roman" w:cs="Times New Roman" w:eastAsia="Times New Roman" w:hAnsi="Times New Roman"/>
          <w:sz w:val="17"/>
          <w:szCs w:val="17"/>
          <w:b w:val="1"/>
          <w:bCs w:val="1"/>
          <w:color w:val="auto"/>
        </w:rPr>
        <w:t>the rights</w:t>
      </w:r>
      <w:r>
        <w:rPr>
          <w:rFonts w:ascii="Times New Roman" w:cs="Times New Roman" w:eastAsia="Times New Roman" w:hAnsi="Times New Roman"/>
          <w:sz w:val="17"/>
          <w:szCs w:val="17"/>
          <w:color w:val="auto"/>
        </w:rPr>
        <w:t>”), whether or not developed by Party A or Party B. Party B shall not claim any of the rights from Party A. Party B shall sign all documents and take all actions for Party A to become the owner of the rights. Party B shall guarantee that there is no defects of right for the rights and will compensate any losses to Party A for any defects of rights.</w:t>
      </w:r>
    </w:p>
    <w:p>
      <w:pPr>
        <w:spacing w:after="0" w:line="83" w:lineRule="exact"/>
        <w:rPr>
          <w:sz w:val="20"/>
          <w:szCs w:val="20"/>
          <w:color w:val="auto"/>
        </w:rPr>
      </w:pPr>
    </w:p>
    <w:p>
      <w:pPr>
        <w:ind w:left="520" w:right="10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Without Party A’s prior written consent, Party B shall not and shall cause its subsidiaries not to transfer, sell, mortgage, permit or dispose of the rights in other ways.</w:t>
      </w:r>
    </w:p>
    <w:p>
      <w:pPr>
        <w:spacing w:after="0" w:line="76" w:lineRule="exact"/>
        <w:rPr>
          <w:sz w:val="20"/>
          <w:szCs w:val="20"/>
          <w:color w:val="auto"/>
        </w:rPr>
      </w:pPr>
    </w:p>
    <w:p>
      <w:pPr>
        <w:ind w:left="520" w:right="44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Party B shall manage the rights according to Party A’s instruction from time to time, including without limitation, the transferring or authorizing of the rights to Party A or a party designated by Party A to the extent permitted by the PRC laws.</w:t>
      </w:r>
    </w:p>
    <w:p>
      <w:pPr>
        <w:spacing w:after="0" w:line="76" w:lineRule="exact"/>
        <w:rPr>
          <w:sz w:val="20"/>
          <w:szCs w:val="20"/>
          <w:color w:val="auto"/>
        </w:rPr>
      </w:pPr>
    </w:p>
    <w:p>
      <w:pPr>
        <w:ind w:left="520" w:right="180" w:hanging="528"/>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The Parties admit that any oral or written information exchanged between the Parties in connection with this Agreement are regarded as confidential information. Each party shall maintain confidentiality of all such confidential information, and without written consent of other parties, any Party shall not disclose any relevant confidential information to any third party, except for information that are:</w:t>
      </w:r>
    </w:p>
    <w:p>
      <w:pPr>
        <w:spacing w:after="0" w:line="2" w:lineRule="exact"/>
        <w:rPr>
          <w:sz w:val="20"/>
          <w:szCs w:val="20"/>
          <w:color w:val="auto"/>
        </w:rPr>
      </w:pPr>
    </w:p>
    <w:p>
      <w:pPr>
        <w:ind w:left="520" w:firstLine="2"/>
        <w:spacing w:after="0" w:line="246" w:lineRule="auto"/>
        <w:tabs>
          <w:tab w:leader="none" w:pos="76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to the public (not disclosed to the public by the Party receiving the information); (b) disclosed according to the requirements of applicable laws or any stock exchange; or (c) required to be disclosed by any Party to its legal or financial consultant to fulfill transactions contemplated hereunder, provided that such legal or financial consultant is also bound by confidentiality obligations similar to those set forth in this article. Disclosure of any confidential information by the employees or institutions employed by any Party shall be deemed as disclosure of such confidential information by such Party, and such Party shall be held liable for breach of this Agreement. This article shall survive the termination of this Agreement, notwithstanding the reason for the termination.</w:t>
      </w:r>
    </w:p>
    <w:p>
      <w:pPr>
        <w:spacing w:after="0" w:line="98" w:lineRule="exact"/>
        <w:rPr>
          <w:sz w:val="20"/>
          <w:szCs w:val="20"/>
          <w:color w:val="auto"/>
        </w:rPr>
      </w:pPr>
    </w:p>
    <w:p>
      <w:pPr>
        <w:ind w:left="520" w:right="40" w:hanging="528"/>
        <w:spacing w:after="0" w:line="250" w:lineRule="auto"/>
        <w:tabs>
          <w:tab w:leader="none" w:pos="5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Party B shall not sign any documents or make relevant commitments that conflict with the legal documents, such as agreements in the process of implementation signed by Party A and its Designated Party; Party B shall not cause conflict of interests between Party B, Party A and Party A’s shareholder through action or omission. In case of such conflict of interest (Party A is entitled to decide whether such conflict of interest exists), Party B shall immediately take measures to eliminate it as much as possible, subject to the approval by Party A or Party A’s Designated Party. In case that any measures to eliminate the conflict of interest are rejected, Party A is entitled to execute the purchase right in the “Exclusive Option Agreement”.</w:t>
      </w:r>
    </w:p>
    <w:p>
      <w:pPr>
        <w:spacing w:after="0" w:line="1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80"/>
          </w:cols>
          <w:pgMar w:left="980" w:top="266" w:right="639" w:bottom="1440" w:gutter="0" w:footer="0" w:header="0"/>
        </w:sectPr>
      </w:pPr>
    </w:p>
    <w:bookmarkStart w:id="342" w:name="page343"/>
    <w:bookmarkEnd w:id="342"/>
    <w:p>
      <w:pPr>
        <w:ind w:left="950" w:right="8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3.8</w:t>
      </w:r>
      <w:r>
        <w:rPr>
          <w:sz w:val="20"/>
          <w:szCs w:val="20"/>
          <w:color w:val="auto"/>
        </w:rPr>
        <w:tab/>
      </w:r>
      <w:r>
        <w:rPr>
          <w:rFonts w:ascii="Times New Roman" w:cs="Times New Roman" w:eastAsia="Times New Roman" w:hAnsi="Times New Roman"/>
          <w:sz w:val="18"/>
          <w:szCs w:val="18"/>
          <w:color w:val="auto"/>
        </w:rPr>
        <w:t>Within the term of this Agreement, all customer information relating to Party B’s business and the Services provided by Party A and other related documents shall be possessed by Party A.</w:t>
      </w:r>
    </w:p>
    <w:p>
      <w:pPr>
        <w:spacing w:after="0" w:line="7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The Parties hereby agree that Article 3 shall survive the modification, cancellation or termination of this Agreement.</w:t>
      </w:r>
    </w:p>
    <w:p>
      <w:pPr>
        <w:spacing w:after="0" w:line="359" w:lineRule="exact"/>
        <w:rPr>
          <w:sz w:val="20"/>
          <w:szCs w:val="20"/>
          <w:color w:val="auto"/>
        </w:rPr>
      </w:pPr>
    </w:p>
    <w:p>
      <w:pPr>
        <w:ind w:left="430" w:hanging="430"/>
        <w:spacing w:after="0"/>
        <w:tabs>
          <w:tab w:leader="none" w:pos="43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Warranties and Covenants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Party A hereby represents, warrants and covenants as follows:</w:t>
      </w:r>
    </w:p>
    <w:p>
      <w:pPr>
        <w:spacing w:after="0" w:line="123" w:lineRule="exact"/>
        <w:rPr>
          <w:rFonts w:ascii="Times New Roman" w:cs="Times New Roman" w:eastAsia="Times New Roman" w:hAnsi="Times New Roman"/>
          <w:sz w:val="18"/>
          <w:szCs w:val="18"/>
          <w:b w:val="1"/>
          <w:bCs w:val="1"/>
          <w:color w:val="auto"/>
        </w:rPr>
      </w:pPr>
    </w:p>
    <w:p>
      <w:pPr>
        <w:ind w:left="1390" w:right="240" w:hanging="424"/>
        <w:spacing w:after="0" w:line="258" w:lineRule="auto"/>
        <w:tabs>
          <w:tab w:leader="none" w:pos="139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 owned company legally registered and validly existing in accordance with the PRC laws, is an independent legal person, possesses complete and independent legal status and capacity, has obtained appropriate authorization to sign, deliver and execute this Agreement, and can serve as the subject of litigation independently.</w:t>
      </w:r>
    </w:p>
    <w:p>
      <w:pPr>
        <w:spacing w:after="0" w:line="85" w:lineRule="exact"/>
        <w:rPr>
          <w:rFonts w:ascii="Times New Roman" w:cs="Times New Roman" w:eastAsia="Times New Roman" w:hAnsi="Times New Roman"/>
          <w:sz w:val="18"/>
          <w:szCs w:val="18"/>
          <w:color w:val="auto"/>
        </w:rPr>
      </w:pPr>
    </w:p>
    <w:p>
      <w:pPr>
        <w:ind w:left="1390" w:right="60" w:hanging="424"/>
        <w:spacing w:after="0" w:line="253" w:lineRule="auto"/>
        <w:tabs>
          <w:tab w:leader="none" w:pos="139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signs and executes this Agreement in accordance with its legal person qualification and within its business scope, with necessary permits, records and qualifications to provide the services hereof. Party A has taken necessary corporate action, obtained appropriate authorization and also the permission and approval of third party and governmental institutions to fulfill the transactions contemplated hereunder, and will not violate laws or restrictions applicable to Party A.</w:t>
      </w:r>
    </w:p>
    <w:p>
      <w:pPr>
        <w:spacing w:after="0" w:line="92" w:lineRule="exact"/>
        <w:rPr>
          <w:rFonts w:ascii="Times New Roman" w:cs="Times New Roman" w:eastAsia="Times New Roman" w:hAnsi="Times New Roman"/>
          <w:sz w:val="18"/>
          <w:szCs w:val="18"/>
          <w:color w:val="auto"/>
        </w:rPr>
      </w:pPr>
    </w:p>
    <w:p>
      <w:pPr>
        <w:ind w:left="1390" w:hanging="424"/>
        <w:spacing w:after="0" w:line="270" w:lineRule="auto"/>
        <w:tabs>
          <w:tab w:leader="none" w:pos="139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execution and delivery of this Agreement, this Agreement will constitute Party A’s legal, valid and binding obligations, and shall be enforceable against it in accordance with its terms.</w:t>
      </w:r>
    </w:p>
    <w:p>
      <w:pPr>
        <w:spacing w:after="0" w:line="7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Party B hereby represents, warrants and covenants as follows:</w:t>
      </w:r>
    </w:p>
    <w:p>
      <w:pPr>
        <w:spacing w:after="0" w:line="124" w:lineRule="exact"/>
        <w:rPr>
          <w:sz w:val="20"/>
          <w:szCs w:val="20"/>
          <w:color w:val="auto"/>
        </w:rPr>
      </w:pPr>
    </w:p>
    <w:p>
      <w:pPr>
        <w:ind w:left="1390" w:right="260" w:hanging="424"/>
        <w:spacing w:after="0" w:line="258" w:lineRule="auto"/>
        <w:tabs>
          <w:tab w:leader="none" w:pos="139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company legally registered and validly existing in accordance with the PRC laws, is an independent legal person, has complete and independent legal status and capacity, has obtained appropriate authorization to sign, deliver and execute this Agreement, and can serve as the subject of litigation independently.</w:t>
      </w:r>
    </w:p>
    <w:p>
      <w:pPr>
        <w:spacing w:after="0" w:line="23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70"/>
          </w:cols>
          <w:pgMar w:left="550" w:top="266" w:right="579" w:bottom="1440" w:gutter="0" w:footer="0" w:header="0"/>
        </w:sectPr>
      </w:pPr>
    </w:p>
    <w:bookmarkStart w:id="343" w:name="page344"/>
    <w:bookmarkEnd w:id="343"/>
    <w:p>
      <w:pPr>
        <w:ind w:left="500" w:right="40" w:hanging="424"/>
        <w:spacing w:after="0" w:line="253"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Party B’s acceptance of the services provided by Party A does not violate any the PRC laws; Party B signs and executes this Agreement in accordance with its legal person qualification and within its business scope; Party B has taken necessary corporate action, obtained appropriate authorization and also the permission and approval of third party and governmental institutions to fulfill the transactions contemplated hereunder, and will not violate laws or restrictions applicable to Party B.</w:t>
      </w:r>
    </w:p>
    <w:p>
      <w:pPr>
        <w:spacing w:after="0" w:line="92" w:lineRule="exact"/>
        <w:rPr>
          <w:rFonts w:ascii="Times New Roman" w:cs="Times New Roman" w:eastAsia="Times New Roman" w:hAnsi="Times New Roman"/>
          <w:sz w:val="18"/>
          <w:szCs w:val="18"/>
          <w:color w:val="auto"/>
        </w:rPr>
      </w:pPr>
    </w:p>
    <w:p>
      <w:pPr>
        <w:ind w:left="500" w:hanging="424"/>
        <w:spacing w:after="0" w:line="270"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execution and delivery of this Agreement, this Agreement will constitute Party B’s legal, valid and binding obligations, and shall be enforceable against it in accordance with its terms.</w:t>
      </w:r>
    </w:p>
    <w:p>
      <w:pPr>
        <w:spacing w:after="0" w:line="76" w:lineRule="exact"/>
        <w:rPr>
          <w:rFonts w:ascii="Times New Roman" w:cs="Times New Roman" w:eastAsia="Times New Roman" w:hAnsi="Times New Roman"/>
          <w:sz w:val="18"/>
          <w:szCs w:val="18"/>
          <w:color w:val="auto"/>
        </w:rPr>
      </w:pPr>
    </w:p>
    <w:p>
      <w:pPr>
        <w:ind w:left="500" w:hanging="424"/>
        <w:spacing w:after="0" w:line="253"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existing or threatened litigation, arbitration or other judicial or administrative procedures known to Party B that may affect Party B’s ability to perform the obligations herein. In case of any litigation, arbitration or other judicial or administrative penalty occurring or possibly occurring to Party B’s assets, businesses or income, Party B shall instantly notify Party A after learning of the fact.</w:t>
      </w:r>
    </w:p>
    <w:p>
      <w:pPr>
        <w:spacing w:after="0" w:line="92" w:lineRule="exact"/>
        <w:rPr>
          <w:rFonts w:ascii="Times New Roman" w:cs="Times New Roman" w:eastAsia="Times New Roman" w:hAnsi="Times New Roman"/>
          <w:sz w:val="18"/>
          <w:szCs w:val="18"/>
          <w:color w:val="auto"/>
        </w:rPr>
      </w:pPr>
    </w:p>
    <w:p>
      <w:pPr>
        <w:ind w:left="500" w:right="80" w:hanging="424"/>
        <w:spacing w:after="0" w:line="258"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already disclosed all contracts, government approvals and licenses that may have significant adverse effect on Party B’s ability to fully fulfill the obligations herein or documents binding Party B’s assets or businesses. There is no misrepresentation or omission of any major facts in documents provided by Party B to Party A previously.</w:t>
      </w:r>
    </w:p>
    <w:p>
      <w:pPr>
        <w:spacing w:after="0" w:line="85" w:lineRule="exact"/>
        <w:rPr>
          <w:rFonts w:ascii="Times New Roman" w:cs="Times New Roman" w:eastAsia="Times New Roman" w:hAnsi="Times New Roman"/>
          <w:sz w:val="18"/>
          <w:szCs w:val="18"/>
          <w:color w:val="auto"/>
        </w:rPr>
      </w:pPr>
    </w:p>
    <w:p>
      <w:pPr>
        <w:ind w:left="500" w:right="60" w:hanging="424"/>
        <w:spacing w:after="0" w:line="251"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pay service fees to Party A in full according to the clauses herein and maintain the continuous validity of related licenses and qualifications of business of Party B and Party B’s subsidiaries, and assist Party A, provide sufficient cooperation with Party A, actively cooperate over the services provided by Party A in all affairs for Party A to effectively execute the responsibilities and obligations herein, and also accept reasonable comments and suggestions from Party A relating to the businesses of Party B and Party B’s subsidiaries.</w:t>
      </w:r>
    </w:p>
    <w:p>
      <w:pPr>
        <w:spacing w:after="0" w:line="94" w:lineRule="exact"/>
        <w:rPr>
          <w:rFonts w:ascii="Times New Roman" w:cs="Times New Roman" w:eastAsia="Times New Roman" w:hAnsi="Times New Roman"/>
          <w:sz w:val="18"/>
          <w:szCs w:val="18"/>
          <w:color w:val="auto"/>
        </w:rPr>
      </w:pPr>
    </w:p>
    <w:p>
      <w:pPr>
        <w:ind w:left="500" w:right="160" w:hanging="424"/>
        <w:spacing w:after="0" w:line="253" w:lineRule="auto"/>
        <w:tabs>
          <w:tab w:leader="none" w:pos="5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beginning from the signing date of this Agreement, Party B shall not and shall cause Party B’s subsidiary not to sell, transfer, mortgage or dispose in through other ways any assets (except for assets of less than RMB1,000,000 (or any other amount separately agreed by the Parties) necessary for normal business operation), business, right of management and legitimate rights and interests.</w:t>
      </w:r>
    </w:p>
    <w:p>
      <w:pPr>
        <w:spacing w:after="0" w:line="23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880"/>
          </w:cols>
          <w:pgMar w:left="1440" w:top="266" w:right="579" w:bottom="1440" w:gutter="0" w:footer="0" w:header="0"/>
        </w:sectPr>
      </w:pPr>
    </w:p>
    <w:bookmarkStart w:id="344" w:name="page345"/>
    <w:bookmarkEnd w:id="344"/>
    <w:p>
      <w:pPr>
        <w:ind w:left="500" w:hanging="424"/>
        <w:spacing w:after="0" w:line="280" w:lineRule="auto"/>
        <w:tabs>
          <w:tab w:leader="none" w:pos="50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Without Party A’s prior written consent, Party B shall not pay any expenses to any third party for any reason except for reasonable expenditures in the course of normal business operation, and shall not exempt any third party’s debts or borrow or lend loan to any third party, or provide guarantee or warranty, or allow any third party to place other security interests on Party B’s assets or interests.</w:t>
      </w:r>
    </w:p>
    <w:p>
      <w:pPr>
        <w:spacing w:after="0" w:line="69" w:lineRule="exact"/>
        <w:rPr>
          <w:rFonts w:ascii="Times New Roman" w:cs="Times New Roman" w:eastAsia="Times New Roman" w:hAnsi="Times New Roman"/>
          <w:sz w:val="17"/>
          <w:szCs w:val="17"/>
          <w:color w:val="auto"/>
        </w:rPr>
      </w:pPr>
    </w:p>
    <w:p>
      <w:pPr>
        <w:ind w:left="500" w:right="120" w:hanging="424"/>
        <w:spacing w:after="0" w:line="258" w:lineRule="auto"/>
        <w:tabs>
          <w:tab w:leader="none" w:pos="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beginning from the signing date of this Agreement, Party B shall not and shall cause Party B’s subsidiary not to incur, inherit, guarantee or tolerate any debts (except debt of less than RMB1,000,000 (or any other amount separately agreed by the Parties) necessary for normal business operation).</w:t>
      </w:r>
    </w:p>
    <w:p>
      <w:pPr>
        <w:spacing w:after="0" w:line="85" w:lineRule="exact"/>
        <w:rPr>
          <w:rFonts w:ascii="Times New Roman" w:cs="Times New Roman" w:eastAsia="Times New Roman" w:hAnsi="Times New Roman"/>
          <w:sz w:val="18"/>
          <w:szCs w:val="18"/>
          <w:color w:val="auto"/>
        </w:rPr>
      </w:pPr>
    </w:p>
    <w:p>
      <w:pPr>
        <w:ind w:left="500" w:right="80" w:hanging="424"/>
        <w:spacing w:after="0" w:line="253" w:lineRule="auto"/>
        <w:tabs>
          <w:tab w:leader="none" w:pos="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beginning from the signing date of this Agreement, Party B shall not and shall cause Party B’s subsidiary not to sign any major contracts (except the contract of less than RMB1,000,000 (or any other amount separately agreed by the Parties) necessary for normal business operation) or sign any other contracts, agreements or arrangements conflicting with this Agreement or possibly damaging Party A’s rights and interests herein.</w:t>
      </w:r>
    </w:p>
    <w:p>
      <w:pPr>
        <w:spacing w:after="0" w:line="92" w:lineRule="exact"/>
        <w:rPr>
          <w:rFonts w:ascii="Times New Roman" w:cs="Times New Roman" w:eastAsia="Times New Roman" w:hAnsi="Times New Roman"/>
          <w:sz w:val="18"/>
          <w:szCs w:val="18"/>
          <w:color w:val="auto"/>
        </w:rPr>
      </w:pPr>
    </w:p>
    <w:p>
      <w:pPr>
        <w:jc w:val="both"/>
        <w:ind w:left="500" w:hanging="424"/>
        <w:spacing w:after="0" w:line="258" w:lineRule="auto"/>
        <w:tabs>
          <w:tab w:leader="none" w:pos="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not cause conflict of interest between Party B and Party A and its shareholders in the manner of act or omission. In the event of such conflict of interest (Party A is entitled to decide whether such conflict of interest arises unilaterally), Party B shall take measures to eliminate as soon as possible with the consent of Party A or its Designated Party.</w:t>
      </w:r>
    </w:p>
    <w:p>
      <w:pPr>
        <w:spacing w:after="0" w:line="85" w:lineRule="exact"/>
        <w:rPr>
          <w:rFonts w:ascii="Times New Roman" w:cs="Times New Roman" w:eastAsia="Times New Roman" w:hAnsi="Times New Roman"/>
          <w:sz w:val="18"/>
          <w:szCs w:val="18"/>
          <w:color w:val="auto"/>
        </w:rPr>
      </w:pPr>
    </w:p>
    <w:p>
      <w:pPr>
        <w:ind w:left="500" w:right="40" w:hanging="424"/>
        <w:spacing w:after="0" w:line="273" w:lineRule="auto"/>
        <w:tabs>
          <w:tab w:leader="none" w:pos="500"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Party A’s prior written consent, Party B shall not and shall cause Party B’s subsidiary not to be merged into or constitute a joint entity with any third party, invest in or purchase any third party or be invested in, purchased or controlled, increase or decrease the registered capital, change the corporation form or registered capital structure in other ways or accept the investment and capital increase of existing shareholders or third party in Party B, or liquidate and dissolve beginning from the signing date herein.</w:t>
      </w:r>
    </w:p>
    <w:p>
      <w:pPr>
        <w:spacing w:after="0" w:line="75" w:lineRule="exact"/>
        <w:rPr>
          <w:rFonts w:ascii="Times New Roman" w:cs="Times New Roman" w:eastAsia="Times New Roman" w:hAnsi="Times New Roman"/>
          <w:sz w:val="17"/>
          <w:szCs w:val="17"/>
          <w:color w:val="auto"/>
        </w:rPr>
      </w:pPr>
    </w:p>
    <w:p>
      <w:pPr>
        <w:ind w:left="500" w:right="20" w:hanging="424"/>
        <w:spacing w:after="0" w:line="258" w:lineRule="auto"/>
        <w:tabs>
          <w:tab w:leader="none" w:pos="50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relevant the PRC laws, Party B will appoint candidates recommended by Party A as Party B’s director; Except for written permission from Party A or with legal reasons, Party B shall not refuse to appoint the candidate recommended by Party A by any reasons.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40"/>
          </w:cols>
          <w:pgMar w:left="1440" w:top="266" w:right="619" w:bottom="1440" w:gutter="0" w:footer="0" w:header="0"/>
        </w:sectPr>
      </w:pPr>
    </w:p>
    <w:bookmarkStart w:id="345" w:name="page346"/>
    <w:bookmarkEnd w:id="345"/>
    <w:p>
      <w:pPr>
        <w:ind w:left="960" w:right="20" w:hanging="424"/>
        <w:spacing w:after="0" w:line="250"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Party B shall hold any and all governmental licenses, certificates, authorizations and approvals necessary for operating business during the term of this Agreement, and also shall ensure all foregoing governmental licenses, certificates, authorizations and approvals are effective and legal during the entire term of this Agreement. In case of alteration and/or increase of governmental licenses, certificates, authorizations and approvals for Party B to operate business during the term of this Agreement due to changes of provisions of relevant government authorities, Party B shall implement the alteration and/or supplementation according to the requirements of related local laws.</w:t>
      </w:r>
    </w:p>
    <w:p>
      <w:pPr>
        <w:spacing w:after="0" w:line="94" w:lineRule="exact"/>
        <w:rPr>
          <w:rFonts w:ascii="Times New Roman" w:cs="Times New Roman" w:eastAsia="Times New Roman" w:hAnsi="Times New Roman"/>
          <w:sz w:val="18"/>
          <w:szCs w:val="18"/>
          <w:color w:val="auto"/>
        </w:rPr>
      </w:pPr>
    </w:p>
    <w:p>
      <w:pPr>
        <w:ind w:left="960" w:right="120" w:hanging="424"/>
        <w:spacing w:after="0" w:line="300" w:lineRule="auto"/>
        <w:tabs>
          <w:tab w:leader="none" w:pos="960"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notify Party A of occurrence or possible occurrence of situations that may have material adverse effect on Party B’s business and operation, and put forth its best effort to prevent such situation from occurring and/or prevent losses from increasing.</w:t>
      </w:r>
    </w:p>
    <w:p>
      <w:pPr>
        <w:spacing w:after="0" w:line="53" w:lineRule="exact"/>
        <w:rPr>
          <w:rFonts w:ascii="Times New Roman" w:cs="Times New Roman" w:eastAsia="Times New Roman" w:hAnsi="Times New Roman"/>
          <w:sz w:val="17"/>
          <w:szCs w:val="17"/>
          <w:color w:val="auto"/>
        </w:rPr>
      </w:pPr>
    </w:p>
    <w:p>
      <w:pPr>
        <w:ind w:left="960" w:right="560" w:hanging="424"/>
        <w:spacing w:after="0" w:line="258"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Party B and /or Party B’s subsidiary shall not modify articles of association, change principal business, change business scope, model, profit model, marketing strategies, business principles or make material adjustments in customer relations.</w:t>
      </w:r>
    </w:p>
    <w:p>
      <w:pPr>
        <w:spacing w:after="0" w:line="85"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Party B and /or Party B’s subsidiary shall not have any arrangement of entering into any partnership or joint venture or profit sharing with any third party, or other arrangements, such as payment of usage fees, service fees or consulting fees, to transfer benefits or share profits.</w:t>
      </w:r>
    </w:p>
    <w:p>
      <w:pPr>
        <w:spacing w:after="0" w:line="85" w:lineRule="exact"/>
        <w:rPr>
          <w:rFonts w:ascii="Times New Roman" w:cs="Times New Roman" w:eastAsia="Times New Roman" w:hAnsi="Times New Roman"/>
          <w:sz w:val="18"/>
          <w:szCs w:val="18"/>
          <w:color w:val="auto"/>
        </w:rPr>
      </w:pPr>
    </w:p>
    <w:p>
      <w:pPr>
        <w:ind w:left="960" w:hanging="424"/>
        <w:spacing w:after="0" w:line="270"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Party A’s request, Party B shall provide information about Party B’s operation management and financial condition to Party A from time to time.</w:t>
      </w:r>
    </w:p>
    <w:p>
      <w:pPr>
        <w:spacing w:after="0" w:line="76" w:lineRule="exact"/>
        <w:rPr>
          <w:rFonts w:ascii="Times New Roman" w:cs="Times New Roman" w:eastAsia="Times New Roman" w:hAnsi="Times New Roman"/>
          <w:sz w:val="18"/>
          <w:szCs w:val="18"/>
          <w:color w:val="auto"/>
        </w:rPr>
      </w:pPr>
    </w:p>
    <w:p>
      <w:pPr>
        <w:ind w:left="960" w:right="360" w:hanging="424"/>
        <w:spacing w:after="0" w:line="270"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Party B shall not disclose or distribute profits, dividends or any other interests to other shareholders.</w:t>
      </w:r>
    </w:p>
    <w:p>
      <w:pPr>
        <w:spacing w:after="0" w:line="76" w:lineRule="exact"/>
        <w:rPr>
          <w:rFonts w:ascii="Times New Roman" w:cs="Times New Roman" w:eastAsia="Times New Roman" w:hAnsi="Times New Roman"/>
          <w:sz w:val="18"/>
          <w:szCs w:val="18"/>
          <w:color w:val="auto"/>
        </w:rPr>
      </w:pPr>
    </w:p>
    <w:p>
      <w:pPr>
        <w:ind w:left="960" w:right="240" w:hanging="424"/>
        <w:spacing w:after="0" w:line="258" w:lineRule="auto"/>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Party A any technologies or other information that is necessary or useful for Party A to provide services contemplated herein, and permit Party A to use relevant equipment, materials, information of Party B deemed necessary or useful in providing services hereunder.</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Party A’s prior written consent, Party B shall not alter, change or dismiss Party B’s director and senior manager.</w:t>
      </w:r>
    </w:p>
    <w:p>
      <w:pPr>
        <w:spacing w:after="0" w:line="124" w:lineRule="exact"/>
        <w:rPr>
          <w:sz w:val="20"/>
          <w:szCs w:val="20"/>
          <w:color w:val="auto"/>
        </w:rPr>
      </w:pPr>
    </w:p>
    <w:p>
      <w:pPr>
        <w:ind w:left="520" w:right="40" w:hanging="528"/>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Parties represents to each other: In the event that the PRC laws allows Party A to directly hold Party B’s equities and permits Party A and/or Party A’s subsidiaries (if any) to be engaged in Party B’s business, and if Party A intends to directly hold Party B’s equities, the Parties will terminate this Agreement immediately.</w:t>
      </w:r>
    </w:p>
    <w:p>
      <w:pPr>
        <w:spacing w:after="0" w:line="200" w:lineRule="exact"/>
        <w:rPr>
          <w:sz w:val="20"/>
          <w:szCs w:val="20"/>
          <w:color w:val="auto"/>
        </w:rPr>
      </w:pP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260"/>
          </w:cols>
          <w:pgMar w:left="980" w:top="266" w:right="659" w:bottom="1440" w:gutter="0" w:footer="0" w:header="0"/>
        </w:sectPr>
      </w:pPr>
    </w:p>
    <w:bookmarkStart w:id="346" w:name="page347"/>
    <w:bookmarkEnd w:id="346"/>
    <w:p>
      <w:pPr>
        <w:ind w:left="430" w:hanging="430"/>
        <w:spacing w:after="0"/>
        <w:tabs>
          <w:tab w:leader="none" w:pos="43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Validation and Effective Term</w:t>
      </w:r>
    </w:p>
    <w:p>
      <w:pPr>
        <w:spacing w:after="0" w:line="112" w:lineRule="exact"/>
        <w:rPr>
          <w:rFonts w:ascii="Times New Roman" w:cs="Times New Roman" w:eastAsia="Times New Roman" w:hAnsi="Times New Roman"/>
          <w:sz w:val="18"/>
          <w:szCs w:val="18"/>
          <w:b w:val="1"/>
          <w:bCs w:val="1"/>
          <w:color w:val="auto"/>
        </w:rPr>
      </w:pPr>
    </w:p>
    <w:p>
      <w:pPr>
        <w:ind w:left="430" w:right="10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take effect as of the signing date. Unless this Agreement is terminated according to Article 6.1 herein, the Agreement shall remain effective permanently.</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    Unless otherwise renewed according to relevant sections hereunder, this Agreement shall be terminated on the expiration date.</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    This Agreement shall be terminated:</w:t>
      </w:r>
    </w:p>
    <w:p>
      <w:pPr>
        <w:spacing w:after="0" w:line="123" w:lineRule="exact"/>
        <w:rPr>
          <w:rFonts w:ascii="Times New Roman" w:cs="Times New Roman" w:eastAsia="Times New Roman" w:hAnsi="Times New Roman"/>
          <w:sz w:val="18"/>
          <w:szCs w:val="18"/>
          <w:b w:val="1"/>
          <w:bCs w:val="1"/>
          <w:color w:val="auto"/>
        </w:rPr>
      </w:pPr>
    </w:p>
    <w:p>
      <w:pPr>
        <w:ind w:left="1390" w:right="640" w:hanging="424"/>
        <w:spacing w:after="0" w:line="270" w:lineRule="auto"/>
        <w:tabs>
          <w:tab w:leader="none" w:pos="139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Party B’s bankruptcy, liquidation, termination or dissolution in accordance with the law prior to the expiration date of this Agreement;</w:t>
      </w:r>
    </w:p>
    <w:p>
      <w:pPr>
        <w:spacing w:after="0" w:line="76" w:lineRule="exact"/>
        <w:rPr>
          <w:rFonts w:ascii="Times New Roman" w:cs="Times New Roman" w:eastAsia="Times New Roman" w:hAnsi="Times New Roman"/>
          <w:sz w:val="18"/>
          <w:szCs w:val="18"/>
          <w:color w:val="auto"/>
        </w:rPr>
      </w:pPr>
    </w:p>
    <w:p>
      <w:pPr>
        <w:ind w:left="1390" w:right="240" w:hanging="424"/>
        <w:spacing w:after="0" w:line="270" w:lineRule="auto"/>
        <w:tabs>
          <w:tab w:leader="none" w:pos="139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the transfer of Party B’s equities and assets to Party A pursuant to the “Exclusive Option Agreement” (as amended from time to time) signed by the Parties and Party B’s existing shareholder on the date hereof;</w:t>
      </w:r>
    </w:p>
    <w:p>
      <w:pPr>
        <w:spacing w:after="0" w:line="76" w:lineRule="exact"/>
        <w:rPr>
          <w:rFonts w:ascii="Times New Roman" w:cs="Times New Roman" w:eastAsia="Times New Roman" w:hAnsi="Times New Roman"/>
          <w:sz w:val="18"/>
          <w:szCs w:val="18"/>
          <w:color w:val="auto"/>
        </w:rPr>
      </w:pPr>
    </w:p>
    <w:p>
      <w:pPr>
        <w:ind w:left="1390" w:right="200" w:hanging="424"/>
        <w:spacing w:after="0" w:line="300" w:lineRule="auto"/>
        <w:tabs>
          <w:tab w:leader="none" w:pos="1390"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date when Party A is officially registered as Party B’s sole shareholder after Party A is permitted to directly hold Party B’s equities under the PRC laws and Party A and/or Party A’s subsidiaries and branches can legally engage in Party B’s business;</w:t>
      </w:r>
    </w:p>
    <w:p>
      <w:pPr>
        <w:spacing w:after="0" w:line="53" w:lineRule="exact"/>
        <w:rPr>
          <w:rFonts w:ascii="Times New Roman" w:cs="Times New Roman" w:eastAsia="Times New Roman" w:hAnsi="Times New Roman"/>
          <w:sz w:val="17"/>
          <w:szCs w:val="17"/>
          <w:color w:val="auto"/>
        </w:rPr>
      </w:pPr>
    </w:p>
    <w:p>
      <w:pPr>
        <w:ind w:left="1390" w:hanging="424"/>
        <w:spacing w:after="0" w:line="270" w:lineRule="auto"/>
        <w:tabs>
          <w:tab w:leader="none" w:pos="139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expiration date of the written notification of terminating this Agreement sent by Party A to Party B 30 days in advance at any time within the effective term of this Agreement;</w:t>
      </w:r>
    </w:p>
    <w:p>
      <w:pPr>
        <w:spacing w:after="0" w:line="76"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in advance in accordance with the provisions of Article 7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4796155</wp:posOffset>
            </wp:positionH>
            <wp:positionV relativeFrom="paragraph">
              <wp:posOffset>-908050</wp:posOffset>
            </wp:positionV>
            <wp:extent cx="6927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6">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4" w:lineRule="exact"/>
        <w:rPr>
          <w:sz w:val="20"/>
          <w:szCs w:val="20"/>
          <w:color w:val="auto"/>
        </w:rPr>
      </w:pPr>
    </w:p>
    <w:p>
      <w:pPr>
        <w:ind w:left="950" w:right="8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Party B shall not terminate this Agreement during the term of this Agreement. Party A shall not undertake the responsibility for breach of this Agreement if it terminates this Agreement unilaterally in accordance with Article 6.2(d).</w:t>
      </w:r>
    </w:p>
    <w:p>
      <w:pPr>
        <w:spacing w:after="0" w:line="7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The rights and obligations of Article 3,5,7,8,10,11 and 16.3 shall survive the termination of this Agreement.</w:t>
      </w:r>
    </w:p>
    <w:p>
      <w:pPr>
        <w:spacing w:after="0" w:line="124" w:lineRule="exact"/>
        <w:rPr>
          <w:sz w:val="20"/>
          <w:szCs w:val="20"/>
          <w:color w:val="auto"/>
        </w:rPr>
      </w:pPr>
    </w:p>
    <w:p>
      <w:pPr>
        <w:ind w:left="950" w:right="240" w:hanging="528"/>
        <w:spacing w:after="0" w:line="251" w:lineRule="auto"/>
        <w:tabs>
          <w:tab w:leader="none" w:pos="929"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Each Party’s payment obligations (including but not limited to the service fees) herein due on the termination date of this Agreement or before the expiry date of this Agreement will not be exempted and any liability for breach of the contract before the termination of this Agreement will also not be exempted when this Agreement is terminated in advance or expired for any reason. All payable service fees before the termination and expiry of this Agreement shall be paid to Party A within 15 working days as of the termination date of this Agreement.</w:t>
      </w:r>
    </w:p>
    <w:p>
      <w:pPr>
        <w:spacing w:after="0" w:line="200" w:lineRule="exact"/>
        <w:rPr>
          <w:sz w:val="20"/>
          <w:szCs w:val="20"/>
          <w:color w:val="auto"/>
        </w:rPr>
      </w:pPr>
    </w:p>
    <w:p>
      <w:pPr>
        <w:spacing w:after="0" w:line="251"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30"/>
          </w:cols>
          <w:pgMar w:left="550" w:top="264" w:right="619" w:bottom="1440" w:gutter="0" w:footer="0" w:header="0"/>
        </w:sectPr>
      </w:pPr>
    </w:p>
    <w:bookmarkStart w:id="347" w:name="page348"/>
    <w:bookmarkEnd w:id="347"/>
    <w:p>
      <w:pPr>
        <w:ind w:left="430" w:hanging="430"/>
        <w:spacing w:after="0"/>
        <w:tabs>
          <w:tab w:leader="none" w:pos="43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Liability for Breach of this Agreement</w:t>
      </w:r>
    </w:p>
    <w:p>
      <w:pPr>
        <w:spacing w:after="0" w:line="123" w:lineRule="exact"/>
        <w:rPr>
          <w:rFonts w:ascii="Times New Roman" w:cs="Times New Roman" w:eastAsia="Times New Roman" w:hAnsi="Times New Roman"/>
          <w:sz w:val="18"/>
          <w:szCs w:val="18"/>
          <w:b w:val="1"/>
          <w:bCs w:val="1"/>
          <w:color w:val="auto"/>
        </w:rPr>
      </w:pPr>
    </w:p>
    <w:p>
      <w:pPr>
        <w:ind w:left="950" w:hanging="529"/>
        <w:spacing w:after="0" w:line="24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Unless otherwise specified in other articles herein, if Party B(the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fails to fulfill certain obligations herein or violates this Agreement in other ways, Party A (the “</w:t>
      </w:r>
      <w:r>
        <w:rPr>
          <w:rFonts w:ascii="Times New Roman" w:cs="Times New Roman" w:eastAsia="Times New Roman" w:hAnsi="Times New Roman"/>
          <w:sz w:val="18"/>
          <w:szCs w:val="18"/>
          <w:b w:val="1"/>
          <w:bCs w:val="1"/>
          <w:color w:val="auto"/>
        </w:rPr>
        <w:t>Damaged Party</w:t>
      </w:r>
      <w:r>
        <w:rPr>
          <w:rFonts w:ascii="Times New Roman" w:cs="Times New Roman" w:eastAsia="Times New Roman" w:hAnsi="Times New Roman"/>
          <w:sz w:val="18"/>
          <w:szCs w:val="18"/>
          <w:color w:val="auto"/>
        </w:rPr>
        <w:t>”) may: (a) notify the Defaulting Party of the nature and scope of the violation in writing and ask the Defaulting Party to remediate at its own expense within a reasonable period of time (hereinafter referred to as “</w:t>
      </w:r>
      <w:r>
        <w:rPr>
          <w:rFonts w:ascii="Times New Roman" w:cs="Times New Roman" w:eastAsia="Times New Roman" w:hAnsi="Times New Roman"/>
          <w:sz w:val="18"/>
          <w:szCs w:val="18"/>
          <w:b w:val="1"/>
          <w:bCs w:val="1"/>
          <w:color w:val="auto"/>
        </w:rPr>
        <w:t>Remediation Period</w:t>
      </w:r>
      <w:r>
        <w:rPr>
          <w:rFonts w:ascii="Times New Roman" w:cs="Times New Roman" w:eastAsia="Times New Roman" w:hAnsi="Times New Roman"/>
          <w:sz w:val="18"/>
          <w:szCs w:val="18"/>
          <w:color w:val="auto"/>
        </w:rPr>
        <w:t xml:space="preserve">”); and if the Defaulting Party fails to take remedial measures during the Remediation Period, the Damaged Party is entitled to ask the Defaulting Party to undertake all responsibilities for its violation and also compensate all actual economic losses due to the Damaged Party, including without limitation, the legal fees incurred in litigation and arbitration proceedings relating to the violation. The Damaged Party is also entitled to ask the Defaulting Party to perform its contractual obligations and petition the court or the relevant arbitration institution to issue an order of specific performance or compulsory performance by the Defaulting Party; (b) terminate this Agreement and ask the Defaulting Party to undertake all responsibilities for its violation and also compensate all damages; or (c) place the pledged equity on discount, auction or selling according to the Equity Interest Pledge Agreement signed on </w:t>
      </w:r>
      <w:r>
        <w:rPr>
          <w:rFonts w:ascii="Times New Roman" w:cs="Times New Roman" w:eastAsia="Times New Roman" w:hAnsi="Times New Roman"/>
          <w:sz w:val="18"/>
          <w:szCs w:val="18"/>
          <w:u w:val="single" w:color="auto"/>
          <w:color w:val="auto"/>
        </w:rPr>
        <w:t>the date hereof</w:t>
      </w:r>
      <w:r>
        <w:rPr>
          <w:rFonts w:ascii="Times New Roman" w:cs="Times New Roman" w:eastAsia="Times New Roman" w:hAnsi="Times New Roman"/>
          <w:sz w:val="18"/>
          <w:szCs w:val="18"/>
          <w:color w:val="auto"/>
        </w:rPr>
        <w:t xml:space="preserve"> by and among the Parties and Party B’s existing shareholders, be entitled to compensation priority in the amount of discount, auction and selling, and ask the Defaulting Party to undertake all losses hereof. While exercising the foregoing remedial right, the Damaged Party is entitled to other remedial rights regulated herein and under the relevant laws and regulations.</w:t>
      </w:r>
    </w:p>
    <w:p>
      <w:pPr>
        <w:spacing w:after="0" w:line="101" w:lineRule="exact"/>
        <w:rPr>
          <w:rFonts w:ascii="Times New Roman" w:cs="Times New Roman" w:eastAsia="Times New Roman" w:hAnsi="Times New Roman"/>
          <w:sz w:val="18"/>
          <w:szCs w:val="18"/>
          <w:b w:val="1"/>
          <w:bCs w:val="1"/>
          <w:color w:val="auto"/>
        </w:rPr>
      </w:pPr>
    </w:p>
    <w:p>
      <w:pPr>
        <w:ind w:left="950" w:right="6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 The Parties hereby agree and confirm that, unless otherwise compulsorily provided by the PRC laws, if Party B is the Defaulting Party, the Damaged Party is entitled to terminate this Agreement unilaterally and ask the Defaulting Party to compensate the losses.</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Laws, Dispute Resolution and Modification of Law</w:t>
      </w:r>
    </w:p>
    <w:p>
      <w:pPr>
        <w:spacing w:after="0" w:line="125" w:lineRule="exact"/>
        <w:rPr>
          <w:rFonts w:ascii="Times New Roman" w:cs="Times New Roman" w:eastAsia="Times New Roman" w:hAnsi="Times New Roman"/>
          <w:sz w:val="18"/>
          <w:szCs w:val="18"/>
          <w:b w:val="1"/>
          <w:bCs w:val="1"/>
          <w:color w:val="auto"/>
        </w:rPr>
      </w:pPr>
    </w:p>
    <w:p>
      <w:pPr>
        <w:ind w:left="950" w:right="12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 The signing, validation, interpretation, implementation, revision and termination of this Agreement and settlement of disputes herein shall be governed by the PRC laws.</w:t>
      </w:r>
    </w:p>
    <w:p>
      <w:pPr>
        <w:spacing w:after="0" w:line="3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90"/>
          </w:cols>
          <w:pgMar w:left="550" w:top="264" w:right="559" w:bottom="1440" w:gutter="0" w:footer="0" w:header="0"/>
        </w:sectPr>
      </w:pPr>
    </w:p>
    <w:bookmarkStart w:id="348" w:name="page349"/>
    <w:bookmarkEnd w:id="348"/>
    <w:p>
      <w:pPr>
        <w:ind w:left="520" w:hanging="528"/>
        <w:spacing w:after="0" w:line="262"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color w:val="auto"/>
        </w:rPr>
        <w:t>Any disputes arising from the interpretation and implementation of this agreement shall be firstly solved through the Parties’ friendly negotiations. In case that the consensus on settlement of such disputes is not reached within 30 days after any Party asks the other party to reach solution through friendly negotiations, any Party can submit the disputes to Beijing Arbitration Commission, which gives verdict according to the prevailing arbitration rule at that time. The arbitration shall take place in Beijing and language for arbitration shall be Chinese. The arbitration award is final and binding on each party. The arbitral tribunal can order Party B to compensate the losses of Party A with Party B’s equity interests, assets or property rights and interests, reach judgment of mandatory relief through mandatory transfer of related business or assets or order Party B to declare bankruptcy. After the arbitration award becomes effective, any Party is entitled to petition the relevant court to execute the arbitration award. If necessary, the arbitral institution is entitled to order the Defaulting Party to cease the breach of this Agreement or refrain from actions that would increase the losses to Party A before making final verdict for the disputes of all parties. The courts in Hong Kong, Cayman Islands, China or other places with right of jurisdiction (including the court in the place of Party B, or the court in the place of main asset of Party A or Party B shall be deemed as the court with right of jurisdiction) similarly are entitled to confer or execute the verdict of the arbitral tribunal and is also entitled to make judgment or execute temporary relief for Party B’s equity or property interests, and give verdict or judgment of providing certain temporary relief for the party instigating the arbitration before the establishment of arbitral tribunal or in other appropriate circumstances, such as reaching verdict or judgment of ordering the Defaulting Party to cease the breaching of this Agreement or not to cause additional losses to Party A.</w:t>
      </w:r>
    </w:p>
    <w:p>
      <w:pPr>
        <w:spacing w:after="0" w:line="91" w:lineRule="exact"/>
        <w:rPr>
          <w:sz w:val="20"/>
          <w:szCs w:val="20"/>
          <w:color w:val="auto"/>
        </w:rPr>
      </w:pPr>
    </w:p>
    <w:p>
      <w:pPr>
        <w:ind w:left="520" w:right="14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In the arbitration for any disputes arising from the interpretation and implementation of this Agreement, the Parties herein shall continue executing other rights and obligations herein respectively except the matters herein in dispute.</w:t>
      </w:r>
    </w:p>
    <w:p>
      <w:pPr>
        <w:spacing w:after="0" w:line="76" w:lineRule="exact"/>
        <w:rPr>
          <w:sz w:val="20"/>
          <w:szCs w:val="20"/>
          <w:color w:val="auto"/>
        </w:rPr>
      </w:pPr>
    </w:p>
    <w:p>
      <w:pPr>
        <w:ind w:left="52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Due to the issuing or alteration of any the PRC laws, rules or regulations or due to the change in interpretation or application of such laws, rules or regulations any time after the signing date, the following agreement shall be applicable: to the extent permitted by the PRC laws,</w:t>
      </w:r>
    </w:p>
    <w:p>
      <w:pPr>
        <w:spacing w:after="0" w:line="1" w:lineRule="exact"/>
        <w:rPr>
          <w:sz w:val="20"/>
          <w:szCs w:val="20"/>
          <w:color w:val="auto"/>
        </w:rPr>
      </w:pPr>
    </w:p>
    <w:p>
      <w:pPr>
        <w:ind w:left="520" w:right="100" w:firstLine="2"/>
        <w:spacing w:after="0" w:line="245" w:lineRule="auto"/>
        <w:tabs>
          <w:tab w:leader="none" w:pos="7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alteration of laws or newly issued regulations are more preferential for a Party compared to the relevant laws, decrees, orders or regulations that were in effect on the signing date hereof, each Party shall actively and immediately apply for obtaining the benefits brought by the modification or new regulations and put forth their best effort to obtain the approval for the application; or (b) in case that any Party’s economic benefit is directly or indirectly adversely influenced due to the alteration of foregoing laws or newly issued regulations, this Agreement shall be continuously executed as scheduled. All parties shall obtain the exemption from the altered or new regulations through legal means. If the negative effect on the economic benefit of any Party cannot be resolved under this Agreement, all Parties shall immediately negotiate and make all necessary alterations to this Agreement after receiving the notification of the affected Party to safeguard the economic benefit of the affected Party.</w:t>
      </w:r>
    </w:p>
    <w:p>
      <w:pPr>
        <w:spacing w:after="0" w:line="200" w:lineRule="exact"/>
        <w:rPr>
          <w:sz w:val="20"/>
          <w:szCs w:val="20"/>
          <w:color w:val="auto"/>
        </w:rPr>
      </w:pPr>
    </w:p>
    <w:p>
      <w:pPr>
        <w:spacing w:after="0" w:line="26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280"/>
          </w:cols>
          <w:pgMar w:left="980" w:top="266" w:right="639" w:bottom="1440" w:gutter="0" w:footer="0" w:header="0"/>
        </w:sectPr>
      </w:pPr>
    </w:p>
    <w:bookmarkStart w:id="349" w:name="page350"/>
    <w:bookmarkEnd w:id="349"/>
    <w:p>
      <w:pPr>
        <w:ind w:left="430" w:hanging="430"/>
        <w:spacing w:after="0"/>
        <w:tabs>
          <w:tab w:leader="none" w:pos="43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Force Majeure</w:t>
      </w:r>
    </w:p>
    <w:p>
      <w:pPr>
        <w:spacing w:after="0" w:line="123" w:lineRule="exact"/>
        <w:rPr>
          <w:rFonts w:ascii="Times New Roman" w:cs="Times New Roman" w:eastAsia="Times New Roman" w:hAnsi="Times New Roman"/>
          <w:sz w:val="18"/>
          <w:szCs w:val="18"/>
          <w:b w:val="1"/>
          <w:bCs w:val="1"/>
          <w:color w:val="auto"/>
        </w:rPr>
      </w:pPr>
    </w:p>
    <w:p>
      <w:pPr>
        <w:ind w:left="950" w:right="40" w:hanging="529"/>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refers to events that cannot be foreseen, avoided and overcome so that this Agreement cannot be executed in part or full. Such events include but are limited to earthquake, typhoon, flood, water disaster, war, strike, turmoil, governmental behavior, changes to legal regulations or their application.</w:t>
      </w:r>
    </w:p>
    <w:p>
      <w:pPr>
        <w:spacing w:after="0" w:line="85" w:lineRule="exact"/>
        <w:rPr>
          <w:rFonts w:ascii="Times New Roman" w:cs="Times New Roman" w:eastAsia="Times New Roman" w:hAnsi="Times New Roman"/>
          <w:sz w:val="18"/>
          <w:szCs w:val="18"/>
          <w:b w:val="1"/>
          <w:bCs w:val="1"/>
          <w:color w:val="auto"/>
        </w:rPr>
      </w:pPr>
    </w:p>
    <w:p>
      <w:pPr>
        <w:ind w:left="950" w:right="200" w:hanging="52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 In case of the occurrence of a force majeure event, a Party’s obligation that is being affected by force majeure shall be automatically suspended during the delay caused by force majeure, and the party’s period of implementation of this Agreement shall be automatically prolonged. The prolonged period is the period of the suspension, and the party shall not undertake responsibility and suffer from punishment for it. In case of force majeure, all parties shall instantly negotiate with each other to seek a fair solution and try to minimize effect of force majeure by exerting all reasonable efforts.</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Compensations</w:t>
      </w:r>
    </w:p>
    <w:p>
      <w:pPr>
        <w:spacing w:after="0" w:line="112" w:lineRule="exact"/>
        <w:rPr>
          <w:rFonts w:ascii="Times New Roman" w:cs="Times New Roman" w:eastAsia="Times New Roman" w:hAnsi="Times New Roman"/>
          <w:sz w:val="18"/>
          <w:szCs w:val="18"/>
          <w:b w:val="1"/>
          <w:bCs w:val="1"/>
          <w:color w:val="auto"/>
        </w:rPr>
      </w:pPr>
    </w:p>
    <w:p>
      <w:pPr>
        <w:jc w:val="both"/>
        <w:ind w:left="430" w:right="60"/>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With regard to any litigation and claim for compensation directed at Party A or any losses, damages, responsibilities or expenses incurred arising from the consultation and services provided by Party A pursuant to Party B’s requests, Party B shall compensate Party A so that Party A is free of damages unless such losses, damages, responsibilities or expenses are incurred due to party A’s grievous fault or intentional misconduct.</w:t>
      </w:r>
    </w:p>
    <w:p>
      <w:pPr>
        <w:spacing w:after="0" w:line="305"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5" w:lineRule="exact"/>
        <w:rPr>
          <w:rFonts w:ascii="Times New Roman" w:cs="Times New Roman" w:eastAsia="Times New Roman" w:hAnsi="Times New Roman"/>
          <w:sz w:val="18"/>
          <w:szCs w:val="18"/>
          <w:b w:val="1"/>
          <w:bCs w:val="1"/>
          <w:color w:val="auto"/>
        </w:rPr>
      </w:pPr>
    </w:p>
    <w:p>
      <w:pPr>
        <w:ind w:left="95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All notices and other communications required or permitted to be given pursuant to this Agreement shall be delivered personally or sent by registered mail, postage prepaid, by a commercial courier service or by facsimile transmission to the address of such parties set forth in Exhibit I. The date on which such notices shall be deemed to have been effectively given shall be determined as follows:</w:t>
      </w:r>
    </w:p>
    <w:p>
      <w:pPr>
        <w:spacing w:after="0" w:line="85" w:lineRule="exact"/>
        <w:rPr>
          <w:rFonts w:ascii="Times New Roman" w:cs="Times New Roman" w:eastAsia="Times New Roman" w:hAnsi="Times New Roman"/>
          <w:sz w:val="18"/>
          <w:szCs w:val="18"/>
          <w:b w:val="1"/>
          <w:bCs w:val="1"/>
          <w:color w:val="auto"/>
        </w:rPr>
      </w:pPr>
    </w:p>
    <w:p>
      <w:pPr>
        <w:ind w:left="1390" w:right="160" w:hanging="424"/>
        <w:spacing w:after="0" w:line="270" w:lineRule="auto"/>
        <w:tabs>
          <w:tab w:leader="none" w:pos="139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given by personal delivery, by courier service or by registered mail, postage prepaid, shall be deemed effectively delivered on the date of receipt or refusal at the address specified for notices.</w:t>
      </w:r>
    </w:p>
    <w:p>
      <w:pPr>
        <w:spacing w:after="0" w:line="76" w:lineRule="exact"/>
        <w:rPr>
          <w:rFonts w:ascii="Times New Roman" w:cs="Times New Roman" w:eastAsia="Times New Roman" w:hAnsi="Times New Roman"/>
          <w:sz w:val="18"/>
          <w:szCs w:val="18"/>
          <w:color w:val="auto"/>
        </w:rPr>
      </w:pPr>
    </w:p>
    <w:p>
      <w:pPr>
        <w:ind w:left="1390" w:right="400" w:hanging="424"/>
        <w:spacing w:after="0" w:line="270" w:lineRule="auto"/>
        <w:tabs>
          <w:tab w:leader="none" w:pos="139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given by facsimile transmission shall be deemed effectively delivered on the date of successful transmission (subject to transmission confirmation information automatically generated).</w:t>
      </w:r>
    </w:p>
    <w:p>
      <w:pPr>
        <w:spacing w:after="0" w:line="22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70"/>
          </w:cols>
          <w:pgMar w:left="550" w:top="264" w:right="579" w:bottom="1440" w:gutter="0" w:footer="0" w:header="0"/>
        </w:sectPr>
      </w:pPr>
    </w:p>
    <w:bookmarkStart w:id="350" w:name="page351"/>
    <w:bookmarkEnd w:id="350"/>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11.2</w:t>
      </w:r>
      <w:r>
        <w:rPr>
          <w:sz w:val="20"/>
          <w:szCs w:val="20"/>
          <w:color w:val="auto"/>
        </w:rPr>
        <w:tab/>
      </w:r>
      <w:r>
        <w:rPr>
          <w:rFonts w:ascii="Times New Roman" w:cs="Times New Roman" w:eastAsia="Times New Roman" w:hAnsi="Times New Roman"/>
          <w:sz w:val="17"/>
          <w:szCs w:val="17"/>
          <w:color w:val="auto"/>
        </w:rPr>
        <w:t>Any party can change the receiving address or fax number when notifying other parties in accordance with the article herein.</w:t>
      </w:r>
    </w:p>
    <w:p>
      <w:pPr>
        <w:spacing w:after="0" w:line="359" w:lineRule="exact"/>
        <w:rPr>
          <w:sz w:val="20"/>
          <w:szCs w:val="20"/>
          <w:color w:val="auto"/>
        </w:rPr>
      </w:pPr>
    </w:p>
    <w:p>
      <w:pPr>
        <w:ind w:left="430" w:hanging="430"/>
        <w:spacing w:after="0"/>
        <w:tabs>
          <w:tab w:leader="none" w:pos="43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   Without prior written consent of Party A, Party B shall not transfer the rights and obligations herein to any third party.</w:t>
      </w:r>
    </w:p>
    <w:p>
      <w:pPr>
        <w:spacing w:after="0" w:line="123" w:lineRule="exact"/>
        <w:rPr>
          <w:rFonts w:ascii="Times New Roman" w:cs="Times New Roman" w:eastAsia="Times New Roman" w:hAnsi="Times New Roman"/>
          <w:sz w:val="18"/>
          <w:szCs w:val="18"/>
          <w:b w:val="1"/>
          <w:bCs w:val="1"/>
          <w:color w:val="auto"/>
        </w:rPr>
      </w:pPr>
    </w:p>
    <w:p>
      <w:pPr>
        <w:ind w:left="950" w:right="38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 Party B agrees that Party A can notify Party B of transferring the rights and obligations herein to any third party in writing in advance without soliciting Party B’s consent.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that one or several of the terms of this Agreement are found to be invalid, illegal or unenforceable in any aspect in accordance with any laws or regulations, the validity, legality or enforceability of the remaining provisions of this Agreement shall not be affected or compromised in any respect. All parties shall strive for replacing such invalid, illegal or unenforceable terms with effective ones to the extent permitted by law and in accordance with the expectations of each party through friendly negotiation, and the economic effect of such effective terms shall be as close as possible to the that of those invalid, illegal or unenforceable terms.</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and Supplementation</w:t>
      </w:r>
    </w:p>
    <w:p>
      <w:pPr>
        <w:spacing w:after="0" w:line="125" w:lineRule="exact"/>
        <w:rPr>
          <w:rFonts w:ascii="Times New Roman" w:cs="Times New Roman" w:eastAsia="Times New Roman" w:hAnsi="Times New Roman"/>
          <w:sz w:val="18"/>
          <w:szCs w:val="18"/>
          <w:b w:val="1"/>
          <w:bCs w:val="1"/>
          <w:color w:val="auto"/>
        </w:rPr>
      </w:pPr>
    </w:p>
    <w:p>
      <w:pPr>
        <w:ind w:left="950" w:right="16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 Any revision and supplementation of this Agreement shall be made in writing. Any revision and supplementary agreement signed by the Parties relating to this Agreement shall be the inalienable part of this Agreement, having the same legal effect.</w:t>
      </w:r>
    </w:p>
    <w:p>
      <w:pPr>
        <w:spacing w:after="0" w:line="76" w:lineRule="exact"/>
        <w:rPr>
          <w:rFonts w:ascii="Times New Roman" w:cs="Times New Roman" w:eastAsia="Times New Roman" w:hAnsi="Times New Roman"/>
          <w:sz w:val="18"/>
          <w:szCs w:val="18"/>
          <w:b w:val="1"/>
          <w:bCs w:val="1"/>
          <w:color w:val="auto"/>
        </w:rPr>
      </w:pPr>
    </w:p>
    <w:p>
      <w:pPr>
        <w:ind w:left="950" w:right="36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 If revision of this Agreement is proposed by the Stock Exchange of Hong Kong Limited or other regulatory institutions, or is required according to securities listing regulations of the Stock Exchange of Hong Kong Limited or related regulations, rules and guiding requirements, this Agreement shall be revised by the Parties reasonably.</w:t>
      </w:r>
    </w:p>
    <w:p>
      <w:pPr>
        <w:spacing w:after="0" w:line="32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Text</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has two copies with one held by each Party, having the same legal effect.</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950" w:right="18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16.1 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w:t>
      </w:r>
    </w:p>
    <w:p>
      <w:pPr>
        <w:spacing w:after="0" w:line="35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50"/>
          </w:cols>
          <w:pgMar w:left="550" w:top="267" w:right="599" w:bottom="1440" w:gutter="0" w:footer="0" w:header="0"/>
        </w:sectPr>
      </w:pPr>
    </w:p>
    <w:bookmarkStart w:id="351" w:name="page352"/>
    <w:bookmarkEnd w:id="351"/>
    <w:p>
      <w:pPr>
        <w:spacing w:after="0"/>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16.2</w:t>
      </w:r>
      <w:r>
        <w:rPr>
          <w:sz w:val="20"/>
          <w:szCs w:val="20"/>
          <w:color w:val="auto"/>
        </w:rPr>
        <w:tab/>
      </w:r>
      <w:r>
        <w:rPr>
          <w:rFonts w:ascii="Times New Roman" w:cs="Times New Roman" w:eastAsia="Times New Roman" w:hAnsi="Times New Roman"/>
          <w:sz w:val="17"/>
          <w:szCs w:val="17"/>
          <w:color w:val="auto"/>
        </w:rPr>
        <w:t>This Agreement shall have binding force on successors of the Parties and their respective transferees who are approved by the Parties.</w:t>
      </w:r>
    </w:p>
    <w:p>
      <w:pPr>
        <w:spacing w:after="0" w:line="124" w:lineRule="exact"/>
        <w:rPr>
          <w:sz w:val="20"/>
          <w:szCs w:val="20"/>
          <w:color w:val="auto"/>
        </w:rPr>
      </w:pPr>
    </w:p>
    <w:p>
      <w:pPr>
        <w:jc w:val="both"/>
        <w:ind w:left="520" w:hanging="528"/>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16.3</w:t>
        <w:tab/>
        <w:t>Any Party may waive the rights of this Agreement,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86" w:lineRule="exact"/>
        <w:rPr>
          <w:sz w:val="20"/>
          <w:szCs w:val="20"/>
          <w:color w:val="auto"/>
        </w:rPr>
      </w:pPr>
    </w:p>
    <w:p>
      <w:pPr>
        <w:ind w:left="520" w:right="44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16.4</w:t>
        <w:tab/>
        <w:t>The titles of this Agreement are for convenience in reading only, and shall not be used to interpret, explain or influence the meanings regulated herein.</w:t>
      </w:r>
    </w:p>
    <w:p>
      <w:pPr>
        <w:spacing w:after="0" w:line="16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3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340"/>
          </w:cols>
          <w:pgMar w:left="980" w:top="266" w:right="57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Business Cooperation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Exclusive Business Cooperation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Jingxundi Supply Chain Technology Co.,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 Jingxundi Supply Chain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616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3">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Jingxundi Supply Chain Technology Co., Ltd.)</w:t>
      </w:r>
    </w:p>
    <w:p>
      <w:pPr>
        <w:sectPr>
          <w:pgSz w:w="11900" w:h="16838" w:orient="portrait"/>
          <w:cols w:equalWidth="0" w:num="1">
            <w:col w:w="10260"/>
          </w:cols>
          <w:pgMar w:left="560" w:top="266" w:right="107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Business Cooperation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Exclusive Business Cooperation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Jingdong Xincheng Information Technology Co.,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 Jingdong Xincheng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140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5">
                      <a:extLst>
                        <a:ext uri="{28A0092B-C50C-407E-A947-70E740481C1C}"/>
                      </a:extLst>
                    </a:blip>
                    <a:srcRect/>
                    <a:stretch>
                      <a:fillRect/>
                    </a:stretch>
                  </pic:blipFill>
                  <pic:spPr bwMode="auto">
                    <a:xfrm>
                      <a:off x="0" y="0"/>
                      <a:ext cx="311404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Jingdong Xincheng Information Technology Co., Ltd.)</w:t>
      </w:r>
    </w:p>
    <w:p>
      <w:pPr>
        <w:sectPr>
          <w:pgSz w:w="11900" w:h="16838" w:orient="portrait"/>
          <w:cols w:equalWidth="0" w:num="1">
            <w:col w:w="10260"/>
          </w:cols>
          <w:pgMar w:left="560" w:top="266" w:right="1079" w:bottom="1440" w:gutter="0" w:footer="0" w:header="0"/>
        </w:sectPr>
      </w:pPr>
    </w:p>
    <w:bookmarkStart w:id="354" w:name="page355"/>
    <w:bookmarkEnd w:id="354"/>
    <w:p>
      <w:pPr>
        <w:jc w:val="right"/>
        <w:ind w:right="41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I</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notification, the Parties’ specific address is as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Xi’an Jingxundi Supply Chain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Xi’an Jingdong Xincheng Information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ectPr>
          <w:pgSz w:w="11900" w:h="16838" w:orient="portrait"/>
          <w:cols w:equalWidth="0" w:num="1">
            <w:col w:w="9899"/>
          </w:cols>
          <w:pgMar w:left="560" w:top="266" w:right="1440"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exclusive business cooperation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442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7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Execution Date</w:t>
            </w:r>
          </w:p>
        </w:tc>
      </w:tr>
      <w:tr>
        <w:trPr>
          <w:trHeight w:val="222"/>
        </w:trPr>
        <w:tc>
          <w:tcPr>
            <w:tcW w:w="20" w:type="dxa"/>
            <w:vAlign w:val="bottom"/>
          </w:tcPr>
          <w:p>
            <w:pPr>
              <w:spacing w:after="0"/>
              <w:rPr>
                <w:sz w:val="19"/>
                <w:szCs w:val="19"/>
                <w:color w:val="auto"/>
              </w:rPr>
            </w:pPr>
          </w:p>
        </w:tc>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Suqian Jingdong Tianning Jiankang Technology Co., Ltd.</w:t>
            </w:r>
          </w:p>
        </w:tc>
        <w:tc>
          <w:tcPr>
            <w:tcW w:w="120" w:type="dxa"/>
            <w:vAlign w:val="bottom"/>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Party A: Beijing Jingdong Jiankang Co., Ltd.</w:t>
            </w:r>
          </w:p>
        </w:tc>
        <w:tc>
          <w:tcPr>
            <w:tcW w:w="10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26, 2026</w:t>
            </w:r>
          </w:p>
        </w:tc>
      </w:tr>
      <w:tr>
        <w:trPr>
          <w:trHeight w:val="29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B: Suqian Jingdong Tianning Jiankang Technology</w:t>
            </w:r>
          </w:p>
        </w:tc>
        <w:tc>
          <w:tcPr>
            <w:tcW w:w="172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w:t>
            </w:r>
          </w:p>
        </w:tc>
        <w:tc>
          <w:tcPr>
            <w:tcW w:w="1720" w:type="dxa"/>
            <w:vAlign w:val="bottom"/>
          </w:tcPr>
          <w:p>
            <w:pPr>
              <w:spacing w:after="0"/>
              <w:rPr>
                <w:sz w:val="19"/>
                <w:szCs w:val="19"/>
                <w:color w:val="auto"/>
              </w:rPr>
            </w:pPr>
          </w:p>
        </w:tc>
      </w:tr>
      <w:tr>
        <w:trPr>
          <w:trHeight w:val="330"/>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Guangdong Jingxi Logistics Technology Co., Ltd.</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A: Jingdong Logistics Supply Chain Co., Ltd.</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r>
      <w:tr>
        <w:trPr>
          <w:trHeight w:val="330"/>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 B: Guangdong Jingxi Logistics Technology Co., Ltd.</w:t>
            </w:r>
          </w:p>
        </w:tc>
        <w:tc>
          <w:tcPr>
            <w:tcW w:w="1720" w:type="dxa"/>
            <w:vAlign w:val="bottom"/>
          </w:tcPr>
          <w:p>
            <w:pPr>
              <w:spacing w:after="0"/>
              <w:rPr>
                <w:sz w:val="24"/>
                <w:szCs w:val="24"/>
                <w:color w:val="auto"/>
              </w:rPr>
            </w:pPr>
          </w:p>
        </w:tc>
      </w:tr>
    </w:tbl>
    <w:p>
      <w:pPr>
        <w:sectPr>
          <w:pgSz w:w="11900" w:h="16838" w:orient="portrait"/>
          <w:cols w:equalWidth="0" w:num="1">
            <w:col w:w="10780"/>
          </w:cols>
          <w:pgMar w:left="560" w:top="264" w:right="55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8"/>
          <w:szCs w:val="18"/>
          <w:b w:val="1"/>
          <w:bCs w:val="1"/>
          <w:color w:val="auto"/>
        </w:rPr>
        <w:t>Exhibit 4.17</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Exclusive Option Agreement</w:t>
      </w:r>
    </w:p>
    <w:p>
      <w:pPr>
        <w:spacing w:after="0" w:line="216" w:lineRule="exact"/>
        <w:rPr>
          <w:sz w:val="20"/>
          <w:szCs w:val="20"/>
          <w:color w:val="auto"/>
        </w:rPr>
      </w:pPr>
    </w:p>
    <w:p>
      <w:pPr>
        <w:ind w:left="10" w:right="180"/>
        <w:spacing w:after="0" w:line="273" w:lineRule="auto"/>
        <w:rPr>
          <w:sz w:val="20"/>
          <w:szCs w:val="20"/>
          <w:color w:val="auto"/>
        </w:rPr>
      </w:pPr>
      <w:r>
        <w:rPr>
          <w:rFonts w:ascii="Times New Roman" w:cs="Times New Roman" w:eastAsia="Times New Roman" w:hAnsi="Times New Roman"/>
          <w:sz w:val="18"/>
          <w:szCs w:val="18"/>
          <w:color w:val="auto"/>
        </w:rPr>
        <w:t>This Exclusive Option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executed by and among the following Parties on September 16, 2022 in Beijing,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70" w:right="60" w:hanging="872"/>
        <w:spacing w:after="0" w:line="259" w:lineRule="auto"/>
        <w:tabs>
          <w:tab w:leader="none" w:pos="849" w:val="left"/>
        </w:tabs>
        <w:rPr>
          <w:sz w:val="20"/>
          <w:szCs w:val="20"/>
          <w:color w:val="auto"/>
        </w:rPr>
      </w:pPr>
      <w:r>
        <w:rPr>
          <w:rFonts w:ascii="Times New Roman" w:cs="Times New Roman" w:eastAsia="Times New Roman" w:hAnsi="Times New Roman"/>
          <w:sz w:val="18"/>
          <w:szCs w:val="18"/>
          <w:b w:val="1"/>
          <w:bCs w:val="1"/>
          <w:color w:val="auto"/>
        </w:rPr>
        <w:t>Party A:</w:t>
        <w:tab/>
        <w:t>Xi’an Jingxundi Supply Chain Technology Co., Ltd.</w:t>
      </w:r>
      <w:r>
        <w:rPr>
          <w:rFonts w:ascii="Times New Roman" w:cs="Times New Roman" w:eastAsia="Times New Roman" w:hAnsi="Times New Roman"/>
          <w:sz w:val="18"/>
          <w:szCs w:val="18"/>
          <w:color w:val="auto"/>
        </w:rPr>
        <w:t>, a limited liability company, organized and existing under the laws of the PRC,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address at Building 5, SkyCity Central Square, East Chang’An Street No.666, National Civil Space Industrial Base, Xi’an, Shaanxi, China.</w:t>
      </w:r>
    </w:p>
    <w:p>
      <w:pPr>
        <w:spacing w:after="0" w:line="70"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 xml:space="preserve">Qin Miao, </w:t>
      </w:r>
      <w:r>
        <w:rPr>
          <w:rFonts w:ascii="Times New Roman" w:cs="Times New Roman" w:eastAsia="Times New Roman" w:hAnsi="Times New Roman"/>
          <w:sz w:val="17"/>
          <w:szCs w:val="17"/>
          <w:color w:val="auto"/>
        </w:rPr>
        <w:t>Chinese Identification No. ***;</w:t>
      </w:r>
    </w:p>
    <w:p>
      <w:pPr>
        <w:spacing w:after="0" w:line="2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8"/>
          <w:szCs w:val="18"/>
          <w:b w:val="1"/>
          <w:bCs w:val="1"/>
          <w:color w:val="auto"/>
        </w:rPr>
        <w:t xml:space="preserve">Yayun Li, </w:t>
      </w:r>
      <w:r>
        <w:rPr>
          <w:rFonts w:ascii="Times New Roman" w:cs="Times New Roman" w:eastAsia="Times New Roman" w:hAnsi="Times New Roman"/>
          <w:sz w:val="18"/>
          <w:szCs w:val="18"/>
          <w:color w:val="auto"/>
        </w:rPr>
        <w:t>Chinese Identification No. ***;</w:t>
      </w:r>
    </w:p>
    <w:p>
      <w:pPr>
        <w:spacing w:after="0" w:line="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8"/>
          <w:szCs w:val="18"/>
          <w:b w:val="1"/>
          <w:bCs w:val="1"/>
          <w:color w:val="auto"/>
        </w:rPr>
        <w:t xml:space="preserve">Pang Zhang, </w:t>
      </w:r>
      <w:r>
        <w:rPr>
          <w:rFonts w:ascii="Times New Roman" w:cs="Times New Roman" w:eastAsia="Times New Roman" w:hAnsi="Times New Roman"/>
          <w:sz w:val="18"/>
          <w:szCs w:val="18"/>
          <w:color w:val="auto"/>
        </w:rPr>
        <w:t>Chinese Identification No. ***.</w:t>
      </w:r>
    </w:p>
    <w:p>
      <w:pPr>
        <w:spacing w:after="0" w:line="104" w:lineRule="exact"/>
        <w:rPr>
          <w:sz w:val="20"/>
          <w:szCs w:val="20"/>
          <w:color w:val="auto"/>
        </w:rPr>
      </w:pPr>
    </w:p>
    <w:p>
      <w:pPr>
        <w:jc w:val="center"/>
        <w:ind w:right="11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Party C:   Xi’an Jingdong Xincheng Information Technology Co., Ltd., </w:t>
      </w:r>
      <w:r>
        <w:rPr>
          <w:rFonts w:ascii="Times New Roman" w:cs="Times New Roman" w:eastAsia="Times New Roman" w:hAnsi="Times New Roman"/>
          <w:sz w:val="18"/>
          <w:szCs w:val="18"/>
          <w:color w:val="auto"/>
        </w:rPr>
        <w:t>a limited liability company organized and existing under the laws of PRC,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address at Building 5, SkyCity Central Square, East Chang’An Street No.666, Aerospace Base, Xi’an, Shaanxi, China</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this Agreement, each of Party A, Party B and Party C shall be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respectively, and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collectively.</w:t>
      </w:r>
    </w:p>
    <w:p>
      <w:pPr>
        <w:spacing w:after="0" w:line="3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hanging="430"/>
        <w:spacing w:after="0"/>
        <w:tabs>
          <w:tab w:leader="none" w:pos="43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holds 100% of the equity interests of Party C collectively;</w:t>
      </w:r>
    </w:p>
    <w:p>
      <w:pPr>
        <w:spacing w:after="0" w:line="122" w:lineRule="exact"/>
        <w:rPr>
          <w:sz w:val="20"/>
          <w:szCs w:val="20"/>
          <w:color w:val="auto"/>
        </w:rPr>
      </w:pPr>
    </w:p>
    <w:p>
      <w:pPr>
        <w:ind w:left="430" w:right="60" w:hanging="430"/>
        <w:spacing w:after="0" w:line="259" w:lineRule="auto"/>
        <w:tabs>
          <w:tab w:leader="none" w:pos="43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company wholly and directly held by JD Logistics Holding Limited (a company registered under the laws of Hong Kong) (the “</w:t>
      </w:r>
      <w:r>
        <w:rPr>
          <w:rFonts w:ascii="Times New Roman" w:cs="Times New Roman" w:eastAsia="Times New Roman" w:hAnsi="Times New Roman"/>
          <w:sz w:val="18"/>
          <w:szCs w:val="18"/>
          <w:b w:val="1"/>
          <w:bCs w:val="1"/>
          <w:color w:val="auto"/>
        </w:rPr>
        <w:t>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Kong Company</w:t>
      </w:r>
      <w:r>
        <w:rPr>
          <w:rFonts w:ascii="Times New Roman" w:cs="Times New Roman" w:eastAsia="Times New Roman" w:hAnsi="Times New Roman"/>
          <w:sz w:val="18"/>
          <w:szCs w:val="18"/>
          <w:color w:val="auto"/>
        </w:rPr>
        <w:t>”), and the Hong Kong Company is wholly and directly held by JD Logistics, Inc. (a company registered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(the “</w:t>
      </w:r>
      <w:r>
        <w:rPr>
          <w:rFonts w:ascii="Times New Roman" w:cs="Times New Roman" w:eastAsia="Times New Roman" w:hAnsi="Times New Roman"/>
          <w:sz w:val="18"/>
          <w:szCs w:val="18"/>
          <w:b w:val="1"/>
          <w:bCs w:val="1"/>
          <w:color w:val="auto"/>
        </w:rPr>
        <w:t>Cayman Company</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430" w:right="40" w:hanging="430"/>
        <w:spacing w:after="0" w:line="270" w:lineRule="auto"/>
        <w:tabs>
          <w:tab w:leader="none" w:pos="43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and Party C are respectively inclined to grant Party A (or the designated party by Party A) an irrevocable and exclusive option to purchase all or part of the equity interests and assets of Party C held by Party B;</w:t>
      </w:r>
    </w:p>
    <w:p>
      <w:pPr>
        <w:spacing w:after="0" w:line="76" w:lineRule="exact"/>
        <w:rPr>
          <w:sz w:val="20"/>
          <w:szCs w:val="20"/>
          <w:color w:val="auto"/>
        </w:rPr>
      </w:pPr>
    </w:p>
    <w:p>
      <w:pPr>
        <w:ind w:left="430" w:hanging="430"/>
        <w:spacing w:after="0"/>
        <w:tabs>
          <w:tab w:leader="none" w:pos="43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Party A, Party B and Party C intend to execute this Agreement for the purpose that Party B and Party C grants Party A an exclusive option right.</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through mutual discussion and negotiation, the Parties have reached the following agreements:</w:t>
      </w:r>
    </w:p>
    <w:p>
      <w:pPr>
        <w:spacing w:after="0" w:line="122" w:lineRule="exact"/>
        <w:rPr>
          <w:sz w:val="20"/>
          <w:szCs w:val="20"/>
          <w:color w:val="auto"/>
        </w:rPr>
      </w:pPr>
    </w:p>
    <w:p>
      <w:pPr>
        <w:ind w:left="430" w:hanging="430"/>
        <w:spacing w:after="0"/>
        <w:tabs>
          <w:tab w:leader="none" w:pos="43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and Purchase of Equity Interest and Assets</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Option Granted</w:t>
      </w:r>
    </w:p>
    <w:p>
      <w:pPr>
        <w:spacing w:after="0" w:line="3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9" w:right="559" w:bottom="1440" w:gutter="0" w:footer="0" w:header="0"/>
        </w:sectPr>
      </w:pPr>
    </w:p>
    <w:bookmarkStart w:id="357" w:name="page358"/>
    <w:bookmarkEnd w:id="357"/>
    <w:p>
      <w:pPr>
        <w:ind w:left="42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Party B hereby severally, but not jointly agrees to grant Party A an irrevocable and exclusive right to purchase, or designate one or more persons (the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shall be the Cayman Company or any subsidiaries directly or indirectly controlled by it) to purchase the equity interests in Party C that held by Party B, once or at multiple times at any time in part or in whole and at the price set forth in Article 1.3 hereof in accordance with the procedure promulgated by Party A in Party A’s sole and absolute discretion to the extent permitted by the PRC laws (including any laws, administrative regulations, rules, notifications, interpretations or other binding documents issued by any central or local legislative, executive or judicial authority before or after the signing of this Agreement, the “</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 within the term of this agreement (the “</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Right</w:t>
      </w:r>
      <w:r>
        <w:rPr>
          <w:rFonts w:ascii="Times New Roman" w:cs="Times New Roman" w:eastAsia="Times New Roman" w:hAnsi="Times New Roman"/>
          <w:sz w:val="18"/>
          <w:szCs w:val="18"/>
          <w:color w:val="auto"/>
        </w:rPr>
        <w:t>”). Party C hereby agrees the grant by Party B of the Equity Interest Purchase Right to Party A. Party C hereby agrees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 an irrevocable and exclusive right to purchase, or designate the Designee to purchase a portion or whole of the asset of Party C from Party C, once or at multiple times at any time, and at the price set forth in Article 1.3 hereof in accordance with the procedure promulgated by Party A in Party A’s sole and absolute discretion to the extent permitted by the PRC laws within the term of this agreement (the “</w:t>
      </w:r>
      <w:r>
        <w:rPr>
          <w:rFonts w:ascii="Times New Roman" w:cs="Times New Roman" w:eastAsia="Times New Roman" w:hAnsi="Times New Roman"/>
          <w:sz w:val="18"/>
          <w:szCs w:val="18"/>
          <w:b w:val="1"/>
          <w:bCs w:val="1"/>
          <w:color w:val="auto"/>
        </w:rPr>
        <w:t>Asset Purchase Right</w:t>
      </w:r>
      <w:r>
        <w:rPr>
          <w:rFonts w:ascii="Times New Roman" w:cs="Times New Roman" w:eastAsia="Times New Roman" w:hAnsi="Times New Roman"/>
          <w:sz w:val="18"/>
          <w:szCs w:val="18"/>
          <w:color w:val="auto"/>
        </w:rPr>
        <w:t>”, and together with the Equity Interest Purchase Right referred to as the “</w:t>
      </w:r>
      <w:r>
        <w:rPr>
          <w:rFonts w:ascii="Times New Roman" w:cs="Times New Roman" w:eastAsia="Times New Roman" w:hAnsi="Times New Roman"/>
          <w:sz w:val="18"/>
          <w:szCs w:val="18"/>
          <w:b w:val="1"/>
          <w:bCs w:val="1"/>
          <w:color w:val="auto"/>
        </w:rPr>
        <w:t>Purchase Right</w:t>
      </w:r>
      <w:r>
        <w:rPr>
          <w:rFonts w:ascii="Times New Roman" w:cs="Times New Roman" w:eastAsia="Times New Roman" w:hAnsi="Times New Roman"/>
          <w:sz w:val="18"/>
          <w:szCs w:val="18"/>
          <w:color w:val="auto"/>
        </w:rPr>
        <w:t>”). Party B hereby agrees the grant by Party C of the Asset Purchase Right to Party A. Except for Party A and the Designee, no other third party shall be entitled to the Purchase Right or other rights with respect to the equity interests held by Party B and assets of Party C.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as used herein shall refer to individuals, corporations, joint ventures, partnerships, enterprises, trusts or non-corporate organizations.</w:t>
      </w:r>
    </w:p>
    <w:p>
      <w:pPr>
        <w:spacing w:after="0" w:line="9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Steps for Exercise of the Purchase Right</w:t>
      </w:r>
    </w:p>
    <w:p>
      <w:pPr>
        <w:spacing w:after="0" w:line="110" w:lineRule="exact"/>
        <w:rPr>
          <w:sz w:val="20"/>
          <w:szCs w:val="20"/>
          <w:color w:val="auto"/>
        </w:rPr>
      </w:pPr>
    </w:p>
    <w:p>
      <w:pPr>
        <w:ind w:left="420" w:right="20"/>
        <w:spacing w:after="0" w:line="265" w:lineRule="auto"/>
        <w:rPr>
          <w:sz w:val="20"/>
          <w:szCs w:val="20"/>
          <w:color w:val="auto"/>
        </w:rPr>
      </w:pPr>
      <w:r>
        <w:rPr>
          <w:rFonts w:ascii="Times New Roman" w:cs="Times New Roman" w:eastAsia="Times New Roman" w:hAnsi="Times New Roman"/>
          <w:sz w:val="17"/>
          <w:szCs w:val="17"/>
          <w:color w:val="auto"/>
        </w:rPr>
        <w:t>The exercise of the Purchase Right by Party A shall subject to the provisions of the PRC laws. Party A may exercise the Purchase Right according to Article 1.1 by issuing a written notice to Party B and\or Party C (the “</w:t>
      </w:r>
      <w:r>
        <w:rPr>
          <w:rFonts w:ascii="Times New Roman" w:cs="Times New Roman" w:eastAsia="Times New Roman" w:hAnsi="Times New Roman"/>
          <w:sz w:val="17"/>
          <w:szCs w:val="17"/>
          <w:b w:val="1"/>
          <w:bCs w:val="1"/>
          <w:color w:val="auto"/>
        </w:rPr>
        <w:t>Equity Interest Purchase Notice</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Asset Purchase Notice</w:t>
      </w:r>
      <w:r>
        <w:rPr>
          <w:rFonts w:ascii="Times New Roman" w:cs="Times New Roman" w:eastAsia="Times New Roman" w:hAnsi="Times New Roman"/>
          <w:sz w:val="17"/>
          <w:szCs w:val="17"/>
          <w:color w:val="auto"/>
        </w:rPr>
        <w:t>”), specifying: (a) Party A’s decision to exercise the Purchase Right; (b) the equity interests to be purchased by Party A and\or the Designee from Party B (the “</w:t>
      </w:r>
      <w:r>
        <w:rPr>
          <w:rFonts w:ascii="Times New Roman" w:cs="Times New Roman" w:eastAsia="Times New Roman" w:hAnsi="Times New Roman"/>
          <w:sz w:val="17"/>
          <w:szCs w:val="17"/>
          <w:b w:val="1"/>
          <w:bCs w:val="1"/>
          <w:color w:val="auto"/>
        </w:rPr>
        <w:t>Purchased Interests</w:t>
      </w:r>
      <w:r>
        <w:rPr>
          <w:rFonts w:ascii="Times New Roman" w:cs="Times New Roman" w:eastAsia="Times New Roman" w:hAnsi="Times New Roman"/>
          <w:sz w:val="17"/>
          <w:szCs w:val="17"/>
          <w:color w:val="auto"/>
        </w:rPr>
        <w:t>”) and/or the asset to be purchased by Party A and\or the Designee from Party C (the “</w:t>
      </w:r>
      <w:r>
        <w:rPr>
          <w:rFonts w:ascii="Times New Roman" w:cs="Times New Roman" w:eastAsia="Times New Roman" w:hAnsi="Times New Roman"/>
          <w:sz w:val="17"/>
          <w:szCs w:val="17"/>
          <w:b w:val="1"/>
          <w:bCs w:val="1"/>
          <w:color w:val="auto"/>
        </w:rPr>
        <w:t>Purchased Asset</w:t>
      </w:r>
      <w:r>
        <w:rPr>
          <w:rFonts w:ascii="Times New Roman" w:cs="Times New Roman" w:eastAsia="Times New Roman" w:hAnsi="Times New Roman"/>
          <w:sz w:val="17"/>
          <w:szCs w:val="17"/>
          <w:color w:val="auto"/>
        </w:rPr>
        <w:t>”) ; and</w:t>
      </w:r>
    </w:p>
    <w:p>
      <w:pPr>
        <w:jc w:val="both"/>
        <w:ind w:left="420" w:right="200" w:firstLine="2"/>
        <w:spacing w:after="0" w:line="247" w:lineRule="auto"/>
        <w:tabs>
          <w:tab w:leader="none" w:pos="6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date or transfer date of the Purchased Interests and/or the Purchased Asset. After receiving the Equity Interest Purchase Notice and/or the Asset Purchase Notice, Party B and/or Party C shall transfer the Purchased Interests and/or the Purchased Asset to Party A and/or the Designee according to the notice through the way specified in article 1.4 herein.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60" w:top="266" w:right="579" w:bottom="1440" w:gutter="0" w:footer="0" w:header="0"/>
        </w:sectPr>
      </w:pPr>
    </w:p>
    <w:bookmarkStart w:id="358" w:name="page359"/>
    <w:bookmarkEnd w:id="358"/>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color w:val="auto"/>
        </w:rPr>
        <w:t>Purchase Price and Payment</w:t>
      </w:r>
    </w:p>
    <w:p>
      <w:pPr>
        <w:spacing w:after="0" w:line="108" w:lineRule="exact"/>
        <w:rPr>
          <w:sz w:val="20"/>
          <w:szCs w:val="20"/>
          <w:color w:val="auto"/>
        </w:rPr>
      </w:pPr>
    </w:p>
    <w:p>
      <w:pPr>
        <w:ind w:left="420" w:right="80"/>
        <w:spacing w:after="0" w:line="266" w:lineRule="auto"/>
        <w:rPr>
          <w:sz w:val="20"/>
          <w:szCs w:val="20"/>
          <w:color w:val="auto"/>
        </w:rPr>
      </w:pPr>
      <w:r>
        <w:rPr>
          <w:rFonts w:ascii="Times New Roman" w:cs="Times New Roman" w:eastAsia="Times New Roman" w:hAnsi="Times New Roman"/>
          <w:sz w:val="17"/>
          <w:szCs w:val="17"/>
          <w:color w:val="auto"/>
        </w:rPr>
        <w:t>The total purchase price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for the purchased interest and/or asset shall be the nominal price when Party A exercises the Purchase Right, however, if the relevant governmental department or the PRC laws require that the Purchase Price be different from the nominal price, then the Purchase Price shall be the lowest price meeting such requirements. Notwithstanding, to the extent permitted by the PRC laws, the Purchase Price Party A and/or the Designee paid to Party B and/or Party C shall be returned by Party B and/or Party C to Party A and/or the Designee (but the tax (if applicable) is withheld and deducted from the Purchase Price). After necessary tax is withheld and deducted for the Purchase Price in accordance with the PRC laws, the Purchase Price shall be paid to the designated account of Party B and/or Party C within 7(seven) days from the date when the Purchased Shares and/or the Purchased Asset is officially transferred to Party A and/or the Designee.</w:t>
      </w:r>
    </w:p>
    <w:p>
      <w:pPr>
        <w:spacing w:after="0" w:line="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Transfer of the Purchased Interests and/or the Purchased Asset</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each exercise of the Purchase Right:</w:t>
      </w:r>
    </w:p>
    <w:p>
      <w:pPr>
        <w:spacing w:after="0" w:line="124" w:lineRule="exact"/>
        <w:rPr>
          <w:sz w:val="20"/>
          <w:szCs w:val="20"/>
          <w:color w:val="auto"/>
        </w:rPr>
      </w:pPr>
    </w:p>
    <w:p>
      <w:pPr>
        <w:ind w:left="940" w:right="6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1.4.1</w:t>
        <w:tab/>
        <w:t>Party B shall cause Party C to promptly convene a shareholders’ meeting, at which a resolution shall be adopted approving Party B and/or Party C’s transfer of the Purchased Interests and/or the Purchased Asset;</w:t>
      </w:r>
    </w:p>
    <w:p>
      <w:pPr>
        <w:spacing w:after="0" w:line="76" w:lineRule="exact"/>
        <w:rPr>
          <w:sz w:val="20"/>
          <w:szCs w:val="20"/>
          <w:color w:val="auto"/>
        </w:rPr>
      </w:pPr>
    </w:p>
    <w:p>
      <w:pPr>
        <w:jc w:val="both"/>
        <w:ind w:left="940" w:right="280" w:hanging="528"/>
        <w:spacing w:after="0" w:line="258" w:lineRule="auto"/>
        <w:tabs>
          <w:tab w:leader="none" w:pos="920" w:val="left"/>
        </w:tabs>
        <w:rPr>
          <w:sz w:val="20"/>
          <w:szCs w:val="20"/>
          <w:color w:val="auto"/>
        </w:rPr>
      </w:pPr>
      <w:r>
        <w:rPr>
          <w:rFonts w:ascii="Times New Roman" w:cs="Times New Roman" w:eastAsia="Times New Roman" w:hAnsi="Times New Roman"/>
          <w:sz w:val="18"/>
          <w:szCs w:val="18"/>
          <w:color w:val="auto"/>
        </w:rPr>
        <w:t>1.4.2</w:t>
        <w:tab/>
        <w:t>Party B and/or Party C shall execute an equity interest transfer contract and/or an asset transfer contract, and any other documents with respect to each transfer with Party A and/or the Designee (if applicable) , in accordance with the provisions of this Agreement and the Equity Interest Purchase Notice and/or the Asset Purchase Notice;</w:t>
      </w:r>
    </w:p>
    <w:p>
      <w:pPr>
        <w:spacing w:after="0" w:line="86" w:lineRule="exact"/>
        <w:rPr>
          <w:sz w:val="20"/>
          <w:szCs w:val="20"/>
          <w:color w:val="auto"/>
        </w:rPr>
      </w:pPr>
    </w:p>
    <w:p>
      <w:pPr>
        <w:ind w:left="940" w:hanging="528"/>
        <w:spacing w:after="0" w:line="246" w:lineRule="auto"/>
        <w:tabs>
          <w:tab w:leader="none" w:pos="920" w:val="left"/>
        </w:tabs>
        <w:rPr>
          <w:sz w:val="20"/>
          <w:szCs w:val="20"/>
          <w:color w:val="auto"/>
        </w:rPr>
      </w:pPr>
      <w:r>
        <w:rPr>
          <w:rFonts w:ascii="Times New Roman" w:cs="Times New Roman" w:eastAsia="Times New Roman" w:hAnsi="Times New Roman"/>
          <w:sz w:val="18"/>
          <w:szCs w:val="18"/>
          <w:color w:val="auto"/>
        </w:rPr>
        <w:t>1.4.3</w:t>
        <w:tab/>
        <w:t>The relevant Parties shall execute all other necessary contracts, agreements or documents (including but not limited to the Articles of Association, the joint venture Contract and its amendment of Party C), obtain all necessary internal approval and authorization, government approvals, licenses and permits (including but not limited to Party C’s business license) and take all necessary measures to transfer the valid ownership of the Purchased Interests and/or the Purchased Asset to Party A and/or the Designee, unencumbered by any security interests, and cause Party A and/or the Designee to become the registered owner(s) of the Purchased Interests (subject to the completion of corresponding industrial and commercial registration and the filing of the commercial department (if applicable))and/or the owner of the Purchased Asset. For the purpose of this Section and this Agreement, “</w:t>
      </w:r>
      <w:r>
        <w:rPr>
          <w:rFonts w:ascii="Times New Roman" w:cs="Times New Roman" w:eastAsia="Times New Roman" w:hAnsi="Times New Roman"/>
          <w:sz w:val="18"/>
          <w:szCs w:val="18"/>
          <w:b w:val="1"/>
          <w:bCs w:val="1"/>
          <w:color w:val="auto"/>
        </w:rPr>
        <w:t>security interests</w:t>
      </w:r>
      <w:r>
        <w:rPr>
          <w:rFonts w:ascii="Times New Roman" w:cs="Times New Roman" w:eastAsia="Times New Roman" w:hAnsi="Times New Roman"/>
          <w:sz w:val="18"/>
          <w:szCs w:val="18"/>
          <w:color w:val="auto"/>
        </w:rPr>
        <w:t>” shall include securities, mortgages, third party’s rights or interests, any stock options, acquisition rights, rights of first refusal, rights to offset, ownership retention or other security arrangements, but shall be deemed to exclude any security interest created by this Agreement, the Equity Interest Pledge Agreement or any other transaction documents (as defined in the Equity Interest Pledge Agreement). The “</w:t>
      </w:r>
      <w:r>
        <w:rPr>
          <w:rFonts w:ascii="Times New Roman" w:cs="Times New Roman" w:eastAsia="Times New Roman" w:hAnsi="Times New Roman"/>
          <w:sz w:val="18"/>
          <w:szCs w:val="18"/>
          <w:b w:val="1"/>
          <w:bCs w:val="1"/>
          <w:color w:val="auto"/>
        </w:rPr>
        <w:t>Equity Interest Pledge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used in this Section and this Agreement shall refer to the Equity Interest Pledge Agreement (as amended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executed by and among Party A, Party B and Party C on the date hereof. Under the Equity Interest Pledge Agreement, Party B may, in order to guarantee party C to fulfill its obligations under the Exclusive Business Cooperation Agreement executed between party C and party A on the date hereof (as amended from time to time, the “</w:t>
      </w:r>
      <w:r>
        <w:rPr>
          <w:rFonts w:ascii="Times New Roman" w:cs="Times New Roman" w:eastAsia="Times New Roman" w:hAnsi="Times New Roman"/>
          <w:sz w:val="18"/>
          <w:szCs w:val="18"/>
          <w:b w:val="1"/>
          <w:bCs w:val="1"/>
          <w:color w:val="auto"/>
        </w:rPr>
        <w:t>Business Cooperation Agreement</w:t>
      </w:r>
      <w:r>
        <w:rPr>
          <w:rFonts w:ascii="Times New Roman" w:cs="Times New Roman" w:eastAsia="Times New Roman" w:hAnsi="Times New Roman"/>
          <w:sz w:val="18"/>
          <w:szCs w:val="18"/>
          <w:color w:val="auto"/>
        </w:rPr>
        <w:t>”), the Loan Agreement executed between Party A and Party B on the date hereof (as amended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the Shareholder Voting Rights Entrustment Agreement executed among the Parties on the date hereof (as amended from time to time, the “</w:t>
      </w:r>
      <w:r>
        <w:rPr>
          <w:rFonts w:ascii="Times New Roman" w:cs="Times New Roman" w:eastAsia="Times New Roman" w:hAnsi="Times New Roman"/>
          <w:sz w:val="18"/>
          <w:szCs w:val="18"/>
          <w:b w:val="1"/>
          <w:bCs w:val="1"/>
          <w:color w:val="auto"/>
        </w:rPr>
        <w:t>Shareholder Voting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Entrustment Agreement</w:t>
      </w:r>
      <w:r>
        <w:rPr>
          <w:rFonts w:ascii="Times New Roman" w:cs="Times New Roman" w:eastAsia="Times New Roman" w:hAnsi="Times New Roman"/>
          <w:sz w:val="18"/>
          <w:szCs w:val="18"/>
          <w:color w:val="auto"/>
        </w:rPr>
        <w:t>”), the Power of Attorney(if any)(as amended from time to time, the “</w:t>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issued by Party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 to the Shareholder Voting Rights Entrustment Agreement and this Agreement, respectively pledge to Party A the full equity interests of Party C it holds.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560" w:top="266" w:right="599" w:bottom="1440" w:gutter="0" w:footer="0" w:header="0"/>
        </w:sectPr>
      </w:pPr>
    </w:p>
    <w:bookmarkStart w:id="359" w:name="page360"/>
    <w:bookmarkEnd w:id="359"/>
    <w:p>
      <w:pPr>
        <w:ind w:left="430" w:hanging="430"/>
        <w:spacing w:after="0"/>
        <w:tabs>
          <w:tab w:leader="none" w:pos="43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Covenants</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Covenants of Party C</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Party C hereby covenants as follows:</w:t>
      </w:r>
    </w:p>
    <w:p>
      <w:pPr>
        <w:spacing w:after="0" w:line="124" w:lineRule="exact"/>
        <w:rPr>
          <w:sz w:val="20"/>
          <w:szCs w:val="20"/>
          <w:color w:val="auto"/>
        </w:rPr>
      </w:pPr>
    </w:p>
    <w:p>
      <w:pPr>
        <w:ind w:left="950" w:right="12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t>2.1.1</w:t>
        <w:tab/>
        <w:t>Without the prior written consent of Party A, Party C shall not in any manner supplement, change or amend the articles of association and bylaws of Party C, increase or decrease its registered capital, change its structure of registered capital in other manners or take any other measures to separate, dissolve or change the forms of Party C;</w:t>
      </w:r>
    </w:p>
    <w:p>
      <w:pPr>
        <w:spacing w:after="0" w:line="86" w:lineRule="exact"/>
        <w:rPr>
          <w:sz w:val="20"/>
          <w:szCs w:val="20"/>
          <w:color w:val="auto"/>
        </w:rPr>
      </w:pPr>
    </w:p>
    <w:p>
      <w:pPr>
        <w:ind w:left="950" w:right="140" w:hanging="528"/>
        <w:spacing w:after="0" w:line="300" w:lineRule="auto"/>
        <w:tabs>
          <w:tab w:leader="none" w:pos="929"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Party C shall maintain its corporate existence in accordance with good financial and business standards and practices, operate its business and handle its affairs prudently and effectively, and shall fulfill the obligations stipulated under the Business Cooperation Agreement;</w:t>
      </w:r>
    </w:p>
    <w:p>
      <w:pPr>
        <w:spacing w:after="0" w:line="53" w:lineRule="exact"/>
        <w:rPr>
          <w:sz w:val="20"/>
          <w:szCs w:val="20"/>
          <w:color w:val="auto"/>
        </w:rPr>
      </w:pPr>
    </w:p>
    <w:p>
      <w:pPr>
        <w:ind w:left="950" w:right="36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2.1.3</w:t>
        <w:tab/>
        <w:t>Without the prior written consent of Party A, Party C shall not change its main business, or conduct any business operation which may cause a substantial effect on its properties, assets, business, rights and operation;</w:t>
      </w:r>
    </w:p>
    <w:p>
      <w:pPr>
        <w:spacing w:after="0" w:line="76" w:lineRule="exact"/>
        <w:rPr>
          <w:sz w:val="20"/>
          <w:szCs w:val="20"/>
          <w:color w:val="auto"/>
        </w:rPr>
      </w:pPr>
    </w:p>
    <w:p>
      <w:pPr>
        <w:ind w:left="950" w:hanging="528"/>
        <w:spacing w:after="0" w:line="253" w:lineRule="auto"/>
        <w:tabs>
          <w:tab w:leader="none" w:pos="929" w:val="left"/>
        </w:tabs>
        <w:rPr>
          <w:sz w:val="20"/>
          <w:szCs w:val="20"/>
          <w:color w:val="auto"/>
        </w:rPr>
      </w:pPr>
      <w:r>
        <w:rPr>
          <w:rFonts w:ascii="Times New Roman" w:cs="Times New Roman" w:eastAsia="Times New Roman" w:hAnsi="Times New Roman"/>
          <w:sz w:val="18"/>
          <w:szCs w:val="18"/>
          <w:color w:val="auto"/>
        </w:rPr>
        <w:t>2.1.4</w:t>
        <w:tab/>
        <w:t>Without the prior written consent of Party A, Party C shall not at any time from the date hereof, sell, transfer, mortgage or dispose of in any manner any material assets (tangible or intangible assets) of Party C or legal or beneficial interest in the material business or revenues of Party C of more than RMB1,000,000 (or any other amount separately agreed by the Parties), or allow the encumbrance thereon of any security interest;</w:t>
      </w:r>
    </w:p>
    <w:p>
      <w:pPr>
        <w:spacing w:after="0" w:line="23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90"/>
          </w:cols>
          <w:pgMar w:left="550" w:top="265" w:right="559" w:bottom="1440" w:gutter="0" w:footer="0" w:header="0"/>
        </w:sectPr>
      </w:pPr>
    </w:p>
    <w:bookmarkStart w:id="360" w:name="page361"/>
    <w:bookmarkEnd w:id="360"/>
    <w:p>
      <w:pPr>
        <w:ind w:left="520" w:right="60" w:hanging="528"/>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2.1.5</w:t>
        <w:tab/>
        <w:t>Unless otherwise required by the PRC laws, Party C shall not be dissolved or liquated without prior written consent by Party A; After the liquidation described in Article 3.6, Party B shall pay any residual value to Party A in full or shall cause such payment to take place. Provided that such payment is forbidden according to the PRC laws, Party B will pay the income to Party A or the Designee of Party A to the extent permitted by the PRC laws.</w:t>
      </w:r>
    </w:p>
    <w:p>
      <w:pPr>
        <w:spacing w:after="0" w:line="9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Without the prior written consent of Party A, Party C shall not incur, inherit, guarantee or suffer the existence of any debt, except for</w:t>
      </w:r>
    </w:p>
    <w:p>
      <w:pPr>
        <w:spacing w:after="0" w:line="22" w:lineRule="exact"/>
        <w:rPr>
          <w:sz w:val="20"/>
          <w:szCs w:val="20"/>
          <w:color w:val="auto"/>
        </w:rPr>
      </w:pPr>
    </w:p>
    <w:p>
      <w:pPr>
        <w:ind w:left="520" w:right="80" w:firstLine="2"/>
        <w:spacing w:after="0" w:line="250" w:lineRule="auto"/>
        <w:tabs>
          <w:tab w:leader="none" w:pos="73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in the ordinary course of business other than through loans; and (ii) debts have been disclosed to Party A for which Party A’s written consent has been obtained.</w:t>
      </w:r>
    </w:p>
    <w:p>
      <w:pPr>
        <w:spacing w:after="0" w:line="93" w:lineRule="exact"/>
        <w:rPr>
          <w:sz w:val="20"/>
          <w:szCs w:val="20"/>
          <w:color w:val="auto"/>
        </w:rPr>
      </w:pPr>
    </w:p>
    <w:p>
      <w:pPr>
        <w:ind w:left="520" w:hanging="528"/>
        <w:spacing w:after="0" w:line="251" w:lineRule="auto"/>
        <w:tabs>
          <w:tab w:leader="none" w:pos="500" w:val="left"/>
        </w:tabs>
        <w:rPr>
          <w:sz w:val="20"/>
          <w:szCs w:val="20"/>
          <w:color w:val="auto"/>
        </w:rPr>
      </w:pPr>
      <w:r>
        <w:rPr>
          <w:rFonts w:ascii="Times New Roman" w:cs="Times New Roman" w:eastAsia="Times New Roman" w:hAnsi="Times New Roman"/>
          <w:sz w:val="18"/>
          <w:szCs w:val="18"/>
          <w:color w:val="auto"/>
        </w:rPr>
        <w:t>2.1.7</w:t>
        <w:tab/>
        <w:t>Party C shall always operate all of Party C’s businesses within the normal business scope to maintain the asset value of Party C and refrain from any action/omission that may affect Party C’s operating status and asset value; and the board of directors of Party A is entitled to supervise the asset of Party C and assess whether it has control over the above asset. If the board of directors of Party A believes that the business operation of Party C will affect the value of its asset or affect the board’s control over the asset of Party C, Party A will engage legal counsels or other professionals to deal with issues hereof;</w:t>
      </w:r>
    </w:p>
    <w:p>
      <w:pPr>
        <w:spacing w:after="0" w:line="94" w:lineRule="exact"/>
        <w:rPr>
          <w:sz w:val="20"/>
          <w:szCs w:val="20"/>
          <w:color w:val="auto"/>
        </w:rPr>
      </w:pPr>
    </w:p>
    <w:p>
      <w:pPr>
        <w:ind w:left="520" w:hanging="528"/>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2.1.8</w:t>
        <w:tab/>
        <w:t>Without the prior written consent of Party A, Party C shall not execute any major contract, except for the contracts in the ordinary course of business and the contracts signed between Party C and Party A’s foreign parent company or its subsidiaries directly or indirectly held by Party A’s foreign parent company (for the purpose of this subsection, a contract with a price exceeding RMB 1,000,000 (or any other amount separately agreed by the Parties) shall be deemed as a major contract);</w:t>
      </w:r>
    </w:p>
    <w:p>
      <w:pPr>
        <w:spacing w:after="0" w:line="92" w:lineRule="exact"/>
        <w:rPr>
          <w:sz w:val="20"/>
          <w:szCs w:val="20"/>
          <w:color w:val="auto"/>
        </w:rPr>
      </w:pPr>
    </w:p>
    <w:p>
      <w:pPr>
        <w:ind w:left="520" w:right="220" w:hanging="528"/>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2.1.9</w:t>
        <w:tab/>
        <w:t>Without the prior written consent of Party A, Party C shall not provide any person with any loan, financial support, or mortgage, pledge and any other form of security, or shall not allow any other third party to place any mortgage or pledge on Party C’s asset or equity interests;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2.1.10 Party C shall provide true and accurate materials and documents to Party A upon Party A’s request;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2.1.11 Party C shall provide all materials relating to its operation and financial status to Party A upon Party A’s request;</w:t>
      </w:r>
    </w:p>
    <w:p>
      <w:pPr>
        <w:spacing w:after="0" w:line="124" w:lineRule="exact"/>
        <w:rPr>
          <w:sz w:val="20"/>
          <w:szCs w:val="20"/>
          <w:color w:val="auto"/>
        </w:rPr>
      </w:pPr>
    </w:p>
    <w:p>
      <w:pPr>
        <w:ind w:left="520" w:right="60" w:hanging="528"/>
        <w:spacing w:after="0" w:line="270" w:lineRule="auto"/>
        <w:rPr>
          <w:sz w:val="20"/>
          <w:szCs w:val="20"/>
          <w:color w:val="auto"/>
        </w:rPr>
      </w:pPr>
      <w:r>
        <w:rPr>
          <w:rFonts w:ascii="Times New Roman" w:cs="Times New Roman" w:eastAsia="Times New Roman" w:hAnsi="Times New Roman"/>
          <w:sz w:val="18"/>
          <w:szCs w:val="18"/>
          <w:color w:val="auto"/>
        </w:rPr>
        <w:t>2.1.12 Without the prior written consent of Party A, Party C shall not amend or change any accounting policies adopted previously, or appoint or change its auditors;</w:t>
      </w:r>
    </w:p>
    <w:p>
      <w:pPr>
        <w:spacing w:after="0" w:line="10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300"/>
          </w:cols>
          <w:pgMar w:left="980" w:top="266" w:right="619" w:bottom="1440" w:gutter="0" w:footer="0" w:header="0"/>
        </w:sectPr>
      </w:pPr>
    </w:p>
    <w:bookmarkStart w:id="361" w:name="page362"/>
    <w:bookmarkEnd w:id="361"/>
    <w:p>
      <w:pPr>
        <w:ind w:left="520" w:right="60" w:hanging="5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2.1.13 Without the prior written consent of Party A, Party C shall not engage in any merge, partnership, joint venture or union with any party, or to acquire or invest in any party;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2.1.14 Without the prior written consent of Party A, Party C shall not conduct any reorgnization;</w:t>
      </w:r>
    </w:p>
    <w:p>
      <w:pPr>
        <w:spacing w:after="0" w:line="124" w:lineRule="exact"/>
        <w:rPr>
          <w:sz w:val="20"/>
          <w:szCs w:val="20"/>
          <w:color w:val="auto"/>
        </w:rPr>
      </w:pPr>
    </w:p>
    <w:p>
      <w:pPr>
        <w:ind w:left="520" w:right="60" w:hanging="528"/>
        <w:spacing w:after="0" w:line="270" w:lineRule="auto"/>
        <w:rPr>
          <w:sz w:val="20"/>
          <w:szCs w:val="20"/>
          <w:color w:val="auto"/>
        </w:rPr>
      </w:pPr>
      <w:r>
        <w:rPr>
          <w:rFonts w:ascii="Times New Roman" w:cs="Times New Roman" w:eastAsia="Times New Roman" w:hAnsi="Times New Roman"/>
          <w:sz w:val="18"/>
          <w:szCs w:val="18"/>
          <w:color w:val="auto"/>
        </w:rPr>
        <w:t>2.1.15 Party C shall promptly notify Party A of the occurrence or possible occurrence of any litigation, arbitration or administrative proceedings relating to Party C’s assets, business or revenue, and take all necessary measures as Party A may reasonably request;</w:t>
      </w:r>
    </w:p>
    <w:p>
      <w:pPr>
        <w:spacing w:after="0" w:line="76" w:lineRule="exact"/>
        <w:rPr>
          <w:sz w:val="20"/>
          <w:szCs w:val="20"/>
          <w:color w:val="auto"/>
        </w:rPr>
      </w:pPr>
    </w:p>
    <w:p>
      <w:pPr>
        <w:ind w:left="520" w:right="80" w:hanging="528"/>
        <w:spacing w:after="0" w:line="300" w:lineRule="auto"/>
        <w:rPr>
          <w:sz w:val="20"/>
          <w:szCs w:val="20"/>
          <w:color w:val="auto"/>
        </w:rPr>
      </w:pPr>
      <w:r>
        <w:rPr>
          <w:rFonts w:ascii="Times New Roman" w:cs="Times New Roman" w:eastAsia="Times New Roman" w:hAnsi="Times New Roman"/>
          <w:sz w:val="17"/>
          <w:szCs w:val="17"/>
          <w:color w:val="auto"/>
        </w:rPr>
        <w:t>2.1.16 To maintain the ownership by Party C of all of its assets, Party C shall execute all necessary or appropriate documents, take all necessary or appropriate actions, file all necessary or appropriate complaints, and raise necessary and appropriate defenses against all claims;</w:t>
      </w:r>
    </w:p>
    <w:p>
      <w:pPr>
        <w:spacing w:after="0" w:line="53" w:lineRule="exact"/>
        <w:rPr>
          <w:sz w:val="20"/>
          <w:szCs w:val="20"/>
          <w:color w:val="auto"/>
        </w:rPr>
      </w:pPr>
    </w:p>
    <w:p>
      <w:pPr>
        <w:ind w:left="520" w:right="160" w:hanging="528"/>
        <w:spacing w:after="0" w:line="300" w:lineRule="auto"/>
        <w:rPr>
          <w:sz w:val="20"/>
          <w:szCs w:val="20"/>
          <w:color w:val="auto"/>
        </w:rPr>
      </w:pPr>
      <w:r>
        <w:rPr>
          <w:rFonts w:ascii="Times New Roman" w:cs="Times New Roman" w:eastAsia="Times New Roman" w:hAnsi="Times New Roman"/>
          <w:sz w:val="17"/>
          <w:szCs w:val="17"/>
          <w:color w:val="auto"/>
        </w:rPr>
        <w:t>2.1.17 Without the prior written consent of Party A, Party C shall ensure that it shall not in any manner distribute dividends to its shareholders. Provided that upon Party A’s written request, Party C shall immediately distribute all distributable profits to its shareholders;</w:t>
      </w:r>
    </w:p>
    <w:p>
      <w:pPr>
        <w:spacing w:after="0" w:line="53" w:lineRule="exact"/>
        <w:rPr>
          <w:sz w:val="20"/>
          <w:szCs w:val="20"/>
          <w:color w:val="auto"/>
        </w:rPr>
      </w:pPr>
    </w:p>
    <w:p>
      <w:pPr>
        <w:ind w:left="520" w:right="240" w:hanging="528"/>
        <w:spacing w:after="0" w:line="270" w:lineRule="auto"/>
        <w:rPr>
          <w:sz w:val="20"/>
          <w:szCs w:val="20"/>
          <w:color w:val="auto"/>
        </w:rPr>
      </w:pPr>
      <w:r>
        <w:rPr>
          <w:rFonts w:ascii="Times New Roman" w:cs="Times New Roman" w:eastAsia="Times New Roman" w:hAnsi="Times New Roman"/>
          <w:sz w:val="18"/>
          <w:szCs w:val="18"/>
          <w:color w:val="auto"/>
        </w:rPr>
        <w:t>2.1.18 Without the prior written consent of Party A, Party C shall not directly or indirectly dispose or dilute its interests of its subsidiaries and branches.</w:t>
      </w:r>
    </w:p>
    <w:p>
      <w:pPr>
        <w:spacing w:after="0" w:line="76" w:lineRule="exact"/>
        <w:rPr>
          <w:sz w:val="20"/>
          <w:szCs w:val="20"/>
          <w:color w:val="auto"/>
        </w:rPr>
      </w:pPr>
    </w:p>
    <w:p>
      <w:pPr>
        <w:ind w:left="520" w:right="20" w:hanging="528"/>
        <w:spacing w:after="0" w:line="258" w:lineRule="auto"/>
        <w:rPr>
          <w:sz w:val="20"/>
          <w:szCs w:val="20"/>
          <w:color w:val="auto"/>
        </w:rPr>
      </w:pPr>
      <w:r>
        <w:rPr>
          <w:rFonts w:ascii="Times New Roman" w:cs="Times New Roman" w:eastAsia="Times New Roman" w:hAnsi="Times New Roman"/>
          <w:sz w:val="18"/>
          <w:szCs w:val="18"/>
          <w:color w:val="auto"/>
        </w:rPr>
        <w:t>2.1.19 At the request of Party A, Party C shall appoint any person designated by Party A as the director, supervisor and/or senior management of Party C, and/or remove the incumbent director, supervisor and/or senior management and perform all relevant resolutions and filing procedures; Party A shall be entitled to require Party B and Party C to replace the foregoing personnel;</w:t>
      </w:r>
    </w:p>
    <w:p>
      <w:pPr>
        <w:spacing w:after="0" w:line="86" w:lineRule="exact"/>
        <w:rPr>
          <w:sz w:val="20"/>
          <w:szCs w:val="20"/>
          <w:color w:val="auto"/>
        </w:rPr>
      </w:pPr>
    </w:p>
    <w:p>
      <w:pPr>
        <w:ind w:left="520" w:hanging="528"/>
        <w:spacing w:after="0" w:line="253" w:lineRule="auto"/>
        <w:rPr>
          <w:sz w:val="20"/>
          <w:szCs w:val="20"/>
          <w:color w:val="auto"/>
        </w:rPr>
      </w:pPr>
      <w:r>
        <w:rPr>
          <w:rFonts w:ascii="Times New Roman" w:cs="Times New Roman" w:eastAsia="Times New Roman" w:hAnsi="Times New Roman"/>
          <w:sz w:val="18"/>
          <w:szCs w:val="18"/>
          <w:color w:val="auto"/>
        </w:rPr>
        <w:t>2.1.20 Subject to other provisions of this Agreement (including but not limited to Articles 5.2 and Articles 12.1), if Party A fails to exercise the Purchase Right due to the Party C’s shareholders or Party C fails to fulfill the tax obligation under the applicable laws, Party A shall be entitled to request Party C or its shareholders to fulfill the tax obligation, or request Party C or its shareholders to pay the tax to Party A so that Party A can pay it on behalf of Part C or its shareholders;</w:t>
      </w:r>
    </w:p>
    <w:p>
      <w:pPr>
        <w:spacing w:after="0" w:line="92" w:lineRule="exact"/>
        <w:rPr>
          <w:sz w:val="20"/>
          <w:szCs w:val="20"/>
          <w:color w:val="auto"/>
        </w:rPr>
      </w:pPr>
    </w:p>
    <w:p>
      <w:pPr>
        <w:ind w:left="520" w:right="40" w:hanging="528"/>
        <w:spacing w:after="0" w:line="300" w:lineRule="auto"/>
        <w:rPr>
          <w:sz w:val="20"/>
          <w:szCs w:val="20"/>
          <w:color w:val="auto"/>
        </w:rPr>
      </w:pPr>
      <w:r>
        <w:rPr>
          <w:rFonts w:ascii="Times New Roman" w:cs="Times New Roman" w:eastAsia="Times New Roman" w:hAnsi="Times New Roman"/>
          <w:sz w:val="17"/>
          <w:szCs w:val="17"/>
          <w:color w:val="auto"/>
        </w:rPr>
        <w:t>2.1.21 As for the covenants applicable to Party C under Article 2.1 hereof, Party C shall cause its subsidiary companies to similarly obey the covenants under applicable situations as if the subsidiary companies are acting as Party C and bound by the corresponding articles herein.</w:t>
      </w:r>
    </w:p>
    <w:p>
      <w:pPr>
        <w:spacing w:after="0" w:line="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260"/>
          </w:cols>
          <w:pgMar w:left="980" w:top="267" w:right="659" w:bottom="1440" w:gutter="0" w:footer="0" w:header="0"/>
        </w:sectPr>
      </w:pPr>
    </w:p>
    <w:bookmarkStart w:id="362" w:name="page363"/>
    <w:bookmarkEnd w:id="362"/>
    <w:p>
      <w:pPr>
        <w:spacing w:after="0"/>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7"/>
          <w:szCs w:val="17"/>
          <w:color w:val="auto"/>
        </w:rPr>
        <w:t>Covenants of Party B</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Party B hereby severally, not jointly and irrevocably covenants as follows:</w:t>
      </w:r>
    </w:p>
    <w:p>
      <w:pPr>
        <w:spacing w:after="0" w:line="124" w:lineRule="exact"/>
        <w:rPr>
          <w:sz w:val="20"/>
          <w:szCs w:val="20"/>
          <w:color w:val="auto"/>
        </w:rPr>
      </w:pPr>
    </w:p>
    <w:p>
      <w:pPr>
        <w:ind w:left="940" w:right="80" w:hanging="528"/>
        <w:spacing w:after="0" w:line="248" w:lineRule="auto"/>
        <w:tabs>
          <w:tab w:leader="none" w:pos="920" w:val="left"/>
        </w:tabs>
        <w:rPr>
          <w:sz w:val="20"/>
          <w:szCs w:val="20"/>
          <w:color w:val="auto"/>
        </w:rPr>
      </w:pPr>
      <w:r>
        <w:rPr>
          <w:rFonts w:ascii="Times New Roman" w:cs="Times New Roman" w:eastAsia="Times New Roman" w:hAnsi="Times New Roman"/>
          <w:sz w:val="18"/>
          <w:szCs w:val="18"/>
          <w:color w:val="auto"/>
        </w:rPr>
        <w:t>2.2.1</w:t>
        <w:tab/>
        <w:t>Without the prior written consent of Party A, Party B shall not sell, transfer, mortgage or dispose of in any other manner any legal or beneficial interest in the equity interests in Party C held by Party B, or allow the encumbrance thereon, except for the pledge placed thereon in accordance with the Equity Interest Pledge Agreement or any other transaction documents (as defined in the Equity Interest Pledge Agreement); and Without the prior written consent of Party A, Party B shall cause the shareholders’ meeting and/or the directors (or the executive director) of Party C not to approve any sale, transfer, mortgage or disposition in any other manner of any legal or beneficial interest in the equity interests in Party C held by Party B, or allow the encumbrance thereon of any security interest, except for the pledge placed thereon in accordance with the Equity Interest Pledge Agreement or any other transaction documents (as defined in the Equity Interest Pledge Agreement);</w:t>
      </w:r>
    </w:p>
    <w:p>
      <w:pPr>
        <w:spacing w:after="0" w:line="100" w:lineRule="exact"/>
        <w:rPr>
          <w:sz w:val="20"/>
          <w:szCs w:val="20"/>
          <w:color w:val="auto"/>
        </w:rPr>
      </w:pPr>
    </w:p>
    <w:p>
      <w:pPr>
        <w:ind w:left="420"/>
        <w:spacing w:after="0"/>
        <w:tabs>
          <w:tab w:leader="none" w:pos="9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Party B shall not engage in any business operations or take any other actions that may adversely affect Party C’s reputation;</w:t>
      </w:r>
    </w:p>
    <w:p>
      <w:pPr>
        <w:spacing w:after="0" w:line="124" w:lineRule="exact"/>
        <w:rPr>
          <w:sz w:val="20"/>
          <w:szCs w:val="20"/>
          <w:color w:val="auto"/>
        </w:rPr>
      </w:pPr>
    </w:p>
    <w:p>
      <w:pPr>
        <w:ind w:left="940" w:right="18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2.2.3</w:t>
        <w:tab/>
        <w:t>Party B shall take reasonable measures to ensure Party C’s business licenses are legitimate, effective and renewed in according with the law;</w:t>
      </w:r>
    </w:p>
    <w:p>
      <w:pPr>
        <w:spacing w:after="0" w:line="76" w:lineRule="exact"/>
        <w:rPr>
          <w:sz w:val="20"/>
          <w:szCs w:val="20"/>
          <w:color w:val="auto"/>
        </w:rPr>
      </w:pPr>
    </w:p>
    <w:p>
      <w:pPr>
        <w:ind w:left="940" w:right="100" w:hanging="528"/>
        <w:spacing w:after="0" w:line="258" w:lineRule="auto"/>
        <w:tabs>
          <w:tab w:leader="none" w:pos="920" w:val="left"/>
        </w:tabs>
        <w:rPr>
          <w:sz w:val="20"/>
          <w:szCs w:val="20"/>
          <w:color w:val="auto"/>
        </w:rPr>
      </w:pPr>
      <w:r>
        <w:rPr>
          <w:rFonts w:ascii="Times New Roman" w:cs="Times New Roman" w:eastAsia="Times New Roman" w:hAnsi="Times New Roman"/>
          <w:sz w:val="18"/>
          <w:szCs w:val="18"/>
          <w:color w:val="auto"/>
        </w:rPr>
        <w:t>2.2.4</w:t>
        <w:tab/>
        <w:t>The prior written consent of Party A is necessary with respect to any appointment of any Director, Supervisor, Legal Representative, and senior management personnel of Party C, and Party B shall execute all necessary or appropriate documents and take all reasonable measures to appoint any aforementioned persons designated by Party A;</w:t>
      </w:r>
    </w:p>
    <w:p>
      <w:pPr>
        <w:spacing w:after="0" w:line="86" w:lineRule="exact"/>
        <w:rPr>
          <w:sz w:val="20"/>
          <w:szCs w:val="20"/>
          <w:color w:val="auto"/>
        </w:rPr>
      </w:pPr>
    </w:p>
    <w:p>
      <w:pPr>
        <w:ind w:left="940" w:right="24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2.2.5</w:t>
        <w:tab/>
        <w:t>As shareholders of Party C, Party B shall not injure any of the interests of Party C by abusing the shareholder’s rights; Party A shall be entitled to exercise the Purchase Right under the Exclusive Option Agreement in the case of Party B’s abusing;</w:t>
      </w:r>
    </w:p>
    <w:p>
      <w:pPr>
        <w:spacing w:after="0" w:line="76" w:lineRule="exact"/>
        <w:rPr>
          <w:sz w:val="20"/>
          <w:szCs w:val="20"/>
          <w:color w:val="auto"/>
        </w:rPr>
      </w:pPr>
    </w:p>
    <w:p>
      <w:pPr>
        <w:ind w:left="940" w:hanging="528"/>
        <w:spacing w:after="0" w:line="253" w:lineRule="auto"/>
        <w:tabs>
          <w:tab w:leader="none" w:pos="920" w:val="left"/>
        </w:tabs>
        <w:rPr>
          <w:sz w:val="20"/>
          <w:szCs w:val="20"/>
          <w:color w:val="auto"/>
        </w:rPr>
      </w:pPr>
      <w:r>
        <w:rPr>
          <w:rFonts w:ascii="Times New Roman" w:cs="Times New Roman" w:eastAsia="Times New Roman" w:hAnsi="Times New Roman"/>
          <w:sz w:val="18"/>
          <w:szCs w:val="18"/>
          <w:color w:val="auto"/>
        </w:rPr>
        <w:t>2.2.6</w:t>
        <w:tab/>
        <w:t>Party B shall not request Party C to distribute dividends or profits in other forms with respect to the Party C’s equity held by Party B, or shall not submit relevant resolution matters to the Board of Directors. In any event that Party B receives any revenue, profit distribution or dividend of Party C, Party B shall forfeit such revenues, profits distribution and dividends, and promptly transfer or pay the foregoing revenues, profit distribution, dividend to Party A or the Designee to the extent permitted by the PRC laws;</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560" w:top="266" w:right="659" w:bottom="1440" w:gutter="0" w:footer="0" w:header="0"/>
        </w:sectPr>
      </w:pPr>
    </w:p>
    <w:bookmarkStart w:id="363" w:name="page364"/>
    <w:bookmarkEnd w:id="363"/>
    <w:p>
      <w:pPr>
        <w:ind w:left="520" w:right="20" w:hanging="528"/>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2.2.7</w:t>
        <w:tab/>
        <w:t>Party B shall cause the shareholders’ meeting and/or the directors (or the executive director) of Party C not to approve any sale, transfer, mortgage or disposition in any other manner of any legal or beneficial interest in the equity interests in Party C held by Party B without the prior written consent of Party A, or set the encumbrance thereon of any security interests, except for the pledge placed hereon according to the Equity Interest Pledge Agreement;</w:t>
      </w:r>
    </w:p>
    <w:p>
      <w:pPr>
        <w:spacing w:after="0" w:line="92" w:lineRule="exact"/>
        <w:rPr>
          <w:sz w:val="20"/>
          <w:szCs w:val="20"/>
          <w:color w:val="auto"/>
        </w:rPr>
      </w:pPr>
    </w:p>
    <w:p>
      <w:pPr>
        <w:ind w:left="520" w:hanging="528"/>
        <w:spacing w:after="0" w:line="253" w:lineRule="auto"/>
        <w:tabs>
          <w:tab w:leader="none" w:pos="500" w:val="left"/>
        </w:tabs>
        <w:rPr>
          <w:sz w:val="20"/>
          <w:szCs w:val="20"/>
          <w:color w:val="auto"/>
        </w:rPr>
      </w:pPr>
      <w:r>
        <w:rPr>
          <w:rFonts w:ascii="Times New Roman" w:cs="Times New Roman" w:eastAsia="Times New Roman" w:hAnsi="Times New Roman"/>
          <w:sz w:val="18"/>
          <w:szCs w:val="18"/>
          <w:color w:val="auto"/>
        </w:rPr>
        <w:t>2.2.8</w:t>
        <w:tab/>
        <w:t>Party B shall cause the shareholders’ meeting and/or the board of directors (or the executive director) of Party C not to approve the merge, partnership, joint venture or union with any person, or the acquisition of or investment in any person, or Party C’s splitting, modification of the Article of Association of Party C or its joint venture contract, or the change of registered capital or the form of Party C without the prior written consent of Party A;</w:t>
      </w:r>
    </w:p>
    <w:p>
      <w:pPr>
        <w:spacing w:after="0" w:line="92" w:lineRule="exact"/>
        <w:rPr>
          <w:sz w:val="20"/>
          <w:szCs w:val="20"/>
          <w:color w:val="auto"/>
        </w:rPr>
      </w:pPr>
    </w:p>
    <w:p>
      <w:pPr>
        <w:ind w:left="520" w:right="140" w:hanging="528"/>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2.2.9</w:t>
        <w:tab/>
        <w:t>Party B shall immediately notify Party A of the occurrence or possible occurrence of any litigation, arbitration or administrative proceedings relating to the equity interests in Party C held by Party B, and take any and all necessary measure as Party A may reasonably request;</w:t>
      </w:r>
    </w:p>
    <w:p>
      <w:pPr>
        <w:spacing w:after="0" w:line="86" w:lineRule="exact"/>
        <w:rPr>
          <w:sz w:val="20"/>
          <w:szCs w:val="20"/>
          <w:color w:val="auto"/>
        </w:rPr>
      </w:pPr>
    </w:p>
    <w:p>
      <w:pPr>
        <w:ind w:left="520" w:right="160" w:hanging="528"/>
        <w:spacing w:after="0" w:line="270" w:lineRule="auto"/>
        <w:rPr>
          <w:sz w:val="20"/>
          <w:szCs w:val="20"/>
          <w:color w:val="auto"/>
        </w:rPr>
      </w:pPr>
      <w:r>
        <w:rPr>
          <w:rFonts w:ascii="Times New Roman" w:cs="Times New Roman" w:eastAsia="Times New Roman" w:hAnsi="Times New Roman"/>
          <w:sz w:val="18"/>
          <w:szCs w:val="18"/>
          <w:color w:val="auto"/>
        </w:rPr>
        <w:t>2.2.10 Party B shall execute all necessary or appropriate documents, take all necessary or appropriate actions, make all necessary or appropriate claims and make necessary and appropriate defenses against all claims, to ensure Party B’s equity interests in Party C;</w:t>
      </w:r>
    </w:p>
    <w:p>
      <w:pPr>
        <w:spacing w:after="0" w:line="76" w:lineRule="exact"/>
        <w:rPr>
          <w:sz w:val="20"/>
          <w:szCs w:val="20"/>
          <w:color w:val="auto"/>
        </w:rPr>
      </w:pPr>
    </w:p>
    <w:p>
      <w:pPr>
        <w:ind w:left="520" w:right="420" w:hanging="528"/>
        <w:spacing w:after="0" w:line="270" w:lineRule="auto"/>
        <w:rPr>
          <w:sz w:val="20"/>
          <w:szCs w:val="20"/>
          <w:color w:val="auto"/>
        </w:rPr>
      </w:pPr>
      <w:r>
        <w:rPr>
          <w:rFonts w:ascii="Times New Roman" w:cs="Times New Roman" w:eastAsia="Times New Roman" w:hAnsi="Times New Roman"/>
          <w:sz w:val="18"/>
          <w:szCs w:val="18"/>
          <w:color w:val="auto"/>
        </w:rPr>
        <w:t>2.2.11 Party B shall not, and shall procure its successors not, initiate any lawsuits, arbitrations, or other legal proceedings with respect to the contractual arrangement or terminate the contractual arrangement;</w:t>
      </w:r>
    </w:p>
    <w:p>
      <w:pPr>
        <w:spacing w:after="0" w:line="76" w:lineRule="exact"/>
        <w:rPr>
          <w:sz w:val="20"/>
          <w:szCs w:val="20"/>
          <w:color w:val="auto"/>
        </w:rPr>
      </w:pPr>
    </w:p>
    <w:p>
      <w:pPr>
        <w:ind w:left="520" w:right="100" w:hanging="528"/>
        <w:spacing w:after="0" w:line="258" w:lineRule="auto"/>
        <w:rPr>
          <w:sz w:val="20"/>
          <w:szCs w:val="20"/>
          <w:color w:val="auto"/>
        </w:rPr>
      </w:pPr>
      <w:r>
        <w:rPr>
          <w:rFonts w:ascii="Times New Roman" w:cs="Times New Roman" w:eastAsia="Times New Roman" w:hAnsi="Times New Roman"/>
          <w:sz w:val="18"/>
          <w:szCs w:val="18"/>
          <w:color w:val="auto"/>
        </w:rPr>
        <w:t>2.2.12 Party B shall cause the shareholders’ meeting or the board of directors (or the executive director) of Party C to vote their approval of the transfer of the Purchased Interests and/or the Purchased Asset as set forth in this Agreement and to take any and all other actions that may be requested by Party A;</w:t>
      </w:r>
    </w:p>
    <w:p>
      <w:pPr>
        <w:spacing w:after="0" w:line="86" w:lineRule="exact"/>
        <w:rPr>
          <w:sz w:val="20"/>
          <w:szCs w:val="20"/>
          <w:color w:val="auto"/>
        </w:rPr>
      </w:pPr>
    </w:p>
    <w:p>
      <w:pPr>
        <w:ind w:left="520" w:right="280" w:hanging="528"/>
        <w:spacing w:after="0" w:line="258" w:lineRule="auto"/>
        <w:rPr>
          <w:sz w:val="20"/>
          <w:szCs w:val="20"/>
          <w:color w:val="auto"/>
        </w:rPr>
      </w:pPr>
      <w:r>
        <w:rPr>
          <w:rFonts w:ascii="Times New Roman" w:cs="Times New Roman" w:eastAsia="Times New Roman" w:hAnsi="Times New Roman"/>
          <w:sz w:val="18"/>
          <w:szCs w:val="18"/>
          <w:color w:val="auto"/>
        </w:rPr>
        <w:t>2.2.13 At the request of Party A at any time, Party B and/or Party C shall immediately and unconditionally transfer its equity interests and/or assets of Party C to Party A and/or the Designee in accordance with the Purchase Right under this Agreement, and Party B shall hereby waive its right of first refusal to the transfer of equity interests by any other shareholder of Party C to Party A (if any);</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40"/>
          </w:cols>
          <w:pgMar w:left="980" w:top="266" w:right="579" w:bottom="1440" w:gutter="0" w:footer="0" w:header="0"/>
        </w:sectPr>
      </w:pPr>
    </w:p>
    <w:bookmarkStart w:id="364" w:name="page365"/>
    <w:bookmarkEnd w:id="364"/>
    <w:p>
      <w:pPr>
        <w:ind w:left="950" w:hanging="528"/>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2.2.14 Party B shall strictly abide by the provisions of this Agreement and other contracts jointly or separately executed by and among Party B, Party C and Party A (including but not limited to the Equity Interest Pledge Agreement and the Business Cooperation Agreement), perform obligations hereunder, and refrain from any action/omission that may affect the effectiveness and enforceability thereof. To the extent that Party B has any remaining rights with respect to the equity interests subject to this Agreement or the Equity Interest Pledge Agreement or the Power of Attorney in which Party A as a beneficiary, Party B shall not exercise such rights except in accordance with the written instructions of Party A.</w:t>
      </w:r>
    </w:p>
    <w:p>
      <w:pPr>
        <w:spacing w:after="0" w:line="94" w:lineRule="exact"/>
        <w:rPr>
          <w:sz w:val="20"/>
          <w:szCs w:val="20"/>
          <w:color w:val="auto"/>
        </w:rPr>
      </w:pPr>
    </w:p>
    <w:p>
      <w:pPr>
        <w:ind w:left="950" w:right="80" w:hanging="528"/>
        <w:spacing w:after="0" w:line="253" w:lineRule="auto"/>
        <w:rPr>
          <w:sz w:val="20"/>
          <w:szCs w:val="20"/>
          <w:color w:val="auto"/>
        </w:rPr>
      </w:pPr>
      <w:r>
        <w:rPr>
          <w:rFonts w:ascii="Times New Roman" w:cs="Times New Roman" w:eastAsia="Times New Roman" w:hAnsi="Times New Roman"/>
          <w:sz w:val="18"/>
          <w:szCs w:val="18"/>
          <w:color w:val="auto"/>
        </w:rPr>
        <w:t>2.2.15 Prior to Party C’s liquidation, if Party A (or the Designee) has paid the Purchase Price of equity interest to Party B, but related changes in the registration in authority has not completed, Party B shall pay the income from distribution of residual property of Party C’s equity held by Party B to Party A or its Designee freely at the time of or after dissolution of Party C. Under such circumstance, Party B should not claim any rights for related income of residual property distribution (unless under Party A’s instruction);</w:t>
      </w:r>
    </w:p>
    <w:p>
      <w:pPr>
        <w:spacing w:after="0" w:line="92" w:lineRule="exact"/>
        <w:rPr>
          <w:sz w:val="20"/>
          <w:szCs w:val="20"/>
          <w:color w:val="auto"/>
        </w:rPr>
      </w:pPr>
    </w:p>
    <w:p>
      <w:pPr>
        <w:ind w:left="950" w:right="180" w:hanging="528"/>
        <w:spacing w:after="0" w:line="258" w:lineRule="auto"/>
        <w:rPr>
          <w:sz w:val="20"/>
          <w:szCs w:val="20"/>
          <w:color w:val="auto"/>
        </w:rPr>
      </w:pPr>
      <w:r>
        <w:rPr>
          <w:rFonts w:ascii="Times New Roman" w:cs="Times New Roman" w:eastAsia="Times New Roman" w:hAnsi="Times New Roman"/>
          <w:sz w:val="18"/>
          <w:szCs w:val="18"/>
          <w:color w:val="auto"/>
        </w:rPr>
        <w:t>2.2.16 Party B agrees to unconditionally return the Purchase Price received from Party A for the transfer of the Purchased Interests and/or the Purchased Asset transferred by Party B to the extent permitted by the PRC Laws at that time (but the tax (if applicable) shall be withheld and deducted for the Purchase Price); and</w:t>
      </w:r>
    </w:p>
    <w:p>
      <w:pPr>
        <w:spacing w:after="0" w:line="86" w:lineRule="exact"/>
        <w:rPr>
          <w:sz w:val="20"/>
          <w:szCs w:val="20"/>
          <w:color w:val="auto"/>
        </w:rPr>
      </w:pPr>
    </w:p>
    <w:p>
      <w:pPr>
        <w:ind w:left="950" w:right="260" w:hanging="528"/>
        <w:spacing w:after="0" w:line="270" w:lineRule="auto"/>
        <w:rPr>
          <w:sz w:val="20"/>
          <w:szCs w:val="20"/>
          <w:color w:val="auto"/>
        </w:rPr>
      </w:pPr>
      <w:r>
        <w:rPr>
          <w:rFonts w:ascii="Times New Roman" w:cs="Times New Roman" w:eastAsia="Times New Roman" w:hAnsi="Times New Roman"/>
          <w:sz w:val="18"/>
          <w:szCs w:val="18"/>
          <w:color w:val="auto"/>
        </w:rPr>
        <w:t>2.2.17 Party B agrees to execute an irrevocable Power of Attorney in the form and substance satisfactory to Party A, and entrust Party A or the Designee to exercise all the shareholders’ rights of Party B; and</w:t>
      </w:r>
    </w:p>
    <w:p>
      <w:pPr>
        <w:spacing w:after="0" w:line="76" w:lineRule="exact"/>
        <w:rPr>
          <w:sz w:val="20"/>
          <w:szCs w:val="20"/>
          <w:color w:val="auto"/>
        </w:rPr>
      </w:pPr>
    </w:p>
    <w:p>
      <w:pPr>
        <w:ind w:left="950" w:right="20" w:hanging="528"/>
        <w:spacing w:after="0" w:line="270" w:lineRule="auto"/>
        <w:rPr>
          <w:sz w:val="20"/>
          <w:szCs w:val="20"/>
          <w:color w:val="auto"/>
        </w:rPr>
      </w:pPr>
      <w:r>
        <w:rPr>
          <w:rFonts w:ascii="Times New Roman" w:cs="Times New Roman" w:eastAsia="Times New Roman" w:hAnsi="Times New Roman"/>
          <w:sz w:val="18"/>
          <w:szCs w:val="18"/>
          <w:color w:val="auto"/>
        </w:rPr>
        <w:t>2.2.18 Party B shall ensure that Party C will be validly existing and in good standing, and shall not take any actions that may result in termination, liquidation or dissolution of Party C.</w:t>
      </w:r>
    </w:p>
    <w:p>
      <w:pPr>
        <w:spacing w:after="0" w:line="193" w:lineRule="exact"/>
        <w:rPr>
          <w:sz w:val="20"/>
          <w:szCs w:val="20"/>
          <w:color w:val="auto"/>
        </w:rPr>
      </w:pPr>
    </w:p>
    <w:p>
      <w:pPr>
        <w:ind w:left="430" w:hanging="430"/>
        <w:spacing w:after="0"/>
        <w:tabs>
          <w:tab w:leader="none" w:pos="430" w:val="left"/>
        </w:tabs>
        <w:numPr>
          <w:ilvl w:val="0"/>
          <w:numId w:val="3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12" w:lineRule="exact"/>
        <w:rPr>
          <w:rFonts w:ascii="Times New Roman" w:cs="Times New Roman" w:eastAsia="Times New Roman" w:hAnsi="Times New Roman"/>
          <w:sz w:val="18"/>
          <w:szCs w:val="18"/>
          <w:b w:val="1"/>
          <w:bCs w:val="1"/>
          <w:color w:val="auto"/>
        </w:rPr>
      </w:pPr>
    </w:p>
    <w:p>
      <w:pPr>
        <w:ind w:left="43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and Party C hereby represent and warrant to Party A as stated in the following articles from Article 3.1 to Article 3.2, severally and not jointly, as of the date of this Agreement and each date of the transfer of the Purchased Interests and the Purchased Asset, and Party C hereby represents and warrants to Party A as stated in the following articles from Article 3.4 to Article 3.9, as of the date of this Agreement and each date of the transfer of the Purchased Interests and the Purchased Asset:</w:t>
      </w:r>
    </w:p>
    <w:p>
      <w:pPr>
        <w:spacing w:after="0" w:line="92" w:lineRule="exact"/>
        <w:rPr>
          <w:sz w:val="20"/>
          <w:szCs w:val="20"/>
          <w:color w:val="auto"/>
        </w:rPr>
      </w:pPr>
    </w:p>
    <w:p>
      <w:pPr>
        <w:ind w:left="430" w:right="4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t>3.1</w:t>
        <w:tab/>
        <w:t>They have the power and capacity to execute and deliver this Agreement and any transfer contracts to which they are parties concerning the Purchased Interests and/or the Purchased Asset to be transferred thereunder (each, a “</w:t>
      </w:r>
      <w:r>
        <w:rPr>
          <w:rFonts w:ascii="Times New Roman" w:cs="Times New Roman" w:eastAsia="Times New Roman" w:hAnsi="Times New Roman"/>
          <w:sz w:val="18"/>
          <w:szCs w:val="18"/>
          <w:b w:val="1"/>
          <w:bCs w:val="1"/>
          <w:color w:val="auto"/>
        </w:rPr>
        <w:t>Transfer Contract</w:t>
      </w:r>
      <w:r>
        <w:rPr>
          <w:rFonts w:ascii="Times New Roman" w:cs="Times New Roman" w:eastAsia="Times New Roman" w:hAnsi="Times New Roman"/>
          <w:sz w:val="18"/>
          <w:szCs w:val="18"/>
          <w:color w:val="auto"/>
        </w:rPr>
        <w:t>”), and to perform their obligations under this Agreement and any Transfer Contracts. Party B and Party C agree to enter into Transfer Contracts consistent with the terms of this Agreement upon Party A’s exercise of the Purchase Right. This Agreement and the Transfer Contracts to which they are parties constitute or will constitute their legal, valid and binding obligations and shall be enforceable against them in accordance with the provisions thereof;</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90"/>
          </w:cols>
          <w:pgMar w:left="550" w:top="266" w:right="559" w:bottom="1440" w:gutter="0" w:footer="0" w:header="0"/>
        </w:sectPr>
      </w:pPr>
    </w:p>
    <w:bookmarkStart w:id="365" w:name="page366"/>
    <w:bookmarkEnd w:id="365"/>
    <w:p>
      <w:pPr>
        <w:ind w:left="420" w:right="80" w:hanging="422"/>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3.2</w:t>
        <w:tab/>
        <w:t>The execution and delivery of this Agreement or any Transfer Contracts and the obligations under this Agreement or any Transfer Contracts shall or will not: (i) cause any violation of any applicable laws of China; (ii) be inconsistent with the articles of association, joint venture contracts, bylaws or other organizational documents; (iii) cause the violation of any contracts or instruments to which they are a party or which are binding on them, or constitute any breach under any contracts or instruments to which they are a party or which are binding on them; (iv) cause any violation of any condition for the grant and/or continued effectiveness of any licenses or permits issued to either of them; or (v) cause the suspension or revocation of or imposition of additional conditions to any licenses or permits issued to them;</w:t>
      </w:r>
    </w:p>
    <w:p>
      <w:pPr>
        <w:spacing w:after="0" w:line="94" w:lineRule="exact"/>
        <w:rPr>
          <w:sz w:val="20"/>
          <w:szCs w:val="20"/>
          <w:color w:val="auto"/>
        </w:rPr>
      </w:pPr>
    </w:p>
    <w:p>
      <w:pPr>
        <w:ind w:left="420" w:right="100" w:hanging="422"/>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3.3</w:t>
        <w:tab/>
        <w:t>Party B has a good and merchantable title to the equity interests of Party C held by Party B. Except for the Equity Interest Pledge Agreement or any other transaction documents (as defined in the Equity Interest Pledge Agreement), Party B has not placed any security interest on such equity interests;</w:t>
      </w:r>
    </w:p>
    <w:p>
      <w:pPr>
        <w:spacing w:after="0" w:line="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Party C has a good and merchantable title to all of its assets, and has not placed any security interest on the aforementioned assets;</w:t>
      </w:r>
    </w:p>
    <w:p>
      <w:pPr>
        <w:spacing w:after="0" w:line="124" w:lineRule="exact"/>
        <w:rPr>
          <w:sz w:val="20"/>
          <w:szCs w:val="20"/>
          <w:color w:val="auto"/>
        </w:rPr>
      </w:pPr>
    </w:p>
    <w:p>
      <w:pPr>
        <w:ind w:left="420" w:right="100" w:hanging="422"/>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t>3.5</w:t>
        <w:tab/>
        <w:t>Party C does not have any outstanding debts, except for (i) debt incurred within the normal business scope; and (ii) debts disclosed to Party A for which Party A’s written consent has been obtained.</w:t>
      </w:r>
    </w:p>
    <w:p>
      <w:pPr>
        <w:spacing w:after="0" w:line="76" w:lineRule="exact"/>
        <w:rPr>
          <w:sz w:val="20"/>
          <w:szCs w:val="20"/>
          <w:color w:val="auto"/>
        </w:rPr>
      </w:pPr>
    </w:p>
    <w:p>
      <w:pPr>
        <w:ind w:left="420" w:hanging="422"/>
        <w:spacing w:after="0" w:line="253" w:lineRule="auto"/>
        <w:tabs>
          <w:tab w:leader="none" w:pos="400" w:val="left"/>
        </w:tabs>
        <w:rPr>
          <w:sz w:val="20"/>
          <w:szCs w:val="20"/>
          <w:color w:val="auto"/>
        </w:rPr>
      </w:pPr>
      <w:r>
        <w:rPr>
          <w:rFonts w:ascii="Times New Roman" w:cs="Times New Roman" w:eastAsia="Times New Roman" w:hAnsi="Times New Roman"/>
          <w:sz w:val="18"/>
          <w:szCs w:val="18"/>
          <w:color w:val="auto"/>
        </w:rPr>
        <w:t>3.6</w:t>
        <w:tab/>
        <w:t>If Party C dissolves or liquidates required by the PRC laws, Party C shall sell all the assets to Party A or the Designee at the lowest price permitted under the PRC laws to the extent permitted by the PRC laws. Party C shall exempt any payment obligation of Party A or the Designee arising from the sale of assets; and subject to the applicable PRC laws at the time, any revenue arising from the sale of assets shall be paid to Party A or the Designee as part of service fees under the Business Cooperation Agreement;</w:t>
      </w:r>
    </w:p>
    <w:p>
      <w:pPr>
        <w:spacing w:after="0" w:line="9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Party C has complied with all laws and regulations of China applicable to asset acquisitions; and</w:t>
      </w:r>
    </w:p>
    <w:p>
      <w:pPr>
        <w:spacing w:after="0" w:line="1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60"/>
          </w:cols>
          <w:pgMar w:left="560" w:top="266" w:right="579" w:bottom="1440" w:gutter="0" w:footer="0" w:header="0"/>
        </w:sectPr>
      </w:pPr>
    </w:p>
    <w:bookmarkStart w:id="366" w:name="page367"/>
    <w:bookmarkEnd w:id="366"/>
    <w:p>
      <w:pPr>
        <w:ind w:left="430" w:right="4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3.8</w:t>
        <w:tab/>
        <w:t>There are no existing or pending litigation, arbitration or administrative proceedings relating to the equity interests of Party C, assets of Party C or Party C.</w:t>
      </w:r>
    </w:p>
    <w:p>
      <w:pPr>
        <w:spacing w:after="0" w:line="76" w:lineRule="exact"/>
        <w:rPr>
          <w:sz w:val="20"/>
          <w:szCs w:val="20"/>
          <w:color w:val="auto"/>
        </w:rPr>
      </w:pPr>
    </w:p>
    <w:p>
      <w:pPr>
        <w:ind w:left="43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t>3.9</w:t>
        <w:tab/>
        <w:t>Under the circumstance of death, incapacity, marriage, divorce, bankruptcy, dissolution, liquidation or other circumstances that may influence Party B’s equity interest of Party C, Party B’s successors (including spouse, children, parents, siblings and grandparents) or the shareholder or transferee of the equity of Party C at that time will be deemed to be the signatory of this Agreement, and be entitled to inherit, enjoy and undertake all rights and obligations of Party B herein, and transfer the relevant equity interests of Party C to Party A or the Designee according to the applicable law at that time and this Agreement.</w:t>
      </w:r>
    </w:p>
    <w:p>
      <w:pPr>
        <w:spacing w:after="0" w:line="211" w:lineRule="exact"/>
        <w:rPr>
          <w:sz w:val="20"/>
          <w:szCs w:val="20"/>
          <w:color w:val="auto"/>
        </w:rPr>
      </w:pPr>
    </w:p>
    <w:p>
      <w:pPr>
        <w:ind w:left="430" w:hanging="430"/>
        <w:spacing w:after="0"/>
        <w:tabs>
          <w:tab w:leader="none" w:pos="43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w:t>
      </w:r>
    </w:p>
    <w:p>
      <w:pPr>
        <w:spacing w:after="0" w:line="112" w:lineRule="exact"/>
        <w:rPr>
          <w:rFonts w:ascii="Times New Roman" w:cs="Times New Roman" w:eastAsia="Times New Roman" w:hAnsi="Times New Roman"/>
          <w:sz w:val="18"/>
          <w:szCs w:val="18"/>
          <w:b w:val="1"/>
          <w:bCs w:val="1"/>
          <w:color w:val="auto"/>
        </w:rPr>
      </w:pPr>
    </w:p>
    <w:p>
      <w:pPr>
        <w:ind w:left="430" w:right="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become effective upon execution by the Parties, and remaining effective subject to the extended term as stipulated by the PRC laws, until the date of the full transfer of the Purchased Interests and/or Purchased Assets held by Party B or Party C to Party A and/or the Designee (subject to the completion of the change of the industrial and commercial registration and the filing to the Commercial Department (if applicable)) and Party A, its subsidiary company and branches are legally engaged in Party C’s business. Notwithstanding the foregoing, Party A is entitled to terminate this Agreement at any time by sending written notice to Party B and Party C, and be exempted from any liability for breach of contract relating to its unilateral termination of this Agreement. Unless otherwise provided by the PRC laws, Party B and Party C shall not be entitled to terminate this Agreement unilaterally.</w:t>
      </w:r>
    </w:p>
    <w:p>
      <w:pPr>
        <w:spacing w:after="0" w:line="213"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 of Contract</w:t>
      </w:r>
    </w:p>
    <w:p>
      <w:pPr>
        <w:spacing w:after="0" w:line="124" w:lineRule="exact"/>
        <w:rPr>
          <w:sz w:val="20"/>
          <w:szCs w:val="20"/>
          <w:color w:val="auto"/>
        </w:rPr>
      </w:pPr>
    </w:p>
    <w:p>
      <w:pPr>
        <w:ind w:left="430" w:right="20" w:hanging="422"/>
        <w:spacing w:after="0" w:line="247" w:lineRule="auto"/>
        <w:tabs>
          <w:tab w:leader="none" w:pos="409" w:val="left"/>
        </w:tabs>
        <w:rPr>
          <w:sz w:val="20"/>
          <w:szCs w:val="20"/>
          <w:color w:val="auto"/>
        </w:rPr>
      </w:pPr>
      <w:r>
        <w:rPr>
          <w:rFonts w:ascii="Times New Roman" w:cs="Times New Roman" w:eastAsia="Times New Roman" w:hAnsi="Times New Roman"/>
          <w:sz w:val="18"/>
          <w:szCs w:val="18"/>
          <w:color w:val="auto"/>
        </w:rPr>
        <w:t>5.1</w:t>
        <w:tab/>
        <w:t>Unless otherwise specified in other articles herein, if a Party(the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fails to fulfill certain obligations herein or violates this agreement in other ways, the other Parties (the “</w:t>
      </w:r>
      <w:r>
        <w:rPr>
          <w:rFonts w:ascii="Times New Roman" w:cs="Times New Roman" w:eastAsia="Times New Roman" w:hAnsi="Times New Roman"/>
          <w:sz w:val="18"/>
          <w:szCs w:val="18"/>
          <w:b w:val="1"/>
          <w:bCs w:val="1"/>
          <w:color w:val="auto"/>
        </w:rPr>
        <w:t>Damaged Party</w:t>
      </w:r>
      <w:r>
        <w:rPr>
          <w:rFonts w:ascii="Times New Roman" w:cs="Times New Roman" w:eastAsia="Times New Roman" w:hAnsi="Times New Roman"/>
          <w:sz w:val="18"/>
          <w:szCs w:val="18"/>
          <w:color w:val="auto"/>
        </w:rPr>
        <w:t>”) may: (a) notify the Defaulting Party of the nature and scope of the violation in writing and ask the Defaulting Party to remediate at its own expense within a reasonable period of time (hereinafter referred to as “</w:t>
      </w:r>
      <w:r>
        <w:rPr>
          <w:rFonts w:ascii="Times New Roman" w:cs="Times New Roman" w:eastAsia="Times New Roman" w:hAnsi="Times New Roman"/>
          <w:sz w:val="18"/>
          <w:szCs w:val="18"/>
          <w:b w:val="1"/>
          <w:bCs w:val="1"/>
          <w:color w:val="auto"/>
        </w:rPr>
        <w:t>Remediation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and if the Defaulting Party fails to take remedial measures during the Remediation Period, the Damaged Party are entitled to ask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Party to undertake all responsibilities for its violation and also compensate all actual economic losses due to the Damaged Party, including without limitation, the legal fees incurred in litigation and arbitration proceedings relating to the violation. The Damaged Party are also entitled to require the Defaulting Party to perform its contractual obligations and request the court or the relevant arbitration institution to issue an order of specific performance or compulsory performance by the Defaulting Party; (b) terminate this agreement and ask the Defaulting Party to undertake all responsibilities for its violation and also compensate all damages; or (c) place the pledged equity on discount, auction or selling according to the Equity Interest Pledge Agreement, be entitled to compensation priority in the amount of discount, auction and selling, and ask the Defaulting Party to undertake all losses hereof. While exercising the foregoing remedial right, the Damaged Party are entitled to other remedial rights regulated herein and under the relevant laws and regulations.</w:t>
      </w:r>
    </w:p>
    <w:p>
      <w:pPr>
        <w:spacing w:after="0" w:line="12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70"/>
          </w:cols>
          <w:pgMar w:left="550" w:top="266" w:right="579" w:bottom="1440" w:gutter="0" w:footer="0" w:header="0"/>
        </w:sectPr>
      </w:pPr>
    </w:p>
    <w:bookmarkStart w:id="367" w:name="page368"/>
    <w:bookmarkEnd w:id="367"/>
    <w:p>
      <w:pPr>
        <w:jc w:val="both"/>
        <w:ind w:left="430" w:right="10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5.2</w:t>
        <w:tab/>
        <w:t>The Parties hereby agree and confirm that, subject to the compulsory requirements of PRC laws, if Party B or Party C is the Defaulting Party, the Damaged Party is entitled to terminate this agreement unilaterally and require the Defaulting Party to compensate the losses. However, if Party A is the Defaulting Party, the Party B and Party C shall exempt Party A’s obligation of compensating the losses, and unless the law states otherwise, the Party B and Party C is not entitled to terminate this agreement under any circumstance.</w:t>
      </w:r>
    </w:p>
    <w:p>
      <w:pPr>
        <w:spacing w:after="0" w:line="209" w:lineRule="exact"/>
        <w:rPr>
          <w:sz w:val="20"/>
          <w:szCs w:val="20"/>
          <w:color w:val="auto"/>
        </w:rPr>
      </w:pPr>
    </w:p>
    <w:p>
      <w:pPr>
        <w:ind w:left="430" w:hanging="430"/>
        <w:spacing w:after="0"/>
        <w:tabs>
          <w:tab w:leader="none" w:pos="430" w:val="left"/>
        </w:tabs>
        <w:numPr>
          <w:ilvl w:val="0"/>
          <w:numId w:val="3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Dispute Resolution</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Governing Law</w:t>
      </w:r>
    </w:p>
    <w:p>
      <w:pPr>
        <w:spacing w:after="0" w:line="110" w:lineRule="exact"/>
        <w:rPr>
          <w:sz w:val="20"/>
          <w:szCs w:val="20"/>
          <w:color w:val="auto"/>
        </w:rPr>
      </w:pPr>
    </w:p>
    <w:p>
      <w:pPr>
        <w:ind w:left="430" w:right="140"/>
        <w:spacing w:after="0" w:line="270" w:lineRule="auto"/>
        <w:rPr>
          <w:sz w:val="20"/>
          <w:szCs w:val="20"/>
          <w:color w:val="auto"/>
        </w:rPr>
      </w:pPr>
      <w:r>
        <w:rPr>
          <w:rFonts w:ascii="Times New Roman" w:cs="Times New Roman" w:eastAsia="Times New Roman" w:hAnsi="Times New Roman"/>
          <w:sz w:val="18"/>
          <w:szCs w:val="18"/>
          <w:color w:val="auto"/>
        </w:rPr>
        <w:t>The execution, effectiveness, construction, performance, amendment and termination of this Agreement and the resolution of disputes hereunder shall be governed by Chinese law.</w:t>
      </w:r>
    </w:p>
    <w:p>
      <w:pPr>
        <w:spacing w:after="0" w:line="7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Dispute Resolution</w:t>
      </w:r>
    </w:p>
    <w:p>
      <w:pPr>
        <w:spacing w:after="0" w:line="110" w:lineRule="exact"/>
        <w:rPr>
          <w:sz w:val="20"/>
          <w:szCs w:val="20"/>
          <w:color w:val="auto"/>
        </w:rPr>
      </w:pPr>
    </w:p>
    <w:p>
      <w:pPr>
        <w:ind w:left="430"/>
        <w:spacing w:after="0" w:line="247" w:lineRule="auto"/>
        <w:rPr>
          <w:sz w:val="20"/>
          <w:szCs w:val="20"/>
          <w:color w:val="auto"/>
        </w:rPr>
      </w:pPr>
      <w:r>
        <w:rPr>
          <w:rFonts w:ascii="Times New Roman" w:cs="Times New Roman" w:eastAsia="Times New Roman" w:hAnsi="Times New Roman"/>
          <w:sz w:val="18"/>
          <w:szCs w:val="18"/>
          <w:color w:val="auto"/>
        </w:rPr>
        <w:t>Any disputes arising from the interpretation and implementation of this agreement shall be firstly solved through the Parties’ friendly negotiations. In case that the consensus on settlement of such disputes is not reached within 30 days after any party asks the other party to reach solution through friendly negotiations, any party can submit the disputes to Beijing Arbitration Commission, which gives verdict according to the prevailing arbitration rule at that time. The arbitration shall take place in Beijing and language for arbitration shall be Chinese. The arbitration award is final and binding on each party. The arbitral tribunal can order Party C to compensate the losses of Party A with Party C’s equity interests, assets or property rights and interests, reach judgment of mandatory relief through mandatory transfer of related business or assets or order Party B to declare bankruptcy. After the arbitration award becomes effective, any party is entitled to petition the relevant court to execute the arbitration award. If necessary, the arbitral institution is entitled to order the Defaulting Party to cease the breach of this agreement or refrain from actions that would increase the losses to Party A before making final verdict for the disputes of all parties. The courts in Hong Kong, Cayman Islands, China or other places with right of jurisdiction (including the court in the place of Party C, or the court in the place of main asset of Party A or Party C shall be deemed as the court with right of jurisdiction) similarly are entitled to confer or execute the verdict of the arbitral tribunal and is also entitled to make judgment or execute temporary relief for Party C’s equity or property interests, and give verdict or judgment of providing certain temporary relief for the party instigating the arbitration before the establishment of arbitral tribunal or in other appropriate circumstances, such as reaching verdict or judgment of ordering the Defaulting Party to cease the breaching of this Agreement or not to cause additional losses to Party A.</w:t>
      </w:r>
    </w:p>
    <w:p>
      <w:pPr>
        <w:spacing w:after="0" w:line="24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70"/>
          </w:cols>
          <w:pgMar w:left="550" w:top="266" w:right="579" w:bottom="1440" w:gutter="0" w:footer="0" w:header="0"/>
        </w:sectPr>
      </w:pPr>
    </w:p>
    <w:bookmarkStart w:id="368" w:name="page369"/>
    <w:bookmarkEnd w:id="368"/>
    <w:p>
      <w:pPr>
        <w:ind w:left="43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6.3</w:t>
        <w:tab/>
        <w:t>In the arbitration for any disputes arising from the interpretation and implementation of this agreement, the Parties herein shall continue executing other rights and obligations herein respectively except the matters herein in dispute.</w:t>
      </w:r>
    </w:p>
    <w:p>
      <w:pPr>
        <w:spacing w:after="0" w:line="76" w:lineRule="exact"/>
        <w:rPr>
          <w:sz w:val="20"/>
          <w:szCs w:val="20"/>
          <w:color w:val="auto"/>
        </w:rPr>
      </w:pPr>
    </w:p>
    <w:p>
      <w:pPr>
        <w:ind w:left="430" w:right="60" w:hanging="422"/>
        <w:spacing w:after="0" w:line="264" w:lineRule="auto"/>
        <w:tabs>
          <w:tab w:leader="none" w:pos="409"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Due to the issuing or alteration of any PRC Laws, rules or regulations or due to the change in interpretation or application of such laws, rules or regulations any time after the signing date, the following agreement shall be applicable: to the extent permitted by PRC Laws, (a) if the alteration of laws or newly issued regulations are more preferential for a Party compared to the relevant laws, decrees, orders or regulations that were in effect on the signing date hereof, each Party shall actively and immediately apply for obtaining the benefits brought by the modification or new regulations and put forth their best effort to obtain the approval for the application; or (b) in case that any party’s economic benefit is directly or indirectly adversely influenced due to the alteration of foregoing laws or newly issued regulations, this agreement shall be continuously executed as scheduled. All parties shall obtain the exemption from the altered or new regulations through legal means. If the negative effect on the economic benefit of any Party cannot be resolved under this agreement, all Parties shall immediately negotiate and make all necessary alterations to this agreement after receiving the notification of the affected Party to safeguard the economic benefit of the affected Party.</w:t>
      </w:r>
    </w:p>
    <w:p>
      <w:pPr>
        <w:spacing w:after="0" w:line="204" w:lineRule="exact"/>
        <w:rPr>
          <w:sz w:val="20"/>
          <w:szCs w:val="20"/>
          <w:color w:val="auto"/>
        </w:rPr>
      </w:pPr>
    </w:p>
    <w:p>
      <w:pPr>
        <w:ind w:left="430" w:hanging="430"/>
        <w:spacing w:after="0"/>
        <w:tabs>
          <w:tab w:leader="none" w:pos="43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and Fees</w:t>
      </w:r>
    </w:p>
    <w:p>
      <w:pPr>
        <w:spacing w:after="0" w:line="112" w:lineRule="exact"/>
        <w:rPr>
          <w:rFonts w:ascii="Times New Roman" w:cs="Times New Roman" w:eastAsia="Times New Roman" w:hAnsi="Times New Roman"/>
          <w:sz w:val="18"/>
          <w:szCs w:val="18"/>
          <w:b w:val="1"/>
          <w:bCs w:val="1"/>
          <w:color w:val="auto"/>
        </w:rPr>
      </w:pPr>
    </w:p>
    <w:p>
      <w:pPr>
        <w:ind w:left="43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C shall pay any and all transfer and registration taxes, expenses and fees incurred thereby or levied thereon in connection with the preparation and execution of this Agreement and the Transfer Contracts, as well as the consummation of the transactions contemplated under this Agreement and the Transfer Contracts.</w:t>
      </w:r>
    </w:p>
    <w:p>
      <w:pPr>
        <w:spacing w:after="0" w:line="350"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30"/>
          </w:cols>
          <w:pgMar w:left="550" w:top="266" w:right="619" w:bottom="1440" w:gutter="0" w:footer="0" w:header="0"/>
        </w:sectPr>
      </w:pPr>
    </w:p>
    <w:bookmarkStart w:id="369" w:name="page370"/>
    <w:bookmarkEnd w:id="369"/>
    <w:p>
      <w:pPr>
        <w:ind w:left="430" w:hanging="430"/>
        <w:spacing w:after="0"/>
        <w:tabs>
          <w:tab w:leader="none" w:pos="430" w:val="left"/>
        </w:tabs>
        <w:numPr>
          <w:ilvl w:val="0"/>
          <w:numId w:val="3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Notices</w:t>
      </w:r>
    </w:p>
    <w:p>
      <w:pPr>
        <w:spacing w:after="0" w:line="126" w:lineRule="exact"/>
        <w:rPr>
          <w:sz w:val="20"/>
          <w:szCs w:val="20"/>
          <w:color w:val="auto"/>
        </w:rPr>
      </w:pPr>
    </w:p>
    <w:p>
      <w:pPr>
        <w:ind w:left="430" w:right="32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8.1</w:t>
        <w:tab/>
        <w:t>All notices and other communications required or permitted to be given pursuant to this Agreement shall be delivered personally or sent by registered mail, prepaid postage, a commercial courier service or facsimile transmission to the address or fax number of such Party as listed in Exhibit I. The dates on which notices shall be deemed to have been effectively given shall be determined as follows:</w:t>
      </w:r>
    </w:p>
    <w:p>
      <w:pPr>
        <w:spacing w:after="0" w:line="86" w:lineRule="exact"/>
        <w:rPr>
          <w:sz w:val="20"/>
          <w:szCs w:val="20"/>
          <w:color w:val="auto"/>
        </w:rPr>
      </w:pPr>
    </w:p>
    <w:p>
      <w:pPr>
        <w:ind w:left="950" w:right="34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8.1.1</w:t>
        <w:tab/>
        <w:t>Notices given by personal delivery, courier service, registered mail or prepaid postage shall be deemed effectively given on the date of receipt or refusal at the address specified for notices;</w:t>
      </w:r>
    </w:p>
    <w:p>
      <w:pPr>
        <w:spacing w:after="0" w:line="76" w:lineRule="exact"/>
        <w:rPr>
          <w:sz w:val="20"/>
          <w:szCs w:val="20"/>
          <w:color w:val="auto"/>
        </w:rPr>
      </w:pPr>
    </w:p>
    <w:p>
      <w:pPr>
        <w:ind w:left="950" w:right="44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8.1.2</w:t>
        <w:tab/>
        <w:t>Notices given by facsimile transmission shall be deemed effectively given on the date of successful transmission (as evidenced by an automatically generated confirmation of transmission).</w:t>
      </w:r>
    </w:p>
    <w:p>
      <w:pPr>
        <w:spacing w:after="0" w:line="76" w:lineRule="exact"/>
        <w:rPr>
          <w:sz w:val="20"/>
          <w:szCs w:val="20"/>
          <w:color w:val="auto"/>
        </w:rPr>
      </w:pPr>
    </w:p>
    <w:p>
      <w:pPr>
        <w:ind w:left="430" w:right="34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8.2</w:t>
        <w:tab/>
        <w:t>Any Party may at any time change its address or fax number for notices by a notice delivered to the other Parties in accordance with the terms hereof.</w:t>
      </w:r>
    </w:p>
    <w:p>
      <w:pPr>
        <w:spacing w:after="0" w:line="193" w:lineRule="exact"/>
        <w:rPr>
          <w:sz w:val="20"/>
          <w:szCs w:val="20"/>
          <w:color w:val="auto"/>
        </w:rPr>
      </w:pPr>
    </w:p>
    <w:p>
      <w:pPr>
        <w:ind w:left="430" w:hanging="430"/>
        <w:spacing w:after="0"/>
        <w:tabs>
          <w:tab w:leader="none" w:pos="43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Parties acknowledge that any oral or written information exchanged between the Parties in connection with this Agreement is regarded as confidential information. Each Party shall maintain confidentiality of all such confidential information, and without the written consent of other Parties, it shall not disclose any relevant confidential information to any third parties, except for the following circumstances: (a)the information is in the public domain (other than through the receiving Party’s unauthorized disclosure); (b) the information is under the obligation to be disclosed pursuant to the applicable laws or rules of any stock exchange; (c) the information is required to be disclosed by any Party to its legal counsel or financial advisors regarding the transaction contemplated hereunder, provided that such legal counsels, or financial advisors shall be bound by the confidentiality obligations similar to those set forth in this Section; or(d) the information is disclosed by any party as a limited partnership(or a direct or indirect affiliate or subsidiary of a limited partnership) to the general partners, managers and existing and potential limited partners of such limited partnership. Disclosure of any confidential information by the employees or agencies engaged by any Party shall be deemed disclosure of such confidential information by such Party and such Party shall be held liable for breach of this Agreement. The Parties agree that the provisions of this Article shall survive the termination of this Agreement regardless of the reason why this Agreement is terminated.</w:t>
      </w:r>
    </w:p>
    <w:p>
      <w:pPr>
        <w:spacing w:after="0" w:line="35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70"/>
          </w:cols>
          <w:pgMar w:left="550" w:top="264" w:right="579" w:bottom="1440" w:gutter="0" w:footer="0" w:header="0"/>
        </w:sectPr>
      </w:pPr>
    </w:p>
    <w:bookmarkStart w:id="370" w:name="page371"/>
    <w:bookmarkEnd w:id="370"/>
    <w:p>
      <w:pPr>
        <w:ind w:left="430" w:hanging="430"/>
        <w:spacing w:after="0"/>
        <w:tabs>
          <w:tab w:leader="none" w:pos="43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Further Warranties</w:t>
      </w:r>
    </w:p>
    <w:p>
      <w:pPr>
        <w:spacing w:after="0" w:line="112" w:lineRule="exact"/>
        <w:rPr>
          <w:rFonts w:ascii="Times New Roman" w:cs="Times New Roman" w:eastAsia="Times New Roman" w:hAnsi="Times New Roman"/>
          <w:sz w:val="18"/>
          <w:szCs w:val="18"/>
          <w:b w:val="1"/>
          <w:bCs w:val="1"/>
          <w:color w:val="auto"/>
        </w:rPr>
      </w:pPr>
    </w:p>
    <w:p>
      <w:pPr>
        <w:ind w:left="43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to promptly execute documents that are reasonably required for or are conducive to the implementation of the provisions and purposes of this Agreement and take further actions that are reasonably required for or are conducive to the implementation of the provisions and purposes of this Agreement.</w:t>
      </w:r>
    </w:p>
    <w:p>
      <w:pPr>
        <w:spacing w:after="0" w:line="20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24" w:lineRule="exact"/>
        <w:rPr>
          <w:sz w:val="20"/>
          <w:szCs w:val="20"/>
          <w:color w:val="auto"/>
        </w:rPr>
      </w:pPr>
    </w:p>
    <w:p>
      <w:pPr>
        <w:ind w:left="430" w:right="200" w:hanging="422"/>
        <w:spacing w:after="0" w:line="259"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refers to events that cannot be foreseen, avoided and overcome so that this Agreement cannot be executed in part or full. Such events include but are limited to earthquake, typhoon, flood, water disaster, war, strike, turmoil, governmental behavior, changes to legal regulations or their application.</w:t>
      </w:r>
    </w:p>
    <w:p>
      <w:pPr>
        <w:spacing w:after="0" w:line="85" w:lineRule="exact"/>
        <w:rPr>
          <w:sz w:val="20"/>
          <w:szCs w:val="20"/>
          <w:color w:val="auto"/>
        </w:rPr>
      </w:pPr>
    </w:p>
    <w:p>
      <w:pPr>
        <w:ind w:left="430" w:hanging="422"/>
        <w:spacing w:after="0" w:line="251" w:lineRule="auto"/>
        <w:rPr>
          <w:sz w:val="20"/>
          <w:szCs w:val="20"/>
          <w:color w:val="auto"/>
        </w:rPr>
      </w:pPr>
      <w:r>
        <w:rPr>
          <w:rFonts w:ascii="Times New Roman" w:cs="Times New Roman" w:eastAsia="Times New Roman" w:hAnsi="Times New Roman"/>
          <w:sz w:val="18"/>
          <w:szCs w:val="18"/>
          <w:color w:val="auto"/>
        </w:rPr>
        <w:t>11.2 In case of the occurrence of a force majeure event, a Party’s obligation that is being affected by force majeure shall be automatically suspended during the delay caused by force majeure, and the party’s period of implementation of this agreement shall be automatically prolonged. The prolonged period is the period of the suspension, and the party shall not undertake responsibility and suffer from punishment for it. In case of force majeure, all parties shall instantly negotiate with each other to seek a fair solution and try to minimize effect of force majeure by exerting all reasonable efforts.</w:t>
      </w:r>
    </w:p>
    <w:p>
      <w:pPr>
        <w:spacing w:after="0" w:line="211" w:lineRule="exact"/>
        <w:rPr>
          <w:sz w:val="20"/>
          <w:szCs w:val="20"/>
          <w:color w:val="auto"/>
        </w:rPr>
      </w:pPr>
    </w:p>
    <w:p>
      <w:pPr>
        <w:ind w:left="430" w:hanging="430"/>
        <w:spacing w:after="0"/>
        <w:tabs>
          <w:tab w:leader="none" w:pos="43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12.1  Non-Joint Liabilities and Liability Limitations</w:t>
      </w:r>
    </w:p>
    <w:p>
      <w:pPr>
        <w:spacing w:after="0" w:line="110" w:lineRule="exact"/>
        <w:rPr>
          <w:sz w:val="20"/>
          <w:szCs w:val="20"/>
          <w:color w:val="auto"/>
        </w:rPr>
      </w:pPr>
    </w:p>
    <w:p>
      <w:pPr>
        <w:ind w:left="430" w:right="380"/>
        <w:spacing w:after="0" w:line="270" w:lineRule="auto"/>
        <w:rPr>
          <w:sz w:val="20"/>
          <w:szCs w:val="20"/>
          <w:color w:val="auto"/>
        </w:rPr>
      </w:pPr>
      <w:r>
        <w:rPr>
          <w:rFonts w:ascii="Times New Roman" w:cs="Times New Roman" w:eastAsia="Times New Roman" w:hAnsi="Times New Roman"/>
          <w:sz w:val="18"/>
          <w:szCs w:val="18"/>
          <w:color w:val="auto"/>
        </w:rPr>
        <w:t>Despite any adverse provisions in this Agreement or other transaction documents (as defined in the Equity Interest Pledge Agreement) or any other document or law, Party B’s obligations and liabilities under this Agreement are on a several and not joint basis.</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12.2  Amendments, changes and supplement</w:t>
      </w:r>
    </w:p>
    <w:p>
      <w:pPr>
        <w:spacing w:after="0" w:line="110" w:lineRule="exact"/>
        <w:rPr>
          <w:sz w:val="20"/>
          <w:szCs w:val="20"/>
          <w:color w:val="auto"/>
        </w:rPr>
      </w:pPr>
    </w:p>
    <w:p>
      <w:pPr>
        <w:jc w:val="both"/>
        <w:ind w:left="430" w:right="40"/>
        <w:spacing w:after="0" w:line="258" w:lineRule="auto"/>
        <w:rPr>
          <w:sz w:val="20"/>
          <w:szCs w:val="20"/>
          <w:color w:val="auto"/>
        </w:rPr>
      </w:pPr>
      <w:r>
        <w:rPr>
          <w:rFonts w:ascii="Times New Roman" w:cs="Times New Roman" w:eastAsia="Times New Roman" w:hAnsi="Times New Roman"/>
          <w:sz w:val="18"/>
          <w:szCs w:val="18"/>
          <w:color w:val="auto"/>
        </w:rPr>
        <w:t>For matters not included herein, the Parties may otherwise enter into supplement agreement upon negotiations. Any revision and supplementation of this agreement shall be made in writing. Any revision and supplementary agreement signed by the Parties relating to this agreement shall be the inalienable part of this agreement, having the same legal effect.</w:t>
      </w:r>
    </w:p>
    <w:p>
      <w:pPr>
        <w:spacing w:after="0" w:line="73"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If any revisions to this Agreement is proposed by the Stock Exchange of Hong Kong Limited or other regulatory authorities, or any change in the listing rules or related requirements hereof relating to this agreement, the parties shall revise this agreement reasonably and accordingly.</w:t>
      </w:r>
    </w:p>
    <w:p>
      <w:pPr>
        <w:spacing w:after="0" w:line="3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90"/>
          </w:cols>
          <w:pgMar w:left="550" w:top="264" w:right="55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12.3  Entire agreement</w:t>
      </w:r>
    </w:p>
    <w:p>
      <w:pPr>
        <w:spacing w:after="0" w:line="110"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Except for the amendments, supplements or changes in writing executed after the execution of this Agreement, this Agreement shall constitute the entire agreement reached by and among the Parties hereto with respect to the subject matter hereof, and shall supersede all prior oral and written consultations, representations and contracts reached with respect to the subject matter of this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Headings</w:t>
      </w:r>
    </w:p>
    <w:p>
      <w:pPr>
        <w:spacing w:after="0" w:line="110" w:lineRule="exact"/>
        <w:rPr>
          <w:sz w:val="20"/>
          <w:szCs w:val="20"/>
          <w:color w:val="auto"/>
        </w:rPr>
      </w:pPr>
    </w:p>
    <w:p>
      <w:pPr>
        <w:ind w:left="420"/>
        <w:spacing w:after="0" w:line="270" w:lineRule="auto"/>
        <w:rPr>
          <w:sz w:val="20"/>
          <w:szCs w:val="20"/>
          <w:color w:val="auto"/>
        </w:rPr>
      </w:pPr>
      <w:r>
        <w:rPr>
          <w:rFonts w:ascii="Times New Roman" w:cs="Times New Roman" w:eastAsia="Times New Roman" w:hAnsi="Times New Roman"/>
          <w:sz w:val="18"/>
          <w:szCs w:val="18"/>
          <w:color w:val="auto"/>
        </w:rPr>
        <w:t>The headings of this Agreement are for convenience in reading only, and shall not be used to interpret, explain or otherwise affect the meanings of the provisions of this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Text</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agreement has five copies with one held by each Party, having the same legal effect.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  Severability</w:t>
      </w:r>
    </w:p>
    <w:p>
      <w:pPr>
        <w:spacing w:after="0" w:line="110" w:lineRule="exact"/>
        <w:rPr>
          <w:sz w:val="20"/>
          <w:szCs w:val="20"/>
          <w:color w:val="auto"/>
        </w:rPr>
      </w:pPr>
    </w:p>
    <w:p>
      <w:pPr>
        <w:ind w:left="420" w:right="220"/>
        <w:spacing w:after="0" w:line="251" w:lineRule="auto"/>
        <w:rPr>
          <w:sz w:val="20"/>
          <w:szCs w:val="20"/>
          <w:color w:val="auto"/>
        </w:rPr>
      </w:pPr>
      <w:r>
        <w:rPr>
          <w:rFonts w:ascii="Times New Roman" w:cs="Times New Roman" w:eastAsia="Times New Roman" w:hAnsi="Times New Roman"/>
          <w:sz w:val="18"/>
          <w:szCs w:val="18"/>
          <w:color w:val="auto"/>
        </w:rPr>
        <w:t>In the event that one or several of the provisions of this Agreement are found to be invalid, illegal or unenforceable in any aspect in accordance with any laws or regulations, the validity, legality or enforceability of the remaining provisions of this Agreement shall not be affected or compromised in any respect. The Parties shall strive in good faith to replace such invalid, illegal or unenforceable provisions with effective provisions that accomplish to the greatest extent permitted by law and the intentions of the Parties, and the economic effect of such effective provisions shall be as close as possible to the economic effect of those invalid, illegal or unenforceable provisions.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Successors</w:t>
      </w:r>
    </w:p>
    <w:p>
      <w:pPr>
        <w:spacing w:after="0" w:line="110" w:lineRule="exact"/>
        <w:rPr>
          <w:sz w:val="20"/>
          <w:szCs w:val="20"/>
          <w:color w:val="auto"/>
        </w:rPr>
      </w:pPr>
    </w:p>
    <w:p>
      <w:pPr>
        <w:ind w:left="420" w:right="340"/>
        <w:spacing w:after="0" w:line="270" w:lineRule="auto"/>
        <w:rPr>
          <w:sz w:val="20"/>
          <w:szCs w:val="20"/>
          <w:color w:val="auto"/>
        </w:rPr>
      </w:pPr>
      <w:r>
        <w:rPr>
          <w:rFonts w:ascii="Times New Roman" w:cs="Times New Roman" w:eastAsia="Times New Roman" w:hAnsi="Times New Roman"/>
          <w:sz w:val="18"/>
          <w:szCs w:val="18"/>
          <w:color w:val="auto"/>
        </w:rPr>
        <w:t>This Agreement shall be binding on and shall inure to the interest of the respective successors of the Parties and the permitted assigns of such Parties.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  Survival</w:t>
      </w:r>
    </w:p>
    <w:p>
      <w:pPr>
        <w:spacing w:after="0" w:line="124" w:lineRule="exact"/>
        <w:rPr>
          <w:sz w:val="20"/>
          <w:szCs w:val="20"/>
          <w:color w:val="auto"/>
        </w:rPr>
      </w:pPr>
    </w:p>
    <w:p>
      <w:pPr>
        <w:ind w:left="940" w:right="260" w:hanging="528"/>
        <w:spacing w:after="0" w:line="270" w:lineRule="auto"/>
        <w:rPr>
          <w:sz w:val="20"/>
          <w:szCs w:val="20"/>
          <w:color w:val="auto"/>
        </w:rPr>
      </w:pPr>
      <w:r>
        <w:rPr>
          <w:rFonts w:ascii="Times New Roman" w:cs="Times New Roman" w:eastAsia="Times New Roman" w:hAnsi="Times New Roman"/>
          <w:sz w:val="18"/>
          <w:szCs w:val="18"/>
          <w:color w:val="auto"/>
        </w:rPr>
        <w:t>12.8.1 Any obligations that occur or that are due as a result of this Agreement upon the expiration or early termination of this Agreement shall survive the expiration or early termination thereof.</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40"/>
          </w:cols>
          <w:pgMar w:left="560" w:top="266" w:right="599" w:bottom="1440" w:gutter="0" w:footer="0" w:header="0"/>
        </w:sectPr>
      </w:pPr>
    </w:p>
    <w:bookmarkStart w:id="372" w:name="page373"/>
    <w:bookmarkEnd w:id="372"/>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12.8.2 The provisions of Article 6,7,8,9,12.1 and this Article 12.8 shall survive the termination of this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  Waivers</w:t>
      </w:r>
    </w:p>
    <w:p>
      <w:pPr>
        <w:spacing w:after="0" w:line="110" w:lineRule="exact"/>
        <w:rPr>
          <w:sz w:val="20"/>
          <w:szCs w:val="20"/>
          <w:color w:val="auto"/>
        </w:rPr>
      </w:pPr>
    </w:p>
    <w:p>
      <w:pPr>
        <w:jc w:val="both"/>
        <w:ind w:left="420" w:right="20"/>
        <w:spacing w:after="0" w:line="258" w:lineRule="auto"/>
        <w:rPr>
          <w:sz w:val="20"/>
          <w:szCs w:val="20"/>
          <w:color w:val="auto"/>
        </w:rPr>
      </w:pPr>
      <w:r>
        <w:rPr>
          <w:rFonts w:ascii="Times New Roman" w:cs="Times New Roman" w:eastAsia="Times New Roman" w:hAnsi="Times New Roman"/>
          <w:sz w:val="18"/>
          <w:szCs w:val="18"/>
          <w:color w:val="auto"/>
        </w:rPr>
        <w:t>Any Party may waive the rights hereof, provided that such a waiver must be provided in writing and shall require the signatures of the Parties. No waiver by any Party in certain circumstances with respect to a breach by other Parties shall operate as a waiver by such a Party with respect to any similar breach in other circumstances.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12.10 Compliance with laws and regulations</w:t>
      </w:r>
    </w:p>
    <w:p>
      <w:pPr>
        <w:spacing w:after="0" w:line="110" w:lineRule="exact"/>
        <w:rPr>
          <w:sz w:val="20"/>
          <w:szCs w:val="20"/>
          <w:color w:val="auto"/>
        </w:rPr>
      </w:pPr>
    </w:p>
    <w:p>
      <w:pPr>
        <w:ind w:left="420" w:right="120"/>
        <w:spacing w:after="0" w:line="270" w:lineRule="auto"/>
        <w:rPr>
          <w:sz w:val="20"/>
          <w:szCs w:val="20"/>
          <w:color w:val="auto"/>
        </w:rPr>
      </w:pPr>
      <w:r>
        <w:rPr>
          <w:rFonts w:ascii="Times New Roman" w:cs="Times New Roman" w:eastAsia="Times New Roman" w:hAnsi="Times New Roman"/>
          <w:sz w:val="18"/>
          <w:szCs w:val="18"/>
          <w:color w:val="auto"/>
        </w:rPr>
        <w:t>The Parties shall comply with and make sure its business operation comply with all Chinese laws and regulations which are binding on them and have been formally issued and may be publicly acquired.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12.11 Transfer</w:t>
      </w:r>
    </w:p>
    <w:p>
      <w:pPr>
        <w:spacing w:after="0" w:line="110"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Without prior written consent of Party A, Party C and/or Party B should not transfer any rights/and or obligations herein to any third party. Party B and Party C hereby agree that Party A is entitled to transfer any of Party A’s rights and/or obligations herein to any third party after notifying Party B and Party C in writing. Party B and Party C shall sign a supplementary agreement with the transferee or a new agreement containing substantially the same content herein with the transferee.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560" w:top="267" w:right="57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Option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Exclusive Option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Jingxundi Supply Chain Technology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Xi’an Jingxundi Supply Chain Technology Co., Ltd. 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81368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5">
                      <a:extLst>
                        <a:ext uri="{28A0092B-C50C-407E-A947-70E740481C1C}"/>
                      </a:extLst>
                    </a:blip>
                    <a:srcRect/>
                    <a:stretch>
                      <a:fillRect/>
                    </a:stretch>
                  </pic:blipFill>
                  <pic:spPr bwMode="auto">
                    <a:xfrm>
                      <a:off x="0" y="0"/>
                      <a:ext cx="28136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Jingxundi Supply Chain Technology Co., Ltd.)</w:t>
      </w:r>
    </w:p>
    <w:p>
      <w:pPr>
        <w:sectPr>
          <w:pgSz w:w="11900" w:h="16838" w:orient="portrait"/>
          <w:cols w:equalWidth="0" w:num="1">
            <w:col w:w="9899"/>
          </w:cols>
          <w:pgMar w:left="560" w:top="266" w:right="1440"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Option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Exclusive Option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Jingdong Xincheng Information Technology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 Jingdong Xincheng Information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251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7">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Jingdong Xincheng Information Technology Co., Ltd.)</w:t>
      </w:r>
    </w:p>
    <w:p>
      <w:pPr>
        <w:sectPr>
          <w:pgSz w:w="11900" w:h="16838" w:orient="portrait"/>
          <w:cols w:equalWidth="0" w:num="1">
            <w:col w:w="9899"/>
          </w:cols>
          <w:pgMar w:left="560" w:top="266" w:right="1440"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Option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Exclusive Option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9">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Option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Exclusive Option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1">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Exclusive Option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Exclusive Option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4847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3">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378" w:name="page379"/>
    <w:bookmarkEnd w:id="378"/>
    <w:p>
      <w:pPr>
        <w:ind w:left="50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 of notices, the contacts information of the Parties are as follows: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Jingxundi Supply Chain Technology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Qin Miao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Yayun Li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Pang Zhang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Jingdong Xincheng Information Technology Co.,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ectPr>
          <w:pgSz w:w="11900" w:h="16838" w:orient="portrait"/>
          <w:cols w:equalWidth="0" w:num="1">
            <w:col w:w="9899"/>
          </w:cols>
          <w:pgMar w:left="560" w:top="266" w:right="1440" w:bottom="1440" w:gutter="0" w:footer="0" w:header="0"/>
        </w:sectPr>
      </w:pPr>
    </w:p>
    <w:bookmarkStart w:id="379" w:name="page380"/>
    <w:bookmarkEnd w:id="3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A</w:t>
      </w:r>
    </w:p>
    <w:p>
      <w:pPr>
        <w:spacing w:after="0" w:line="2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exclusive option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6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Executing</w:t>
            </w:r>
          </w:p>
        </w:tc>
        <w:tc>
          <w:tcPr>
            <w:tcW w:w="100" w:type="dxa"/>
            <w:vAlign w:val="bottom"/>
          </w:tcPr>
          <w:p>
            <w:pPr>
              <w:spacing w:after="0"/>
              <w:rPr>
                <w:sz w:val="13"/>
                <w:szCs w:val="13"/>
                <w:color w:val="auto"/>
              </w:rPr>
            </w:pPr>
          </w:p>
        </w:tc>
        <w:tc>
          <w:tcPr>
            <w:tcW w:w="28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58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183"/>
        </w:trPr>
        <w:tc>
          <w:tcPr>
            <w:tcW w:w="2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Pr>
          <w:p>
            <w:pPr>
              <w:spacing w:after="0"/>
              <w:rPr>
                <w:sz w:val="15"/>
                <w:szCs w:val="15"/>
                <w:color w:val="auto"/>
              </w:rPr>
            </w:pPr>
          </w:p>
        </w:tc>
        <w:tc>
          <w:tcPr>
            <w:tcW w:w="2800" w:type="dxa"/>
            <w:vAlign w:val="bottom"/>
            <w:gridSpan w:val="2"/>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7"/>
              </w:rPr>
              <w:t>Suqian Jingdong Tianning Jiankang</w:t>
            </w:r>
          </w:p>
        </w:tc>
        <w:tc>
          <w:tcPr>
            <w:tcW w:w="160" w:type="dxa"/>
            <w:vAlign w:val="bottom"/>
          </w:tcPr>
          <w:p>
            <w:pPr>
              <w:spacing w:after="0"/>
              <w:rPr>
                <w:sz w:val="16"/>
                <w:szCs w:val="16"/>
                <w:color w:val="auto"/>
              </w:rPr>
            </w:pPr>
          </w:p>
        </w:tc>
        <w:tc>
          <w:tcPr>
            <w:tcW w:w="25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9"/>
              </w:rPr>
              <w:t>Party A: Beijing Jingdong Jiankang</w:t>
            </w:r>
          </w:p>
        </w:tc>
        <w:tc>
          <w:tcPr>
            <w:tcW w:w="100" w:type="dxa"/>
            <w:vAlign w:val="bottom"/>
          </w:tcPr>
          <w:p>
            <w:pPr>
              <w:spacing w:after="0"/>
              <w:rPr>
                <w:sz w:val="16"/>
                <w:szCs w:val="16"/>
                <w:color w:val="auto"/>
              </w:rPr>
            </w:pPr>
          </w:p>
        </w:tc>
        <w:tc>
          <w:tcPr>
            <w:tcW w:w="27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c>
          <w:tcPr>
            <w:tcW w:w="100" w:type="dxa"/>
            <w:vAlign w:val="bottom"/>
          </w:tcPr>
          <w:p>
            <w:pPr>
              <w:spacing w:after="0"/>
              <w:rPr>
                <w:sz w:val="16"/>
                <w:szCs w:val="16"/>
                <w:color w:val="auto"/>
              </w:rPr>
            </w:pPr>
          </w:p>
        </w:tc>
        <w:tc>
          <w:tcPr>
            <w:tcW w:w="25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 Ltd.</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Party B: Qin Miao, Tingting Sui and</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Pang Zhang</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Party C: Suqian Jingdong Tianning</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Jiankang Technology Co., Ltd.</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Jingxi Logistics</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Party A: Jingdong Logistics Supply</w:t>
            </w:r>
          </w:p>
        </w:tc>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January 25, 2021</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c>
          <w:tcPr>
            <w:tcW w:w="0" w:type="dxa"/>
            <w:vAlign w:val="bottom"/>
          </w:tcPr>
          <w:p>
            <w:pPr>
              <w:spacing w:after="0"/>
              <w:rPr>
                <w:sz w:val="1"/>
                <w:szCs w:val="1"/>
                <w:color w:val="auto"/>
              </w:rPr>
            </w:pPr>
          </w:p>
        </w:tc>
      </w:tr>
      <w:tr>
        <w:trPr>
          <w:trHeight w:val="229"/>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Chain Co., Ltd.</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Party B: Jian Cui and Dingkai Yu</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Party C: Guangdong Jingxi</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Logistics Technology Co., Ltd.</w:t>
            </w: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4" w:right="55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4.18</w:t>
      </w: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16" w:lineRule="exact"/>
        <w:rPr>
          <w:sz w:val="20"/>
          <w:szCs w:val="20"/>
          <w:color w:val="auto"/>
        </w:rPr>
      </w:pPr>
    </w:p>
    <w:p>
      <w:pPr>
        <w:ind w:left="10" w:right="660"/>
        <w:spacing w:after="0" w:line="273" w:lineRule="auto"/>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executed by ad among the following Parties on September 16, 2022 in Beijing,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10" w:right="140"/>
        <w:spacing w:after="0" w:line="273" w:lineRule="auto"/>
        <w:rPr>
          <w:sz w:val="20"/>
          <w:szCs w:val="20"/>
          <w:color w:val="auto"/>
        </w:rPr>
      </w:pPr>
      <w:r>
        <w:rPr>
          <w:rFonts w:ascii="Times New Roman" w:cs="Times New Roman" w:eastAsia="Times New Roman" w:hAnsi="Times New Roman"/>
          <w:sz w:val="18"/>
          <w:szCs w:val="18"/>
          <w:b w:val="1"/>
          <w:bCs w:val="1"/>
          <w:color w:val="auto"/>
        </w:rPr>
        <w:t>Lender: Xi’an Jingxundi Supply Chain Technology Co., Ltd</w:t>
      </w:r>
      <w:r>
        <w:rPr>
          <w:rFonts w:ascii="Times New Roman" w:cs="Times New Roman" w:eastAsia="Times New Roman" w:hAnsi="Times New Roman"/>
          <w:sz w:val="18"/>
          <w:szCs w:val="18"/>
          <w:color w:val="auto"/>
        </w:rPr>
        <w:t>., a limited liability company, organized and existing under the laws of the PRC, with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at Building 5, SkyCity Central Square, East Chang’An Street No.666, National Civil Space Industrial Base, Xi’an, Shaanxi, China;</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240" w:lineRule="exact"/>
        <w:rPr>
          <w:sz w:val="20"/>
          <w:szCs w:val="20"/>
          <w:color w:val="auto"/>
        </w:rPr>
      </w:pPr>
    </w:p>
    <w:p>
      <w:pPr>
        <w:ind w:left="10"/>
        <w:spacing w:after="0"/>
        <w:tabs>
          <w:tab w:leader="none" w:pos="1069" w:val="left"/>
        </w:tabs>
        <w:rPr>
          <w:sz w:val="20"/>
          <w:szCs w:val="20"/>
          <w:color w:val="auto"/>
        </w:rPr>
      </w:pPr>
      <w:r>
        <w:rPr>
          <w:rFonts w:ascii="Times New Roman" w:cs="Times New Roman" w:eastAsia="Times New Roman" w:hAnsi="Times New Roman"/>
          <w:sz w:val="18"/>
          <w:szCs w:val="18"/>
          <w:color w:val="auto"/>
        </w:rPr>
        <w:t>Borrowers:</w:t>
      </w:r>
      <w:r>
        <w:rPr>
          <w:sz w:val="20"/>
          <w:szCs w:val="20"/>
          <w:color w:val="auto"/>
        </w:rPr>
        <w:tab/>
      </w:r>
      <w:r>
        <w:rPr>
          <w:rFonts w:ascii="Times New Roman" w:cs="Times New Roman" w:eastAsia="Times New Roman" w:hAnsi="Times New Roman"/>
          <w:sz w:val="18"/>
          <w:szCs w:val="18"/>
          <w:b w:val="1"/>
          <w:bCs w:val="1"/>
          <w:color w:val="auto"/>
        </w:rPr>
        <w:t>Qin Miao</w:t>
      </w:r>
      <w:r>
        <w:rPr>
          <w:rFonts w:ascii="Times New Roman" w:cs="Times New Roman" w:eastAsia="Times New Roman" w:hAnsi="Times New Roman"/>
          <w:sz w:val="18"/>
          <w:szCs w:val="18"/>
          <w:color w:val="auto"/>
        </w:rPr>
        <w:t>, Chinese Identification No. ***;</w:t>
      </w:r>
    </w:p>
    <w:p>
      <w:pPr>
        <w:spacing w:after="0" w:line="24"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8"/>
          <w:szCs w:val="18"/>
          <w:b w:val="1"/>
          <w:bCs w:val="1"/>
          <w:color w:val="auto"/>
        </w:rPr>
        <w:t xml:space="preserve">Yayun Li, </w:t>
      </w:r>
      <w:r>
        <w:rPr>
          <w:rFonts w:ascii="Times New Roman" w:cs="Times New Roman" w:eastAsia="Times New Roman" w:hAnsi="Times New Roman"/>
          <w:sz w:val="18"/>
          <w:szCs w:val="18"/>
          <w:color w:val="auto"/>
        </w:rPr>
        <w:t>Chinese Identification No. ***;</w:t>
      </w:r>
    </w:p>
    <w:p>
      <w:pPr>
        <w:spacing w:after="0" w:line="5"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8"/>
          <w:szCs w:val="18"/>
          <w:b w:val="1"/>
          <w:bCs w:val="1"/>
          <w:color w:val="auto"/>
        </w:rPr>
        <w:t xml:space="preserve">Pang Zhang, </w:t>
      </w:r>
      <w:r>
        <w:rPr>
          <w:rFonts w:ascii="Times New Roman" w:cs="Times New Roman" w:eastAsia="Times New Roman" w:hAnsi="Times New Roman"/>
          <w:sz w:val="18"/>
          <w:szCs w:val="18"/>
          <w:color w:val="auto"/>
        </w:rPr>
        <w:t>Chinese Identification No. ***.</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this Agreement, the Lender and the Borrowers are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the Parties hereby agree as follows through friendly negotiations:</w:t>
      </w:r>
    </w:p>
    <w:p>
      <w:pPr>
        <w:spacing w:after="0" w:line="122" w:lineRule="exact"/>
        <w:rPr>
          <w:sz w:val="20"/>
          <w:szCs w:val="20"/>
          <w:color w:val="auto"/>
        </w:rPr>
      </w:pPr>
    </w:p>
    <w:p>
      <w:pPr>
        <w:ind w:left="430" w:hanging="430"/>
        <w:spacing w:after="0"/>
        <w:tabs>
          <w:tab w:leader="none" w:pos="43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w:t>
      </w:r>
    </w:p>
    <w:p>
      <w:pPr>
        <w:spacing w:after="0" w:line="125" w:lineRule="exact"/>
        <w:rPr>
          <w:rFonts w:ascii="Times New Roman" w:cs="Times New Roman" w:eastAsia="Times New Roman" w:hAnsi="Times New Roman"/>
          <w:sz w:val="18"/>
          <w:szCs w:val="18"/>
          <w:b w:val="1"/>
          <w:bCs w:val="1"/>
          <w:color w:val="auto"/>
        </w:rPr>
      </w:pPr>
    </w:p>
    <w:p>
      <w:pPr>
        <w:ind w:left="950" w:right="60" w:hanging="52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Subject to the terms and conditions of this Agreement, the Lender agrees to provide a loan at an aggregate amount of RMB one million (¥1,000,000.00) (the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to the Borrowers, which the Loan will be provided to Qin Miao at the amount of RMB four hundred and fifty thousand (¥450,000.00), the Loan will be provided to Yayun Li at the amount of RMB three hundred thousand (¥300,000.00), and the Loan will be provided by Pang Zhang at the amount of RMB two hundred and fifty thousand (¥250,000.00).</w:t>
      </w:r>
    </w:p>
    <w:p>
      <w:pPr>
        <w:spacing w:after="0" w:line="92" w:lineRule="exact"/>
        <w:rPr>
          <w:rFonts w:ascii="Times New Roman" w:cs="Times New Roman" w:eastAsia="Times New Roman" w:hAnsi="Times New Roman"/>
          <w:sz w:val="18"/>
          <w:szCs w:val="18"/>
          <w:b w:val="1"/>
          <w:bCs w:val="1"/>
          <w:color w:val="auto"/>
        </w:rPr>
      </w:pPr>
    </w:p>
    <w:p>
      <w:pPr>
        <w:ind w:left="950" w:right="18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It is confirmed that the Lender will provide, and the Borrowers will receive the full amount of the Loan when the Borrowers make actual capital contribution to Xi’an Jingdong Xincheng Information Technology Co., Ltd.</w:t>
      </w:r>
    </w:p>
    <w:p>
      <w:pPr>
        <w:spacing w:after="0" w:line="76" w:lineRule="exact"/>
        <w:rPr>
          <w:rFonts w:ascii="Times New Roman" w:cs="Times New Roman" w:eastAsia="Times New Roman" w:hAnsi="Times New Roman"/>
          <w:sz w:val="18"/>
          <w:szCs w:val="18"/>
          <w:b w:val="1"/>
          <w:bCs w:val="1"/>
          <w:color w:val="auto"/>
        </w:rPr>
      </w:pPr>
    </w:p>
    <w:p>
      <w:pPr>
        <w:ind w:left="950" w:right="4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 The Borrowers agree to use the Loan to pay for their investment in the registered capital of Xi’an Jingdong Xincheng Information Technology Co., Ltd. (the “</w:t>
      </w:r>
      <w:r>
        <w:rPr>
          <w:rFonts w:ascii="Times New Roman" w:cs="Times New Roman" w:eastAsia="Times New Roman" w:hAnsi="Times New Roman"/>
          <w:sz w:val="18"/>
          <w:szCs w:val="18"/>
          <w:b w:val="1"/>
          <w:bCs w:val="1"/>
          <w:color w:val="auto"/>
        </w:rPr>
        <w:t>Borrower Company</w:t>
      </w:r>
      <w:r>
        <w:rPr>
          <w:rFonts w:ascii="Times New Roman" w:cs="Times New Roman" w:eastAsia="Times New Roman" w:hAnsi="Times New Roman"/>
          <w:sz w:val="18"/>
          <w:szCs w:val="18"/>
          <w:color w:val="auto"/>
        </w:rPr>
        <w:t>”) and, unless with prior written consent of the Lender, will not use the Loan for any other purpose, or transfer or pledge its shares or other interests in the Borrower Company to any third party.</w:t>
      </w:r>
    </w:p>
    <w:p>
      <w:pPr>
        <w:spacing w:after="0" w:line="8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    It is confirmed that the Lender will not charge any interest upon the Loan, unless otherwise provided herein.</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9" w:right="559" w:bottom="1440" w:gutter="0" w:footer="0" w:header="0"/>
        </w:sectPr>
      </w:pPr>
    </w:p>
    <w:bookmarkStart w:id="381" w:name="page382"/>
    <w:bookmarkEnd w:id="381"/>
    <w:p>
      <w:pPr>
        <w:ind w:left="430" w:hanging="430"/>
        <w:spacing w:after="0"/>
        <w:tabs>
          <w:tab w:leader="none" w:pos="43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Term of Loan</w:t>
      </w:r>
    </w:p>
    <w:p>
      <w:pPr>
        <w:spacing w:after="0" w:line="125" w:lineRule="exact"/>
        <w:rPr>
          <w:rFonts w:ascii="Times New Roman" w:cs="Times New Roman" w:eastAsia="Times New Roman" w:hAnsi="Times New Roman"/>
          <w:sz w:val="18"/>
          <w:szCs w:val="18"/>
          <w:b w:val="1"/>
          <w:bCs w:val="1"/>
          <w:color w:val="auto"/>
        </w:rPr>
      </w:pPr>
    </w:p>
    <w:p>
      <w:pPr>
        <w:ind w:left="950" w:right="42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2.1 The term of the Loan hereunder shall be ten (10) years from the date when the Borrowers actually receive all or any part of the Loan. Unless otherwise indicated by the Lender prior to its expiration, the term of the Loan will be automatically extended for another ten</w:t>
      </w:r>
    </w:p>
    <w:p>
      <w:pPr>
        <w:ind w:left="1290" w:hanging="338"/>
        <w:spacing w:after="0"/>
        <w:tabs>
          <w:tab w:leader="none" w:pos="129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and so forth thereafter.</w:t>
      </w:r>
    </w:p>
    <w:p>
      <w:pPr>
        <w:spacing w:after="0" w:line="10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During the term or any extended term of the Loan, the Loan will become immediately due and payable by the Borrowers, and the</w:t>
      </w:r>
    </w:p>
    <w:p>
      <w:pPr>
        <w:spacing w:after="0" w:line="22" w:lineRule="exact"/>
        <w:rPr>
          <w:sz w:val="20"/>
          <w:szCs w:val="20"/>
          <w:color w:val="auto"/>
        </w:rPr>
      </w:pPr>
    </w:p>
    <w:p>
      <w:pPr>
        <w:ind w:left="950"/>
        <w:spacing w:after="0"/>
        <w:rPr>
          <w:sz w:val="20"/>
          <w:szCs w:val="20"/>
          <w:color w:val="auto"/>
        </w:rPr>
      </w:pPr>
      <w:r>
        <w:rPr>
          <w:rFonts w:ascii="Times New Roman" w:cs="Times New Roman" w:eastAsia="Times New Roman" w:hAnsi="Times New Roman"/>
          <w:sz w:val="18"/>
          <w:szCs w:val="18"/>
          <w:color w:val="auto"/>
        </w:rPr>
        <w:t>Borrowers shall immediately make the repayment of the Loan pursuant to the terms of this Agreement if:</w:t>
      </w:r>
    </w:p>
    <w:p>
      <w:pPr>
        <w:spacing w:after="0" w:line="106" w:lineRule="exact"/>
        <w:rPr>
          <w:sz w:val="20"/>
          <w:szCs w:val="20"/>
          <w:color w:val="auto"/>
        </w:rPr>
      </w:pPr>
    </w:p>
    <w:p>
      <w:pPr>
        <w:ind w:left="1390" w:hanging="424"/>
        <w:spacing w:after="0"/>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die or become a person incapacitated or with limited capacity for civil acts;</w:t>
      </w:r>
    </w:p>
    <w:p>
      <w:pPr>
        <w:spacing w:after="0" w:line="123"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resign or are dismissed by the Lender, the Borrower Company or any affiliate of the Lender;</w:t>
      </w:r>
    </w:p>
    <w:p>
      <w:pPr>
        <w:spacing w:after="0" w:line="123"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commit a crime or are involved in a crime;</w:t>
      </w:r>
    </w:p>
    <w:p>
      <w:pPr>
        <w:spacing w:after="0" w:line="123" w:lineRule="exact"/>
        <w:rPr>
          <w:rFonts w:ascii="Times New Roman" w:cs="Times New Roman" w:eastAsia="Times New Roman" w:hAnsi="Times New Roman"/>
          <w:sz w:val="18"/>
          <w:szCs w:val="18"/>
          <w:color w:val="auto"/>
        </w:rPr>
      </w:pPr>
    </w:p>
    <w:p>
      <w:pPr>
        <w:ind w:left="1390" w:right="100" w:hanging="424"/>
        <w:spacing w:after="0" w:line="270" w:lineRule="auto"/>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pursue any claim of more than RMB100,000 against any of the Borrowers and the Lender has reasonable ground to believe that the Borrowers will not be capable to pay for such claim;</w:t>
      </w:r>
    </w:p>
    <w:p>
      <w:pPr>
        <w:spacing w:after="0" w:line="76" w:lineRule="exact"/>
        <w:rPr>
          <w:rFonts w:ascii="Times New Roman" w:cs="Times New Roman" w:eastAsia="Times New Roman" w:hAnsi="Times New Roman"/>
          <w:sz w:val="18"/>
          <w:szCs w:val="18"/>
          <w:color w:val="auto"/>
        </w:rPr>
      </w:pPr>
    </w:p>
    <w:p>
      <w:pPr>
        <w:ind w:left="1390" w:right="100" w:hanging="424"/>
        <w:spacing w:after="0" w:line="270" w:lineRule="auto"/>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decides to perform the Exclusive Option Agreement (as defined below) when foreign enterprises are allowed to control or wholly own the Borrower Company under applicable PRC laws;</w:t>
      </w:r>
    </w:p>
    <w:p>
      <w:pPr>
        <w:spacing w:after="0" w:line="76" w:lineRule="exact"/>
        <w:rPr>
          <w:rFonts w:ascii="Times New Roman" w:cs="Times New Roman" w:eastAsia="Times New Roman" w:hAnsi="Times New Roman"/>
          <w:sz w:val="18"/>
          <w:szCs w:val="18"/>
          <w:color w:val="auto"/>
        </w:rPr>
      </w:pPr>
    </w:p>
    <w:p>
      <w:pPr>
        <w:ind w:left="1390" w:right="100" w:hanging="424"/>
        <w:spacing w:after="0" w:line="300" w:lineRule="auto"/>
        <w:tabs>
          <w:tab w:leader="none" w:pos="1390"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Borrowers fail to comply with or perform any of their commitments or obligations under this Agreement (or any other agreement between them and the Lender), and further fails to remedy such breach within 30 business days upon its occurrence; and</w:t>
      </w:r>
    </w:p>
    <w:p>
      <w:pPr>
        <w:spacing w:after="0" w:line="53" w:lineRule="exact"/>
        <w:rPr>
          <w:rFonts w:ascii="Times New Roman" w:cs="Times New Roman" w:eastAsia="Times New Roman" w:hAnsi="Times New Roman"/>
          <w:sz w:val="17"/>
          <w:szCs w:val="17"/>
          <w:color w:val="auto"/>
        </w:rPr>
      </w:pPr>
    </w:p>
    <w:p>
      <w:pPr>
        <w:ind w:left="1390" w:right="40" w:hanging="424"/>
        <w:spacing w:after="0" w:line="270" w:lineRule="auto"/>
        <w:tabs>
          <w:tab w:leader="none" w:pos="139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Equity Interest Pledge Agreement (as defined below), or the Exclusive Option Agreement is terminated or held invalid by any court for any reason other than the Lender’s.</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Loan</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3.1    The Lender and the Borrowers agree and confirm that the Loan will be repaid in the following manner only: the Borrowers will transfer all</w:t>
      </w:r>
    </w:p>
    <w:p>
      <w:pPr>
        <w:spacing w:after="0" w:line="33" w:lineRule="exact"/>
        <w:rPr>
          <w:rFonts w:ascii="Times New Roman" w:cs="Times New Roman" w:eastAsia="Times New Roman" w:hAnsi="Times New Roman"/>
          <w:sz w:val="18"/>
          <w:szCs w:val="18"/>
          <w:b w:val="1"/>
          <w:bCs w:val="1"/>
          <w:color w:val="auto"/>
        </w:rPr>
      </w:pPr>
    </w:p>
    <w:p>
      <w:pPr>
        <w:ind w:left="950" w:right="5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their equity interests in the Borrower Company to the Lender or any legal or natural person designated by the Lender pursuant to requirements from the Lender.</w:t>
      </w:r>
    </w:p>
    <w:p>
      <w:pPr>
        <w:spacing w:after="0" w:line="12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50"/>
          </w:cols>
          <w:pgMar w:left="550" w:top="264" w:right="599" w:bottom="1440" w:gutter="0" w:footer="0" w:header="0"/>
        </w:sectPr>
      </w:pPr>
    </w:p>
    <w:bookmarkStart w:id="382" w:name="page383"/>
    <w:bookmarkEnd w:id="382"/>
    <w:p>
      <w:pPr>
        <w:jc w:val="both"/>
        <w:ind w:left="950" w:right="38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8"/>
          <w:szCs w:val="18"/>
          <w:color w:val="auto"/>
        </w:rPr>
        <w:t>The Lender and the Borrowers agree and confirm that to the extent permitted by the laws, the Lender has the right but no obligation to purchase or designate any legal or natural person to purchase all or any part of the equity interests in the Borrower Company from the Borrowers at the price set forth under the Exclusive Option Agreement.</w:t>
      </w:r>
    </w:p>
    <w:p>
      <w:pPr>
        <w:spacing w:after="0" w:line="86" w:lineRule="exact"/>
        <w:rPr>
          <w:sz w:val="20"/>
          <w:szCs w:val="20"/>
          <w:color w:val="auto"/>
        </w:rPr>
      </w:pPr>
    </w:p>
    <w:p>
      <w:pPr>
        <w:ind w:left="950" w:right="20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It is agreed and confirmed by the Parties that the Borrowers shall be deemed to have fulfilled their repayment obligations hereunder only after both of the following conditions have been satisfied.</w:t>
      </w:r>
    </w:p>
    <w:p>
      <w:pPr>
        <w:spacing w:after="0" w:line="76" w:lineRule="exact"/>
        <w:rPr>
          <w:sz w:val="20"/>
          <w:szCs w:val="20"/>
          <w:color w:val="auto"/>
        </w:rPr>
      </w:pPr>
    </w:p>
    <w:p>
      <w:pPr>
        <w:ind w:left="1390" w:right="160" w:hanging="424"/>
        <w:spacing w:after="0" w:line="270" w:lineRule="auto"/>
        <w:tabs>
          <w:tab w:leader="none" w:pos="139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transferred all of their equity interests in the Borrower Company to the Lender and/or their designated person; and</w:t>
      </w:r>
    </w:p>
    <w:p>
      <w:pPr>
        <w:spacing w:after="0" w:line="76" w:lineRule="exact"/>
        <w:rPr>
          <w:rFonts w:ascii="Times New Roman" w:cs="Times New Roman" w:eastAsia="Times New Roman" w:hAnsi="Times New Roman"/>
          <w:sz w:val="18"/>
          <w:szCs w:val="18"/>
          <w:color w:val="auto"/>
        </w:rPr>
      </w:pPr>
    </w:p>
    <w:p>
      <w:pPr>
        <w:ind w:left="1390" w:right="120" w:hanging="424"/>
        <w:spacing w:after="0" w:line="270" w:lineRule="auto"/>
        <w:tabs>
          <w:tab w:leader="none" w:pos="139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repaid to the Lender all of the transfer proceeds or an amount equivalent to the maximum amount permitted by the laws.</w:t>
      </w:r>
    </w:p>
    <w:p>
      <w:pPr>
        <w:spacing w:after="0" w:line="76" w:lineRule="exact"/>
        <w:rPr>
          <w:sz w:val="20"/>
          <w:szCs w:val="20"/>
          <w:color w:val="auto"/>
        </w:rPr>
      </w:pPr>
    </w:p>
    <w:p>
      <w:pPr>
        <w:ind w:left="950" w:hanging="528"/>
        <w:spacing w:after="0" w:line="255" w:lineRule="auto"/>
        <w:tabs>
          <w:tab w:leader="none" w:pos="929"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Loan will be deemed as a zero interest loan if the price to transfer the equity interests in the Borrower Company to the Lender from the Borrowers concluded by the Parties under this Agreement and any other related agreements is equal or less than the amount of the</w:t>
      </w:r>
    </w:p>
    <w:p>
      <w:pPr>
        <w:spacing w:after="0" w:line="1" w:lineRule="exact"/>
        <w:rPr>
          <w:sz w:val="20"/>
          <w:szCs w:val="20"/>
          <w:color w:val="auto"/>
        </w:rPr>
      </w:pPr>
    </w:p>
    <w:p>
      <w:pPr>
        <w:ind w:left="950" w:right="240"/>
        <w:spacing w:after="0" w:line="247" w:lineRule="auto"/>
        <w:rPr>
          <w:sz w:val="20"/>
          <w:szCs w:val="20"/>
          <w:color w:val="auto"/>
        </w:rPr>
      </w:pPr>
      <w:r>
        <w:rPr>
          <w:rFonts w:ascii="Times New Roman" w:cs="Times New Roman" w:eastAsia="Times New Roman" w:hAnsi="Times New Roman"/>
          <w:sz w:val="18"/>
          <w:szCs w:val="18"/>
          <w:color w:val="auto"/>
        </w:rPr>
        <w:t>Loan. Under such circumstance, the Borrowers are not required to repay any remaining amount of and/or any interest upon the Loan; provided, however, that if the equity interest transfer price exceeds the amount of the Loan, the exceeding amount will be deemed as the interest upon the Loan (calculated by the highest interest permitted by the PRC laws) and financing cost thereof.</w:t>
      </w:r>
    </w:p>
    <w:p>
      <w:pPr>
        <w:spacing w:after="0" w:line="97" w:lineRule="exact"/>
        <w:rPr>
          <w:sz w:val="20"/>
          <w:szCs w:val="20"/>
          <w:color w:val="auto"/>
        </w:rPr>
      </w:pPr>
    </w:p>
    <w:p>
      <w:pPr>
        <w:ind w:left="950" w:right="20" w:hanging="528"/>
        <w:spacing w:after="0" w:line="253" w:lineRule="auto"/>
        <w:tabs>
          <w:tab w:leader="none" w:pos="929"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Notwithstanding anything to the contrary in this Agreement, if the Borrower Company goes bankruptcy, dissolution or is ordered for closure during the term or extended term of this Agreement, and Borrowers will liquidate the Borrower Company according to laws and all of the proceeds from such liquidation will be used to repay the principal, interest (calculated by the highest interest permitted by the PRC laws) and financing cost of the Loan.</w:t>
      </w:r>
    </w:p>
    <w:p>
      <w:pPr>
        <w:spacing w:after="0" w:line="328" w:lineRule="exact"/>
        <w:rPr>
          <w:sz w:val="20"/>
          <w:szCs w:val="20"/>
          <w:color w:val="auto"/>
        </w:rPr>
      </w:pPr>
    </w:p>
    <w:p>
      <w:pPr>
        <w:ind w:left="430" w:hanging="430"/>
        <w:spacing w:after="0"/>
        <w:tabs>
          <w:tab w:leader="none" w:pos="43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Borrowers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    The Borrowers shall repay the Loan according to the provisions of this Agreement and requirements from the Lender.</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90"/>
          </w:cols>
          <w:pgMar w:left="550" w:top="266" w:right="559" w:bottom="1440" w:gutter="0" w:footer="0" w:header="0"/>
        </w:sectPr>
      </w:pPr>
    </w:p>
    <w:bookmarkStart w:id="383" w:name="page384"/>
    <w:bookmarkEnd w:id="383"/>
    <w:p>
      <w:pPr>
        <w:jc w:val="center"/>
        <w:ind w:left="800" w:right="180"/>
        <w:spacing w:after="0" w:line="27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4.2    The Borrowers shall enter into an Equity Interest Pledge Agreement (the “</w:t>
      </w:r>
      <w:r>
        <w:rPr>
          <w:rFonts w:ascii="Times New Roman" w:cs="Times New Roman" w:eastAsia="Times New Roman" w:hAnsi="Times New Roman"/>
          <w:sz w:val="18"/>
          <w:szCs w:val="18"/>
          <w:b w:val="1"/>
          <w:bCs w:val="1"/>
          <w:color w:val="auto"/>
        </w:rPr>
        <w:t>Equity Interest Pledge Agreement</w:t>
      </w:r>
      <w:r>
        <w:rPr>
          <w:rFonts w:ascii="Times New Roman" w:cs="Times New Roman" w:eastAsia="Times New Roman" w:hAnsi="Times New Roman"/>
          <w:sz w:val="18"/>
          <w:szCs w:val="18"/>
          <w:color w:val="auto"/>
        </w:rPr>
        <w:t>”) with the Lender and the Borrower Company, whereby the Borrowers agree to pledge all of their equity interests in the Borrower Company to the Lender.</w:t>
      </w:r>
    </w:p>
    <w:p>
      <w:pPr>
        <w:spacing w:after="0" w:line="71" w:lineRule="exact"/>
        <w:rPr>
          <w:sz w:val="20"/>
          <w:szCs w:val="20"/>
          <w:color w:val="auto"/>
        </w:rPr>
      </w:pPr>
    </w:p>
    <w:p>
      <w:pPr>
        <w:ind w:left="950" w:right="80" w:hanging="528"/>
        <w:spacing w:after="0" w:line="259" w:lineRule="auto"/>
        <w:tabs>
          <w:tab w:leader="none" w:pos="929"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Borrowers shall enter into an Exclusive Option Agreement (the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with the Lender and the Borrower Company, whereby the Borrowers shall, to the extent permitted by the PRC laws, grant an irrevocable and exclusive option for the Lender to purchase all or any part of the equity interest in the Borrower Company from the Borrowers.</w:t>
      </w:r>
    </w:p>
    <w:p>
      <w:pPr>
        <w:spacing w:after="0" w:line="85" w:lineRule="exact"/>
        <w:rPr>
          <w:sz w:val="20"/>
          <w:szCs w:val="20"/>
          <w:color w:val="auto"/>
        </w:rPr>
      </w:pPr>
    </w:p>
    <w:p>
      <w:pPr>
        <w:ind w:left="950" w:right="44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Borrowers shall perform their obligations under this Agreement, the Equity Interest Pledge Agreement and the Exclusive Option Agreement, and provide support for the Lender to complete all filings, approvals, authorizations, registration and other government procedures necessary to perform such agreements.</w:t>
      </w:r>
    </w:p>
    <w:p>
      <w:pPr>
        <w:spacing w:after="0" w:line="84" w:lineRule="exact"/>
        <w:rPr>
          <w:sz w:val="20"/>
          <w:szCs w:val="20"/>
          <w:color w:val="auto"/>
        </w:rPr>
      </w:pPr>
    </w:p>
    <w:p>
      <w:pPr>
        <w:ind w:left="950" w:right="80" w:hanging="528"/>
        <w:spacing w:after="0" w:line="259" w:lineRule="auto"/>
        <w:tabs>
          <w:tab w:leader="none" w:pos="929"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Borrowers shall sign an Shareholder Voting Rights Entrustment Agreement (the “</w:t>
      </w:r>
      <w:r>
        <w:rPr>
          <w:rFonts w:ascii="Times New Roman" w:cs="Times New Roman" w:eastAsia="Times New Roman" w:hAnsi="Times New Roman"/>
          <w:sz w:val="18"/>
          <w:szCs w:val="18"/>
          <w:b w:val="1"/>
          <w:bCs w:val="1"/>
          <w:color w:val="auto"/>
        </w:rPr>
        <w:t>Shareholder Voting Rights Entrustment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an irrevocable power of attorney authorizing a person designated by the Lender to exercise on its behalf all of his or 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as the shareholder of the Borrower Company.</w:t>
      </w:r>
    </w:p>
    <w:p>
      <w:pPr>
        <w:spacing w:after="0" w:line="321" w:lineRule="exact"/>
        <w:rPr>
          <w:sz w:val="20"/>
          <w:szCs w:val="20"/>
          <w:color w:val="auto"/>
        </w:rPr>
      </w:pPr>
    </w:p>
    <w:p>
      <w:pPr>
        <w:ind w:left="430" w:hanging="430"/>
        <w:spacing w:after="0"/>
        <w:tabs>
          <w:tab w:leader="none" w:pos="43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    The Lender represents and warrants to the Borrowers that from the date of this Agreement until termination hereof:</w:t>
      </w:r>
    </w:p>
    <w:p>
      <w:pPr>
        <w:spacing w:after="0" w:line="123" w:lineRule="exact"/>
        <w:rPr>
          <w:rFonts w:ascii="Times New Roman" w:cs="Times New Roman" w:eastAsia="Times New Roman" w:hAnsi="Times New Roman"/>
          <w:sz w:val="18"/>
          <w:szCs w:val="18"/>
          <w:b w:val="1"/>
          <w:bCs w:val="1"/>
          <w:color w:val="auto"/>
        </w:rPr>
      </w:pPr>
    </w:p>
    <w:p>
      <w:pPr>
        <w:ind w:left="1390" w:hanging="424"/>
        <w:spacing w:after="0"/>
        <w:tabs>
          <w:tab w:leader="none" w:pos="139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limited liability company duly incorporated and validly existing under the laws of the PRC;</w:t>
      </w:r>
    </w:p>
    <w:p>
      <w:pPr>
        <w:spacing w:after="0" w:line="123" w:lineRule="exact"/>
        <w:rPr>
          <w:rFonts w:ascii="Times New Roman" w:cs="Times New Roman" w:eastAsia="Times New Roman" w:hAnsi="Times New Roman"/>
          <w:sz w:val="18"/>
          <w:szCs w:val="18"/>
          <w:color w:val="auto"/>
        </w:rPr>
      </w:pPr>
    </w:p>
    <w:p>
      <w:pPr>
        <w:ind w:left="1390" w:right="220" w:hanging="424"/>
        <w:spacing w:after="0" w:line="280" w:lineRule="auto"/>
        <w:tabs>
          <w:tab w:leader="none" w:pos="1390"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the power and receives all approvals and authorities necessary and appropriate to execute and perform this Agreement. Its execution and performance of this Agreement are in compliance with its articles of association or other organizational documents, and it has obtained all necessary and appropriate approval and authorization with respect to its execution and performance;</w:t>
      </w:r>
    </w:p>
    <w:p>
      <w:pPr>
        <w:spacing w:after="0" w:line="69" w:lineRule="exact"/>
        <w:rPr>
          <w:rFonts w:ascii="Times New Roman" w:cs="Times New Roman" w:eastAsia="Times New Roman" w:hAnsi="Times New Roman"/>
          <w:sz w:val="17"/>
          <w:szCs w:val="17"/>
          <w:color w:val="auto"/>
        </w:rPr>
      </w:pPr>
    </w:p>
    <w:p>
      <w:pPr>
        <w:ind w:left="1390" w:hanging="424"/>
        <w:spacing w:after="0" w:line="258" w:lineRule="auto"/>
        <w:tabs>
          <w:tab w:leader="none" w:pos="139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its execution nor its performance of this Agreement is in breach of any law, regulation, government approval, authorization, notice or any other government document, or any agreement between it and any third party or any covenant issued to any third party; and</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70"/>
          </w:cols>
          <w:pgMar w:left="550" w:top="264" w:right="579" w:bottom="1440" w:gutter="0" w:footer="0" w:header="0"/>
        </w:sectPr>
      </w:pPr>
    </w:p>
    <w:bookmarkStart w:id="384" w:name="page385"/>
    <w:bookmarkEnd w:id="384"/>
    <w:p>
      <w:pPr>
        <w:ind w:left="960" w:hanging="424"/>
        <w:spacing w:after="0"/>
        <w:tabs>
          <w:tab w:leader="none" w:pos="9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Agreement, once executed, constitutes a legal, valid and binding obligation of the Lender.</w:t>
      </w:r>
    </w:p>
    <w:p>
      <w:pPr>
        <w:spacing w:after="0" w:line="12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The Borrowers represent and warrant that from the date of this Agreement until termination hereof:</w:t>
      </w:r>
    </w:p>
    <w:p>
      <w:pPr>
        <w:spacing w:after="0" w:line="124" w:lineRule="exact"/>
        <w:rPr>
          <w:sz w:val="20"/>
          <w:szCs w:val="20"/>
          <w:color w:val="auto"/>
        </w:rPr>
      </w:pPr>
    </w:p>
    <w:p>
      <w:pPr>
        <w:ind w:left="960" w:hanging="424"/>
        <w:spacing w:after="0"/>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fully capable to conduct civil acts;</w:t>
      </w:r>
    </w:p>
    <w:p>
      <w:pPr>
        <w:spacing w:after="0" w:line="123" w:lineRule="exact"/>
        <w:rPr>
          <w:rFonts w:ascii="Times New Roman" w:cs="Times New Roman" w:eastAsia="Times New Roman" w:hAnsi="Times New Roman"/>
          <w:sz w:val="18"/>
          <w:szCs w:val="18"/>
          <w:color w:val="auto"/>
        </w:rPr>
      </w:pPr>
    </w:p>
    <w:p>
      <w:pPr>
        <w:ind w:left="960" w:right="80" w:hanging="424"/>
        <w:spacing w:after="0" w:line="270" w:lineRule="auto"/>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Company is a limited liability company incorporated and validly existing under the PRC laws, and the Borrowers are the lawful owners of the Borrower Equity;</w:t>
      </w:r>
    </w:p>
    <w:p>
      <w:pPr>
        <w:spacing w:after="0" w:line="76"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their execution nor their performance of this Agreement is in breach of any law, regulation, government approval, authorization, notice or any other government document, or any agreement between them and any third party or any covenant issued to any third party;</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constitutes a legal, valid and binding obligation of any Borrower;</w:t>
      </w:r>
    </w:p>
    <w:p>
      <w:pPr>
        <w:spacing w:after="0" w:line="12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will pay the full investment relating to the Borrower Equity according to law;</w:t>
      </w:r>
    </w:p>
    <w:p>
      <w:pPr>
        <w:spacing w:after="0" w:line="123" w:lineRule="exact"/>
        <w:rPr>
          <w:rFonts w:ascii="Times New Roman" w:cs="Times New Roman" w:eastAsia="Times New Roman" w:hAnsi="Times New Roman"/>
          <w:sz w:val="18"/>
          <w:szCs w:val="18"/>
          <w:color w:val="auto"/>
        </w:rPr>
      </w:pPr>
    </w:p>
    <w:p>
      <w:pPr>
        <w:ind w:left="960" w:hanging="424"/>
        <w:spacing w:after="0" w:line="280" w:lineRule="auto"/>
        <w:tabs>
          <w:tab w:leader="none" w:pos="960"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those provided under the Equity Interest Pledge Agreement, they create no mortgage, pledge or any other security upon the Borrower Equity, provides no offer to any third party to transfer the Borrower Equity, make no covenant regarding any offer to purchase the Borrower Equity from any third party, and enter into no agreement with any third party to transfer the Borrower Equity;</w:t>
      </w:r>
    </w:p>
    <w:p>
      <w:pPr>
        <w:spacing w:after="0" w:line="69" w:lineRule="exact"/>
        <w:rPr>
          <w:rFonts w:ascii="Times New Roman" w:cs="Times New Roman" w:eastAsia="Times New Roman" w:hAnsi="Times New Roman"/>
          <w:sz w:val="17"/>
          <w:szCs w:val="17"/>
          <w:color w:val="auto"/>
        </w:rPr>
      </w:pPr>
    </w:p>
    <w:p>
      <w:pPr>
        <w:ind w:left="960" w:right="220" w:hanging="424"/>
        <w:spacing w:after="0" w:line="270" w:lineRule="auto"/>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or potential dispute, lawsuit, arbitration, administrative proceeding or any other legal proceeding in which the Borrowers and/or the Borrower Equity is involved; and</w:t>
      </w:r>
    </w:p>
    <w:p>
      <w:pPr>
        <w:spacing w:after="0" w:line="76" w:lineRule="exact"/>
        <w:rPr>
          <w:rFonts w:ascii="Times New Roman" w:cs="Times New Roman" w:eastAsia="Times New Roman" w:hAnsi="Times New Roman"/>
          <w:sz w:val="18"/>
          <w:szCs w:val="18"/>
          <w:color w:val="auto"/>
        </w:rPr>
      </w:pPr>
    </w:p>
    <w:p>
      <w:pPr>
        <w:ind w:left="960" w:right="380" w:hanging="424"/>
        <w:spacing w:after="0" w:line="270" w:lineRule="auto"/>
        <w:tabs>
          <w:tab w:leader="none" w:pos="9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Company has completed all government approvals, authorizations, licenses, registrations and filings necessary to conduct its businesses and own its assets.</w:t>
      </w:r>
    </w:p>
    <w:p>
      <w:pPr>
        <w:spacing w:after="0" w:line="10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340"/>
          </w:cols>
          <w:pgMar w:left="980" w:top="266" w:right="579" w:bottom="1440" w:gutter="0" w:footer="0" w:header="0"/>
        </w:sectPr>
      </w:pPr>
    </w:p>
    <w:bookmarkStart w:id="385" w:name="page386"/>
    <w:bookmarkEnd w:id="385"/>
    <w:p>
      <w:pPr>
        <w:ind w:left="430" w:hanging="430"/>
        <w:spacing w:after="0"/>
        <w:tabs>
          <w:tab w:leader="none" w:pos="43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Covenants from the Borrowers</w:t>
      </w:r>
    </w:p>
    <w:p>
      <w:pPr>
        <w:spacing w:after="0" w:line="125" w:lineRule="exact"/>
        <w:rPr>
          <w:rFonts w:ascii="Times New Roman" w:cs="Times New Roman" w:eastAsia="Times New Roman" w:hAnsi="Times New Roman"/>
          <w:sz w:val="18"/>
          <w:szCs w:val="18"/>
          <w:b w:val="1"/>
          <w:bCs w:val="1"/>
          <w:color w:val="auto"/>
        </w:rPr>
      </w:pPr>
    </w:p>
    <w:p>
      <w:pPr>
        <w:ind w:left="950" w:right="12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 The Borrowers covenant in their capacity of the shareholders of the Borrower Company that during the term of this Agreement they shall procure the Borrower Company:</w:t>
      </w:r>
    </w:p>
    <w:p>
      <w:pPr>
        <w:spacing w:after="0" w:line="76" w:lineRule="exact"/>
        <w:rPr>
          <w:rFonts w:ascii="Times New Roman" w:cs="Times New Roman" w:eastAsia="Times New Roman" w:hAnsi="Times New Roman"/>
          <w:sz w:val="18"/>
          <w:szCs w:val="18"/>
          <w:b w:val="1"/>
          <w:bCs w:val="1"/>
          <w:color w:val="auto"/>
        </w:rPr>
      </w:pPr>
    </w:p>
    <w:p>
      <w:pPr>
        <w:ind w:left="1390" w:hanging="424"/>
        <w:spacing w:after="0" w:line="270"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supplement, amend or modify its articles of association, or increase or decrease its registered capital, or change its capital structures of the Company in any form;</w:t>
      </w:r>
    </w:p>
    <w:p>
      <w:pPr>
        <w:spacing w:after="0" w:line="76" w:lineRule="exact"/>
        <w:rPr>
          <w:rFonts w:ascii="Times New Roman" w:cs="Times New Roman" w:eastAsia="Times New Roman" w:hAnsi="Times New Roman"/>
          <w:sz w:val="18"/>
          <w:szCs w:val="18"/>
          <w:color w:val="auto"/>
        </w:rPr>
      </w:pPr>
    </w:p>
    <w:p>
      <w:pPr>
        <w:ind w:left="1390" w:right="440" w:hanging="424"/>
        <w:spacing w:after="0" w:line="270"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its existence, prudently and effectively operate its businesses and deal with its affairs in line with fair financial and business standards and customs;</w:t>
      </w:r>
    </w:p>
    <w:p>
      <w:pPr>
        <w:spacing w:after="0" w:line="76" w:lineRule="exact"/>
        <w:rPr>
          <w:rFonts w:ascii="Times New Roman" w:cs="Times New Roman" w:eastAsia="Times New Roman" w:hAnsi="Times New Roman"/>
          <w:sz w:val="18"/>
          <w:szCs w:val="18"/>
          <w:color w:val="auto"/>
        </w:rPr>
      </w:pPr>
    </w:p>
    <w:p>
      <w:pPr>
        <w:ind w:left="1390" w:right="20" w:hanging="424"/>
        <w:spacing w:after="0" w:line="270"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sell, transfer, pledge or otherwise dispose any legal or beneficial interest of any of its assets, businesses or income, or allow creation of any other security interests thereupon;</w:t>
      </w:r>
    </w:p>
    <w:p>
      <w:pPr>
        <w:spacing w:after="0" w:line="76" w:lineRule="exact"/>
        <w:rPr>
          <w:rFonts w:ascii="Times New Roman" w:cs="Times New Roman" w:eastAsia="Times New Roman" w:hAnsi="Times New Roman"/>
          <w:sz w:val="18"/>
          <w:szCs w:val="18"/>
          <w:color w:val="auto"/>
        </w:rPr>
      </w:pPr>
    </w:p>
    <w:p>
      <w:pPr>
        <w:jc w:val="both"/>
        <w:ind w:left="1390" w:right="180" w:hanging="424"/>
        <w:spacing w:after="0" w:line="258"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incur, inherit, guarantee or allow the existence of any debt, except for (i) any debt incurred during its ordinary course of business rather than from borrowing; and (ii) any debt which has been disclosed to and obtained the written consent from the Lender;</w:t>
      </w:r>
    </w:p>
    <w:p>
      <w:pPr>
        <w:spacing w:after="0" w:line="85"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always conduct its business operations in ordinary course to maintain the value of its assets;</w:t>
      </w:r>
    </w:p>
    <w:p>
      <w:pPr>
        <w:spacing w:after="0" w:line="123" w:lineRule="exact"/>
        <w:rPr>
          <w:rFonts w:ascii="Times New Roman" w:cs="Times New Roman" w:eastAsia="Times New Roman" w:hAnsi="Times New Roman"/>
          <w:sz w:val="18"/>
          <w:szCs w:val="18"/>
          <w:color w:val="auto"/>
        </w:rPr>
      </w:pPr>
    </w:p>
    <w:p>
      <w:pPr>
        <w:ind w:left="1390" w:right="360" w:hanging="424"/>
        <w:spacing w:after="0" w:line="270"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enter into any material agreement other than those executed in its ordinary course of business;</w:t>
      </w:r>
    </w:p>
    <w:p>
      <w:pPr>
        <w:spacing w:after="0" w:line="76"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provide any loan or credit to any party;</w:t>
      </w:r>
    </w:p>
    <w:p>
      <w:pPr>
        <w:spacing w:after="0" w:line="123"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any and all information regarding its operations and financial conditions to the Lender upon the request from the Lender;</w:t>
      </w:r>
    </w:p>
    <w:p>
      <w:pPr>
        <w:spacing w:after="0" w:line="135" w:lineRule="exact"/>
        <w:rPr>
          <w:rFonts w:ascii="Times New Roman" w:cs="Times New Roman" w:eastAsia="Times New Roman" w:hAnsi="Times New Roman"/>
          <w:sz w:val="17"/>
          <w:szCs w:val="17"/>
          <w:color w:val="auto"/>
        </w:rPr>
      </w:pPr>
    </w:p>
    <w:p>
      <w:pPr>
        <w:ind w:left="1390" w:right="120" w:hanging="424"/>
        <w:spacing w:after="0" w:line="270" w:lineRule="auto"/>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buy and maintain requisite insurance policies from an insurer acceptable to the Lender, the amount and type of which will be the same with those maintained by the companies having similar operations, properties or assets in the same region;</w:t>
      </w:r>
    </w:p>
    <w:p>
      <w:pPr>
        <w:spacing w:after="0" w:line="76" w:lineRule="exact"/>
        <w:rPr>
          <w:rFonts w:ascii="Times New Roman" w:cs="Times New Roman" w:eastAsia="Times New Roman" w:hAnsi="Times New Roman"/>
          <w:sz w:val="18"/>
          <w:szCs w:val="18"/>
          <w:color w:val="auto"/>
        </w:rPr>
      </w:pPr>
    </w:p>
    <w:p>
      <w:pPr>
        <w:ind w:left="1390" w:hanging="424"/>
        <w:spacing w:after="0"/>
        <w:tabs>
          <w:tab w:leader="none" w:pos="139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combine, merge with, acquire or make investment to any person;</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50"/>
          </w:cols>
          <w:pgMar w:left="550" w:top="264" w:right="599" w:bottom="1440" w:gutter="0" w:footer="0" w:header="0"/>
        </w:sectPr>
      </w:pPr>
    </w:p>
    <w:bookmarkStart w:id="386" w:name="page387"/>
    <w:bookmarkEnd w:id="386"/>
    <w:p>
      <w:pPr>
        <w:ind w:left="1380" w:right="160" w:hanging="424"/>
        <w:spacing w:after="0" w:line="270" w:lineRule="auto"/>
        <w:tabs>
          <w:tab w:leader="none" w:pos="1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to immediately notify the Lender of any actual or potential litigation, arbitration or administrative proceeding regarding its assets, business and income;</w:t>
      </w:r>
    </w:p>
    <w:p>
      <w:pPr>
        <w:spacing w:after="0" w:line="76" w:lineRule="exact"/>
        <w:rPr>
          <w:rFonts w:ascii="Times New Roman" w:cs="Times New Roman" w:eastAsia="Times New Roman" w:hAnsi="Times New Roman"/>
          <w:sz w:val="18"/>
          <w:szCs w:val="18"/>
          <w:color w:val="auto"/>
        </w:rPr>
      </w:pPr>
    </w:p>
    <w:p>
      <w:pPr>
        <w:ind w:left="1380" w:right="60" w:hanging="424"/>
        <w:spacing w:after="0" w:line="270" w:lineRule="auto"/>
        <w:tabs>
          <w:tab w:leader="none" w:pos="1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any document, conduct any action, and make any claim or defense necessary or appropriate to maintain its ownership of all of its assets;</w:t>
      </w:r>
    </w:p>
    <w:p>
      <w:pPr>
        <w:spacing w:after="0" w:line="76" w:lineRule="exact"/>
        <w:rPr>
          <w:rFonts w:ascii="Times New Roman" w:cs="Times New Roman" w:eastAsia="Times New Roman" w:hAnsi="Times New Roman"/>
          <w:sz w:val="18"/>
          <w:szCs w:val="18"/>
          <w:color w:val="auto"/>
        </w:rPr>
      </w:pPr>
    </w:p>
    <w:p>
      <w:pPr>
        <w:ind w:left="1380" w:hanging="424"/>
        <w:spacing w:after="0"/>
        <w:tabs>
          <w:tab w:leader="none" w:pos="1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distribute any dividend or bonus to any of its shareholders;</w:t>
      </w:r>
    </w:p>
    <w:p>
      <w:pPr>
        <w:spacing w:after="0" w:line="123" w:lineRule="exact"/>
        <w:rPr>
          <w:rFonts w:ascii="Times New Roman" w:cs="Times New Roman" w:eastAsia="Times New Roman" w:hAnsi="Times New Roman"/>
          <w:sz w:val="18"/>
          <w:szCs w:val="18"/>
          <w:color w:val="auto"/>
        </w:rPr>
      </w:pPr>
    </w:p>
    <w:p>
      <w:pPr>
        <w:ind w:left="1380" w:hanging="424"/>
        <w:spacing w:after="0"/>
        <w:tabs>
          <w:tab w:leader="none" w:pos="1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any person designated by the Lender or the parent of the Lender to its board upon the request of the Lender; and</w:t>
      </w:r>
    </w:p>
    <w:p>
      <w:pPr>
        <w:spacing w:after="0" w:line="123" w:lineRule="exact"/>
        <w:rPr>
          <w:rFonts w:ascii="Times New Roman" w:cs="Times New Roman" w:eastAsia="Times New Roman" w:hAnsi="Times New Roman"/>
          <w:sz w:val="18"/>
          <w:szCs w:val="18"/>
          <w:color w:val="auto"/>
        </w:rPr>
      </w:pPr>
    </w:p>
    <w:p>
      <w:pPr>
        <w:ind w:left="1380" w:hanging="424"/>
        <w:spacing w:after="0" w:line="270" w:lineRule="auto"/>
        <w:tabs>
          <w:tab w:leader="none" w:pos="1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the Exclusive Option Agreement, and not to make any act or omission which may affect its validity and enforceability.</w:t>
      </w:r>
    </w:p>
    <w:p>
      <w:pPr>
        <w:spacing w:after="0" w:line="31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The Borrowers covenant during the term of this Agreement:</w:t>
      </w:r>
    </w:p>
    <w:p>
      <w:pPr>
        <w:spacing w:after="0" w:line="126" w:lineRule="exact"/>
        <w:rPr>
          <w:sz w:val="20"/>
          <w:szCs w:val="20"/>
          <w:color w:val="auto"/>
        </w:rPr>
      </w:pPr>
    </w:p>
    <w:p>
      <w:pPr>
        <w:ind w:left="1380" w:right="100" w:hanging="424"/>
        <w:spacing w:after="0" w:line="258" w:lineRule="auto"/>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those provided under the Equity Interest Pledge Agreement and without prior written consent from the Lender, not to sell, transfer, pledge or otherwise dispose any legal or beneficial interest of the Borrower Equity, or allow creation of any other security interests thereupon;</w:t>
      </w:r>
    </w:p>
    <w:p>
      <w:pPr>
        <w:spacing w:after="0" w:line="85" w:lineRule="exact"/>
        <w:rPr>
          <w:rFonts w:ascii="Times New Roman" w:cs="Times New Roman" w:eastAsia="Times New Roman" w:hAnsi="Times New Roman"/>
          <w:sz w:val="18"/>
          <w:szCs w:val="18"/>
          <w:color w:val="auto"/>
        </w:rPr>
      </w:pPr>
    </w:p>
    <w:p>
      <w:pPr>
        <w:ind w:left="1380" w:right="280" w:hanging="424"/>
        <w:spacing w:after="0" w:line="258" w:lineRule="auto"/>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to procure the shareholders of the Borrower Company not to approve any sale, transfer, pledge or otherwise disposal of any legal or beneficial interest of the Borrower Equity, or creation of any other security interests thereupon, except to the Lender or its designated person;</w:t>
      </w:r>
    </w:p>
    <w:p>
      <w:pPr>
        <w:spacing w:after="0" w:line="85" w:lineRule="exact"/>
        <w:rPr>
          <w:rFonts w:ascii="Times New Roman" w:cs="Times New Roman" w:eastAsia="Times New Roman" w:hAnsi="Times New Roman"/>
          <w:sz w:val="18"/>
          <w:szCs w:val="18"/>
          <w:color w:val="auto"/>
        </w:rPr>
      </w:pPr>
    </w:p>
    <w:p>
      <w:pPr>
        <w:ind w:left="1380" w:right="160" w:hanging="424"/>
        <w:spacing w:after="0" w:line="270" w:lineRule="auto"/>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to procure the shareholders of the Borrower Company not to approve its merger or association with, or acquisition of or investment in any person;</w:t>
      </w:r>
    </w:p>
    <w:p>
      <w:pPr>
        <w:spacing w:after="0" w:line="76" w:lineRule="exact"/>
        <w:rPr>
          <w:rFonts w:ascii="Times New Roman" w:cs="Times New Roman" w:eastAsia="Times New Roman" w:hAnsi="Times New Roman"/>
          <w:sz w:val="18"/>
          <w:szCs w:val="18"/>
          <w:color w:val="auto"/>
        </w:rPr>
      </w:pPr>
    </w:p>
    <w:p>
      <w:pPr>
        <w:ind w:left="1380" w:right="620" w:hanging="424"/>
        <w:spacing w:after="0" w:line="270" w:lineRule="auto"/>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the Lender of any actual or potential litigation, arbitration or administrative proceeding regarding the Borrower Equity;</w:t>
      </w:r>
    </w:p>
    <w:p>
      <w:pPr>
        <w:spacing w:after="0" w:line="76" w:lineRule="exact"/>
        <w:rPr>
          <w:rFonts w:ascii="Times New Roman" w:cs="Times New Roman" w:eastAsia="Times New Roman" w:hAnsi="Times New Roman"/>
          <w:sz w:val="18"/>
          <w:szCs w:val="18"/>
          <w:color w:val="auto"/>
        </w:rPr>
      </w:pPr>
    </w:p>
    <w:p>
      <w:pPr>
        <w:ind w:left="1380" w:right="60" w:hanging="424"/>
        <w:spacing w:after="0" w:line="270" w:lineRule="auto"/>
        <w:tabs>
          <w:tab w:leader="none" w:pos="13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any document, conduct any action, and make any claim or defense necessary or appropriate to maintain its ownership of the Borrower Equity;</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560" w:top="266" w:right="659" w:bottom="1440" w:gutter="0" w:footer="0" w:header="0"/>
        </w:sectPr>
      </w:pPr>
    </w:p>
    <w:bookmarkStart w:id="387" w:name="page388"/>
    <w:bookmarkEnd w:id="387"/>
    <w:p>
      <w:pPr>
        <w:ind w:left="1390" w:right="120" w:hanging="424"/>
        <w:spacing w:after="0" w:line="270" w:lineRule="auto"/>
        <w:tabs>
          <w:tab w:leader="none" w:pos="139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without prior written consent from the Lender, not to make any act and/or omission which may affect any asset, business or liability of the Borrower Company;</w:t>
      </w:r>
    </w:p>
    <w:p>
      <w:pPr>
        <w:spacing w:after="0" w:line="76" w:lineRule="exact"/>
        <w:rPr>
          <w:rFonts w:ascii="Times New Roman" w:cs="Times New Roman" w:eastAsia="Times New Roman" w:hAnsi="Times New Roman"/>
          <w:sz w:val="18"/>
          <w:szCs w:val="18"/>
          <w:color w:val="auto"/>
        </w:rPr>
      </w:pPr>
    </w:p>
    <w:p>
      <w:pPr>
        <w:ind w:left="1390" w:right="140" w:hanging="424"/>
        <w:spacing w:after="0" w:line="270" w:lineRule="auto"/>
        <w:tabs>
          <w:tab w:leader="none" w:pos="139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any person designated by the Lender or the parent of the Lender to the board of the Borrower Company upon the request of the Lender;</w:t>
      </w:r>
    </w:p>
    <w:p>
      <w:pPr>
        <w:spacing w:after="0" w:line="76" w:lineRule="exact"/>
        <w:rPr>
          <w:rFonts w:ascii="Times New Roman" w:cs="Times New Roman" w:eastAsia="Times New Roman" w:hAnsi="Times New Roman"/>
          <w:sz w:val="18"/>
          <w:szCs w:val="18"/>
          <w:color w:val="auto"/>
        </w:rPr>
      </w:pPr>
    </w:p>
    <w:p>
      <w:pPr>
        <w:ind w:left="1390" w:right="180" w:hanging="424"/>
        <w:spacing w:after="0" w:line="258" w:lineRule="auto"/>
        <w:tabs>
          <w:tab w:leader="none" w:pos="139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the PRC laws and upon the request of the Lender at any time, to transfer unconditionally and immediately all of the equity interests owned by the Borrowers to the Lender or any person designated by it, and procure any other shareholder of the Borrower Company to waive the right of first refusal regarding such equity interests;</w:t>
      </w:r>
    </w:p>
    <w:p>
      <w:pPr>
        <w:spacing w:after="0" w:line="85" w:lineRule="exact"/>
        <w:rPr>
          <w:rFonts w:ascii="Times New Roman" w:cs="Times New Roman" w:eastAsia="Times New Roman" w:hAnsi="Times New Roman"/>
          <w:sz w:val="18"/>
          <w:szCs w:val="18"/>
          <w:color w:val="auto"/>
        </w:rPr>
      </w:pPr>
    </w:p>
    <w:p>
      <w:pPr>
        <w:ind w:left="1390" w:right="120" w:hanging="424"/>
        <w:spacing w:after="0" w:line="280" w:lineRule="auto"/>
        <w:tabs>
          <w:tab w:leader="none" w:pos="1390" w:val="left"/>
        </w:tabs>
        <w:numPr>
          <w:ilvl w:val="1"/>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under the PRC laws and upon the request of the Lender at any time, to procure any other shareholder of the Borrower Company to transfer unconditionally and immediately all of the equity interests owned by such shareholder to the Lender or any person designated by it, and the Borrowers hereby waive their rights of first refusal regarding such equity interests;</w:t>
      </w:r>
    </w:p>
    <w:p>
      <w:pPr>
        <w:spacing w:after="0" w:line="69" w:lineRule="exact"/>
        <w:rPr>
          <w:rFonts w:ascii="Times New Roman" w:cs="Times New Roman" w:eastAsia="Times New Roman" w:hAnsi="Times New Roman"/>
          <w:sz w:val="17"/>
          <w:szCs w:val="17"/>
          <w:color w:val="auto"/>
        </w:rPr>
      </w:pPr>
    </w:p>
    <w:p>
      <w:pPr>
        <w:ind w:left="1390" w:right="280" w:hanging="424"/>
        <w:spacing w:after="0" w:line="270" w:lineRule="auto"/>
        <w:tabs>
          <w:tab w:leader="none" w:pos="139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purchases the Borrower Equity from the Borrowers pursuant to the Exclusive Option Agreement, to use the price of such purchase to repay the Loan to the Lender on priority; and</w:t>
      </w:r>
    </w:p>
    <w:p>
      <w:pPr>
        <w:spacing w:after="0" w:line="76" w:lineRule="exact"/>
        <w:rPr>
          <w:rFonts w:ascii="Times New Roman" w:cs="Times New Roman" w:eastAsia="Times New Roman" w:hAnsi="Times New Roman"/>
          <w:sz w:val="18"/>
          <w:szCs w:val="18"/>
          <w:color w:val="auto"/>
        </w:rPr>
      </w:pPr>
    </w:p>
    <w:p>
      <w:pPr>
        <w:ind w:left="1390" w:hanging="424"/>
        <w:spacing w:after="0" w:line="258" w:lineRule="auto"/>
        <w:tabs>
          <w:tab w:leader="none" w:pos="139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this Agreement, the Equity Interest Pledge Agreement and the Exclusive Option Agreement, to perform its obligations under each of such agreements, and not to make any act or omission which may affect the validity and enforceability of each of such agreements.</w:t>
      </w:r>
    </w:p>
    <w:p>
      <w:pPr>
        <w:spacing w:after="0" w:line="321"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for Breach of Contract</w:t>
      </w:r>
    </w:p>
    <w:p>
      <w:pPr>
        <w:spacing w:after="0" w:line="123" w:lineRule="exact"/>
        <w:rPr>
          <w:rFonts w:ascii="Times New Roman" w:cs="Times New Roman" w:eastAsia="Times New Roman" w:hAnsi="Times New Roman"/>
          <w:sz w:val="18"/>
          <w:szCs w:val="18"/>
          <w:b w:val="1"/>
          <w:bCs w:val="1"/>
          <w:color w:val="auto"/>
        </w:rPr>
      </w:pPr>
    </w:p>
    <w:p>
      <w:pPr>
        <w:ind w:left="950" w:right="20" w:hanging="52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 If any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the other party (“</w:t>
      </w:r>
      <w:r>
        <w:rPr>
          <w:rFonts w:ascii="Times New Roman" w:cs="Times New Roman" w:eastAsia="Times New Roman" w:hAnsi="Times New Roman"/>
          <w:sz w:val="18"/>
          <w:szCs w:val="18"/>
          <w:b w:val="1"/>
          <w:bCs w:val="1"/>
          <w:color w:val="auto"/>
        </w:rPr>
        <w:t>Non-defaulting Party</w:t>
      </w:r>
      <w:r>
        <w:rPr>
          <w:rFonts w:ascii="Times New Roman" w:cs="Times New Roman" w:eastAsia="Times New Roman" w:hAnsi="Times New Roman"/>
          <w:sz w:val="18"/>
          <w:szCs w:val="18"/>
          <w:color w:val="auto"/>
        </w:rPr>
        <w:t>”), the Non-defaulting Party could notify the Defaulting Party in writing and request it to rectify and correct such breach of contract; if the Defaulting Party fails to take any action satisfactory to the Non-defaulting Party to rectify and correct such breach within fifteen (15) business days upon the issuance of the written notice by the Non-defaulting Party, the Non-defaulting Party may immediately take the actions pursuant to this Agreement or take other remedies in accordance with laws.</w:t>
      </w:r>
    </w:p>
    <w:p>
      <w:pPr>
        <w:spacing w:after="0" w:line="1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90"/>
          </w:cols>
          <w:pgMar w:left="550" w:top="266" w:right="559" w:bottom="1440" w:gutter="0" w:footer="0" w:header="0"/>
        </w:sectPr>
      </w:pPr>
    </w:p>
    <w:bookmarkStart w:id="388" w:name="page389"/>
    <w:bookmarkEnd w:id="388"/>
    <w:p>
      <w:pPr>
        <w:jc w:val="both"/>
        <w:ind w:left="950" w:right="16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color w:val="auto"/>
        </w:rPr>
        <w:t>If the Borrowers fail to repay the Loan pursuant to the terms under this Agreement, they will be liable for a penalty interest accrued upon the amount due and payable at a daily interest rate of 0.02% until the Loan as well as any penalty interest and any other amount accrued thereupon are fully repaid by the Borrowers.</w:t>
      </w:r>
    </w:p>
    <w:p>
      <w:pPr>
        <w:spacing w:after="0" w:line="322" w:lineRule="exact"/>
        <w:rPr>
          <w:sz w:val="20"/>
          <w:szCs w:val="20"/>
          <w:color w:val="auto"/>
        </w:rPr>
      </w:pPr>
    </w:p>
    <w:p>
      <w:pPr>
        <w:ind w:left="430" w:hanging="430"/>
        <w:spacing w:after="0"/>
        <w:tabs>
          <w:tab w:leader="none" w:pos="43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2" w:lineRule="exact"/>
        <w:rPr>
          <w:sz w:val="20"/>
          <w:szCs w:val="20"/>
          <w:color w:val="auto"/>
        </w:rPr>
      </w:pPr>
    </w:p>
    <w:p>
      <w:pPr>
        <w:ind w:left="10"/>
        <w:spacing w:after="0" w:line="249"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made in writing and delivered personally or sent by mail or facsimile transmission to the addresses of the other Parties set forth below or other designated addresses notified by such other Parties to such Party from time to time. The date when the notice is deemed to be duly served shall be determined as the follows: (a) a notice delivered personally is deemed duly served upon the delivery; (b) a notice sent by mail is deemed duly served on the seventh (7th) day after the date when the air registered mail with postage prepaid has been sent out (as is shown on the postmark), or the fourth (4th) day after the delivery date to an internationally recognized courier service agency; and (c) a notice sent by facsimile transmission is deemed duly served upon the receipt time as is shown on the transmission confirmation of relevant documents.</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If to the </w:t>
      </w:r>
      <w:r>
        <w:rPr>
          <w:rFonts w:ascii="Times New Roman" w:cs="Times New Roman" w:eastAsia="Times New Roman" w:hAnsi="Times New Roman"/>
          <w:sz w:val="18"/>
          <w:szCs w:val="18"/>
          <w:b w:val="1"/>
          <w:bCs w:val="1"/>
          <w:color w:val="auto"/>
        </w:rPr>
        <w:t>Lender: Xi’an Jingxundi Supply Chain Technology Co., Ltd.</w:t>
      </w:r>
    </w:p>
    <w:p>
      <w:pPr>
        <w:spacing w:after="0" w:line="112"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Address: ***</w:t>
      </w:r>
    </w:p>
    <w:p>
      <w:pPr>
        <w:spacing w:after="0" w:line="11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Attention: ***</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the Borrowers:</w:t>
      </w:r>
    </w:p>
    <w:p>
      <w:pPr>
        <w:spacing w:after="0" w:line="11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112"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Address: ***</w:t>
      </w:r>
    </w:p>
    <w:p>
      <w:pPr>
        <w:spacing w:after="0" w:line="108"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112"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Address: ***</w:t>
      </w:r>
    </w:p>
    <w:p>
      <w:pPr>
        <w:spacing w:after="0" w:line="108"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112"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Address: ***</w:t>
      </w:r>
    </w:p>
    <w:p>
      <w:pPr>
        <w:spacing w:after="0" w:line="359" w:lineRule="exact"/>
        <w:rPr>
          <w:sz w:val="20"/>
          <w:szCs w:val="20"/>
          <w:color w:val="auto"/>
        </w:rPr>
      </w:pPr>
    </w:p>
    <w:p>
      <w:pPr>
        <w:ind w:left="430" w:hanging="430"/>
        <w:spacing w:after="0"/>
        <w:tabs>
          <w:tab w:leader="none" w:pos="43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12" w:lineRule="exact"/>
        <w:rPr>
          <w:sz w:val="20"/>
          <w:szCs w:val="20"/>
          <w:color w:val="auto"/>
        </w:rPr>
      </w:pPr>
    </w:p>
    <w:p>
      <w:pPr>
        <w:ind w:left="10"/>
        <w:spacing w:after="0" w:line="248" w:lineRule="auto"/>
        <w:rPr>
          <w:sz w:val="20"/>
          <w:szCs w:val="20"/>
          <w:color w:val="auto"/>
        </w:rPr>
      </w:pPr>
      <w:r>
        <w:rPr>
          <w:rFonts w:ascii="Times New Roman" w:cs="Times New Roman" w:eastAsia="Times New Roman" w:hAnsi="Times New Roman"/>
          <w:sz w:val="18"/>
          <w:szCs w:val="18"/>
          <w:color w:val="auto"/>
        </w:rPr>
        <w:t>All Parties acknowledge and confirm that any oral or written materials exchanged by and between the Parties in connection with this Agreement are confidential. All Parties shall keep in confidence all such information and not disclose it to any third party without prior written consent from other Parties unless: (a) such information is known or will be known by the public (except by disclosure of the receiving party without authorization); (b) such information is required to be disclosed in accordance with applicable laws or rules or regulations; or (c) if any information is required to be disclosed by any party to its legal or financial advisor for the purpose of the transaction of this Agreement, such legal or financial advisor shall also comply with the confidentiality obligation similar to that stated hereof. Any disclosure by any employee or agency engaged by any Party shall be deemed the disclosure of such Party and such Party shall assume the liabilities for its breach of contract pursuant to this Agreement. This Article shall survive expiration or termination of this Agreement.</w:t>
      </w:r>
    </w:p>
    <w:p>
      <w:pPr>
        <w:spacing w:after="0" w:line="12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70"/>
          </w:cols>
          <w:pgMar w:left="550" w:top="266" w:right="579" w:bottom="1440" w:gutter="0" w:footer="0" w:header="0"/>
        </w:sectPr>
      </w:pPr>
    </w:p>
    <w:bookmarkStart w:id="389" w:name="page390"/>
    <w:bookmarkEnd w:id="389"/>
    <w:p>
      <w:pPr>
        <w:ind w:left="430" w:hanging="430"/>
        <w:spacing w:after="0"/>
        <w:tabs>
          <w:tab w:leader="none" w:pos="43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Applicable Law and Dispute Resolution</w:t>
      </w:r>
    </w:p>
    <w:p>
      <w:pPr>
        <w:spacing w:after="0" w:line="125" w:lineRule="exact"/>
        <w:rPr>
          <w:rFonts w:ascii="Times New Roman" w:cs="Times New Roman" w:eastAsia="Times New Roman" w:hAnsi="Times New Roman"/>
          <w:sz w:val="18"/>
          <w:szCs w:val="18"/>
          <w:b w:val="1"/>
          <w:bCs w:val="1"/>
          <w:color w:val="auto"/>
        </w:rPr>
      </w:pPr>
    </w:p>
    <w:p>
      <w:pPr>
        <w:ind w:left="950" w:right="50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 The formation, validity, performance and interpretation of this Agreement and the disputes resolution under this Agreement shall be governed by the PRC laws.</w:t>
      </w:r>
    </w:p>
    <w:p>
      <w:pPr>
        <w:spacing w:after="0" w:line="76" w:lineRule="exact"/>
        <w:rPr>
          <w:rFonts w:ascii="Times New Roman" w:cs="Times New Roman" w:eastAsia="Times New Roman" w:hAnsi="Times New Roman"/>
          <w:sz w:val="18"/>
          <w:szCs w:val="18"/>
          <w:b w:val="1"/>
          <w:bCs w:val="1"/>
          <w:color w:val="auto"/>
        </w:rPr>
      </w:pPr>
    </w:p>
    <w:p>
      <w:pPr>
        <w:ind w:left="950" w:hanging="529"/>
        <w:spacing w:after="0" w:line="24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 Any disputes arising from the interpretation and implementation of this Agreement shall be firstly solved through the Parties’ friendly negotiations. In case that the consensus on settlement of such disputes is not reached within 30 days after any Party asks the other party to reach solution through friendly negotiations, any Party can submit the disputes to Beijing Arbitration Commission, which gives verdict according to the prevailing arbitration rule at that time. The arbitration shall take place in Beijing and language for arbitration shall be Chinese. The arbitration award is final and binding on each party. The arbitral tribunal can order the Borrowers to compensate the losses of the Lender with the Borrower Company’s equity interests, assets or property rights and interests, reach judgment of mandatory relief through mandatory transfer of related business or assets or order the Borrowers to declare bankruptcy. After the arbitration award becomes effective, any Party is entitled to petition the relevant court to execute the arbitration award. If necessary, the arbitral institution is entitled to order the Defaulting Party to cease the breach of this Agreement or refrain from actions that would increase the losses to the Lender before making final verdict for the disputes of all parties. The courts in Hong Kong, Cayman Islands, China or other places with right of jurisdiction (including the court in the place of the Borrower Company, or the court in the place of main asset of the Lender or the Borrower Company shall be deemed as the court with right of jurisdiction) similarly are entitled to confer or execute the verdict of the arbitral tribunal and is also entitled to make judgment or execute temporary relief for the equity or property interests in the Borrower Company, and give verdict or judgment of providing certain temporary relief for the party instigating the arbitration before the establishment of arbitral tribunal or in other appropriate circumstances, such as reaching verdict or judgment of ordering the Defaulting Party to cease the breaching of this Agreement or not to cause additional losses to the Lender.</w:t>
      </w:r>
    </w:p>
    <w:p>
      <w:pPr>
        <w:spacing w:after="0" w:line="108" w:lineRule="exact"/>
        <w:rPr>
          <w:rFonts w:ascii="Times New Roman" w:cs="Times New Roman" w:eastAsia="Times New Roman" w:hAnsi="Times New Roman"/>
          <w:sz w:val="18"/>
          <w:szCs w:val="18"/>
          <w:b w:val="1"/>
          <w:bCs w:val="1"/>
          <w:color w:val="auto"/>
        </w:rPr>
      </w:pPr>
    </w:p>
    <w:p>
      <w:pPr>
        <w:ind w:left="950" w:right="18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 In the arbitration for any disputes arising from the interpretation and implementation of this Agreement, the Parties herein shall continue executing other rights and obligations herein respectively except the matters herein in dispute.</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50"/>
          </w:cols>
          <w:pgMar w:left="550" w:top="264" w:right="599" w:bottom="1440" w:gutter="0" w:footer="0" w:header="0"/>
        </w:sectPr>
      </w:pPr>
    </w:p>
    <w:bookmarkStart w:id="390" w:name="page391"/>
    <w:bookmarkEnd w:id="390"/>
    <w:p>
      <w:pPr>
        <w:ind w:left="950" w:right="8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10.4</w:t>
      </w:r>
      <w:r>
        <w:rPr>
          <w:sz w:val="20"/>
          <w:szCs w:val="20"/>
          <w:color w:val="auto"/>
        </w:rPr>
        <w:tab/>
      </w:r>
      <w:r>
        <w:rPr>
          <w:rFonts w:ascii="Times New Roman" w:cs="Times New Roman" w:eastAsia="Times New Roman" w:hAnsi="Times New Roman"/>
          <w:sz w:val="17"/>
          <w:szCs w:val="17"/>
          <w:color w:val="auto"/>
        </w:rPr>
        <w:t>Due to the issuing or alteration of any the PRC laws, rules or regulations or due to the change in interpretation or application of such laws, rules or regulations any time after the signing date, the following agreement shall be applicable: to the extent permitted by the PRC laws,</w:t>
      </w:r>
    </w:p>
    <w:p>
      <w:pPr>
        <w:spacing w:after="0" w:line="1" w:lineRule="exact"/>
        <w:rPr>
          <w:sz w:val="20"/>
          <w:szCs w:val="20"/>
          <w:color w:val="auto"/>
        </w:rPr>
      </w:pPr>
    </w:p>
    <w:p>
      <w:pPr>
        <w:ind w:left="950" w:right="180" w:firstLine="2"/>
        <w:spacing w:after="0" w:line="245" w:lineRule="auto"/>
        <w:tabs>
          <w:tab w:leader="none" w:pos="118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alteration of laws or newly issued regulations are more preferential for a Party compared to the relevant laws, decrees, orders or regulations that were in effect on the signing date hereof, each Party shall actively and immediately apply for obtaining the benefits brought by the modification or new regulations and put forth their best effort to obtain the approval for the application; or (b) in case that any Party’s economic benefit is directly or indirectly adversely influenced due to the alteration of foregoing laws or newly issued regulations, this Agreement shall be continuously executed as scheduled. All parties shall obtain the exemption from the altered or new regulations through legal means. If the negative effect on the economic benefit of any Party cannot be resolved under this Agreement, all Parties shall immediately negotiate and make all necessary alterations to this Agreement after receiving the notification of the affected Party to safeguard the economic benefit of the affected Party.</w:t>
      </w:r>
    </w:p>
    <w:p>
      <w:pPr>
        <w:spacing w:after="0" w:line="339"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950" w:right="4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 The headings contained in this Agreement are for the convenience of reference only and shall not be used to interpret, explain or otherwise affect the meaning of the provisions of this Agreement.</w:t>
      </w:r>
    </w:p>
    <w:p>
      <w:pPr>
        <w:spacing w:after="0" w:line="76" w:lineRule="exact"/>
        <w:rPr>
          <w:rFonts w:ascii="Times New Roman" w:cs="Times New Roman" w:eastAsia="Times New Roman" w:hAnsi="Times New Roman"/>
          <w:sz w:val="18"/>
          <w:szCs w:val="18"/>
          <w:b w:val="1"/>
          <w:bCs w:val="1"/>
          <w:color w:val="auto"/>
        </w:rPr>
      </w:pPr>
    </w:p>
    <w:p>
      <w:pPr>
        <w:ind w:left="950" w:right="26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 This Agreement shall be effective as of the date of its execution, and expire until the Parties have performed their respective obligations under this Agreement.</w:t>
      </w:r>
    </w:p>
    <w:p>
      <w:pPr>
        <w:spacing w:after="0" w:line="76" w:lineRule="exact"/>
        <w:rPr>
          <w:rFonts w:ascii="Times New Roman" w:cs="Times New Roman" w:eastAsia="Times New Roman" w:hAnsi="Times New Roman"/>
          <w:sz w:val="18"/>
          <w:szCs w:val="18"/>
          <w:b w:val="1"/>
          <w:bCs w:val="1"/>
          <w:color w:val="auto"/>
        </w:rPr>
      </w:pPr>
    </w:p>
    <w:p>
      <w:pPr>
        <w:ind w:left="95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11.3 The Parties agree to promptly execute any document and take any other action reasonably necessary or advisable to perform provisions and purpose of this Agreement.</w:t>
      </w:r>
    </w:p>
    <w:p>
      <w:pPr>
        <w:spacing w:after="0" w:line="76" w:lineRule="exact"/>
        <w:rPr>
          <w:rFonts w:ascii="Times New Roman" w:cs="Times New Roman" w:eastAsia="Times New Roman" w:hAnsi="Times New Roman"/>
          <w:sz w:val="18"/>
          <w:szCs w:val="18"/>
          <w:b w:val="1"/>
          <w:bCs w:val="1"/>
          <w:color w:val="auto"/>
        </w:rPr>
      </w:pPr>
    </w:p>
    <w:p>
      <w:pPr>
        <w:ind w:left="950" w:right="280" w:hanging="52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11.4 The Parties confirm that this Agreement shall, upon its effectiveness, constitute the entire agreement and common understanding of the Parties with respect to the subject matters herein and fully supersede all prior verbal and/or written agreements and understandings with respect to the subject matters herein.</w:t>
      </w:r>
    </w:p>
    <w:p>
      <w:pPr>
        <w:spacing w:after="0" w:line="85" w:lineRule="exact"/>
        <w:rPr>
          <w:rFonts w:ascii="Times New Roman" w:cs="Times New Roman" w:eastAsia="Times New Roman" w:hAnsi="Times New Roman"/>
          <w:sz w:val="18"/>
          <w:szCs w:val="18"/>
          <w:b w:val="1"/>
          <w:bCs w:val="1"/>
          <w:color w:val="auto"/>
        </w:rPr>
      </w:pPr>
    </w:p>
    <w:p>
      <w:pPr>
        <w:ind w:left="950" w:right="10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11.5 The Parties may amend and supplement this Agreement in writing. Any amendment and/or supplement to this Agreement by the Parties is an integral part of and has the same effect with this Agreement.</w:t>
      </w:r>
    </w:p>
    <w:p>
      <w:pPr>
        <w:spacing w:after="0" w:line="76" w:lineRule="exact"/>
        <w:rPr>
          <w:rFonts w:ascii="Times New Roman" w:cs="Times New Roman" w:eastAsia="Times New Roman" w:hAnsi="Times New Roman"/>
          <w:sz w:val="18"/>
          <w:szCs w:val="18"/>
          <w:b w:val="1"/>
          <w:bCs w:val="1"/>
          <w:color w:val="auto"/>
        </w:rPr>
      </w:pPr>
    </w:p>
    <w:p>
      <w:pPr>
        <w:ind w:left="950" w:right="580" w:hanging="529"/>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11.6 This Agreement shall be binding upon and for the benefit of all the Parties hereto and their respective inheritors, successors and the permitted assigns.</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90"/>
          </w:cols>
          <w:pgMar w:left="550" w:top="266" w:right="559" w:bottom="1440" w:gutter="0" w:footer="0" w:header="0"/>
        </w:sectPr>
      </w:pPr>
    </w:p>
    <w:bookmarkStart w:id="391" w:name="page392"/>
    <w:bookmarkEnd w:id="391"/>
    <w:p>
      <w:pPr>
        <w:ind w:left="52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11.7</w:t>
        <w:tab/>
        <w:t>Any Party’s failure to exercise the rights under this Agreement in time shall not be deemed as its waiver of such rights and would not affect its future exercise of such rights.</w:t>
      </w:r>
    </w:p>
    <w:p>
      <w:pPr>
        <w:spacing w:after="0" w:line="76" w:lineRule="exact"/>
        <w:rPr>
          <w:sz w:val="20"/>
          <w:szCs w:val="20"/>
          <w:color w:val="auto"/>
        </w:rPr>
      </w:pPr>
    </w:p>
    <w:p>
      <w:pPr>
        <w:ind w:left="520" w:hanging="528"/>
        <w:spacing w:after="0" w:line="273" w:lineRule="auto"/>
        <w:tabs>
          <w:tab w:leader="none" w:pos="5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If any provision of this Agreement is held void, invalid or unenforceable by a court of competent jurisdiction, governmental agency or arbitration authority, the validity, legality and enforceability of the other provisions hereof shall not be affected or impaired in any way. The Parties shall cease performing such void, invalid or unenforceable provisions and revise such void, invalid or unenforceable provisions only to the extent closest to the original intention thereof to recover its validity or enforceability for such specific facts and circumstances.</w:t>
      </w:r>
    </w:p>
    <w:p>
      <w:pPr>
        <w:spacing w:after="0" w:line="76" w:lineRule="exact"/>
        <w:rPr>
          <w:sz w:val="20"/>
          <w:szCs w:val="20"/>
          <w:color w:val="auto"/>
        </w:rPr>
      </w:pPr>
    </w:p>
    <w:p>
      <w:pPr>
        <w:ind w:left="520" w:right="100" w:hanging="528"/>
        <w:spacing w:after="0" w:line="270" w:lineRule="auto"/>
        <w:tabs>
          <w:tab w:leader="none" w:pos="500" w:val="left"/>
        </w:tabs>
        <w:rPr>
          <w:sz w:val="20"/>
          <w:szCs w:val="20"/>
          <w:color w:val="auto"/>
        </w:rPr>
      </w:pPr>
      <w:r>
        <w:rPr>
          <w:rFonts w:ascii="Times New Roman" w:cs="Times New Roman" w:eastAsia="Times New Roman" w:hAnsi="Times New Roman"/>
          <w:sz w:val="18"/>
          <w:szCs w:val="18"/>
          <w:color w:val="auto"/>
        </w:rPr>
        <w:t>11.9</w:t>
        <w:tab/>
        <w:t>Unless with prior written consent from the Lender, the Borrowers may not assign any of their rights and obligations under this Agreement to any third party.</w:t>
      </w:r>
    </w:p>
    <w:p>
      <w:pPr>
        <w:spacing w:after="0" w:line="7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This Agreement is made in four (4) originals with each Party holding one (1) original. Each original has the same effect.</w:t>
      </w:r>
    </w:p>
    <w:p>
      <w:pPr>
        <w:spacing w:after="0" w:line="2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(No text below)</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340"/>
          </w:cols>
          <w:pgMar w:left="980" w:top="266" w:right="57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(This page is intentionally left blank and is the signing page of this Loan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Loan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Jingxundi Supply Chain Technology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 Jingxundi Supply Chain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102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8">
                      <a:extLst>
                        <a:ext uri="{28A0092B-C50C-407E-A947-70E740481C1C}"/>
                      </a:extLst>
                    </a:blip>
                    <a:srcRect/>
                    <a:stretch>
                      <a:fillRect/>
                    </a:stretch>
                  </pic:blipFill>
                  <pic:spPr bwMode="auto">
                    <a:xfrm>
                      <a:off x="0" y="0"/>
                      <a:ext cx="308102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Jingxundi Supply Chain Technology Co., Ltd.)</w:t>
      </w:r>
    </w:p>
    <w:p>
      <w:pPr>
        <w:spacing w:after="0" w:line="1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99"/>
          </w:cols>
          <w:pgMar w:left="560" w:top="266" w:right="1440"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Loan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Loan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0">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899"/>
          </w:cols>
          <w:pgMar w:left="560" w:top="266" w:right="1440"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Loan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Loan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YayunLi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2">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899"/>
          </w:cols>
          <w:pgMar w:left="560" w:top="266" w:right="1440"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Loan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Loan Agreement as of the date and at the address first above written.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4">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899"/>
          </w:cols>
          <w:pgMar w:left="560" w:top="266" w:right="1440" w:bottom="1440" w:gutter="0" w:footer="0" w:header="0"/>
        </w:sectPr>
      </w:pPr>
    </w:p>
    <w:bookmarkStart w:id="396" w:name="page397"/>
    <w:bookmarkEnd w:id="3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loan agreements substantially in form as this exhibit that the Registrant entered into with certain other Chinese variable interest entities. Other than the information set forth below, there is no material difference between such other agreements and this exhibit.</w:t>
      </w:r>
    </w:p>
    <w:p>
      <w:pPr>
        <w:sectPr>
          <w:pgSz w:w="11900" w:h="16838" w:orient="portrait"/>
          <w:cols w:equalWidth="0" w:num="1">
            <w:col w:w="10780"/>
          </w:cols>
          <w:pgMar w:left="560" w:top="264" w:right="55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200" w:type="dxa"/>
            <w:vAlign w:val="bottom"/>
          </w:tcPr>
          <w:p>
            <w:pPr>
              <w:spacing w:after="0"/>
              <w:rPr>
                <w:sz w:val="14"/>
                <w:szCs w:val="14"/>
                <w:color w:val="auto"/>
              </w:rPr>
            </w:pPr>
          </w:p>
        </w:tc>
        <w:tc>
          <w:tcPr>
            <w:tcW w:w="20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60" w:type="dxa"/>
            <w:vAlign w:val="bottom"/>
            <w:gridSpan w:val="2"/>
          </w:tcPr>
          <w:p>
            <w:pPr>
              <w:spacing w:after="0" w:line="166" w:lineRule="exact"/>
              <w:rPr>
                <w:sz w:val="20"/>
                <w:szCs w:val="20"/>
                <w:color w:val="auto"/>
              </w:rPr>
            </w:pPr>
            <w:r>
              <w:rPr>
                <w:rFonts w:ascii="Times New Roman" w:cs="Times New Roman" w:eastAsia="Times New Roman" w:hAnsi="Times New Roman"/>
                <w:sz w:val="18"/>
                <w:szCs w:val="18"/>
                <w:color w:val="auto"/>
              </w:rPr>
              <w:t>Suqian Jingdong Tianning</w:t>
            </w:r>
          </w:p>
        </w:tc>
        <w:tc>
          <w:tcPr>
            <w:tcW w:w="200" w:type="dxa"/>
            <w:vAlign w:val="bottom"/>
            <w:vMerge w:val="continue"/>
          </w:tcPr>
          <w:p>
            <w:pPr>
              <w:spacing w:after="0"/>
              <w:rPr>
                <w:sz w:val="14"/>
                <w:szCs w:val="14"/>
                <w:color w:val="auto"/>
              </w:rPr>
            </w:pPr>
          </w:p>
        </w:tc>
        <w:tc>
          <w:tcPr>
            <w:tcW w:w="206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Lender: Beijing Jingdong</w:t>
            </w:r>
          </w:p>
        </w:tc>
        <w:tc>
          <w:tcPr>
            <w:tcW w:w="0" w:type="dxa"/>
            <w:vAlign w:val="bottom"/>
          </w:tcPr>
          <w:p>
            <w:pPr>
              <w:spacing w:after="0"/>
              <w:rPr>
                <w:sz w:val="1"/>
                <w:szCs w:val="1"/>
                <w:color w:val="auto"/>
              </w:rPr>
            </w:pPr>
          </w:p>
        </w:tc>
      </w:tr>
      <w:tr>
        <w:trPr>
          <w:trHeight w:val="242"/>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Jiankang Technology Co., Ltd.</w:t>
            </w: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Jiankang Co., Ltd.</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Borrowers: Qin Miao,</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Tingting Sui and Pang</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Zhang</w:t>
            </w:r>
          </w:p>
        </w:tc>
        <w:tc>
          <w:tcPr>
            <w:tcW w:w="0" w:type="dxa"/>
            <w:vAlign w:val="bottom"/>
          </w:tcPr>
          <w:p>
            <w:pPr>
              <w:spacing w:after="0"/>
              <w:rPr>
                <w:sz w:val="1"/>
                <w:szCs w:val="1"/>
                <w:color w:val="auto"/>
              </w:rPr>
            </w:pPr>
          </w:p>
        </w:tc>
      </w:tr>
      <w:tr>
        <w:trPr>
          <w:trHeight w:val="815"/>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Jingxi Logistics</w:t>
            </w: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Lender: Jingdong Logistics</w:t>
            </w:r>
          </w:p>
        </w:tc>
        <w:tc>
          <w:tcPr>
            <w:tcW w:w="0" w:type="dxa"/>
            <w:vAlign w:val="bottom"/>
          </w:tcPr>
          <w:p>
            <w:pPr>
              <w:spacing w:after="0"/>
              <w:rPr>
                <w:sz w:val="1"/>
                <w:szCs w:val="1"/>
                <w:color w:val="auto"/>
              </w:rPr>
            </w:pPr>
          </w:p>
        </w:tc>
      </w:tr>
      <w:tr>
        <w:trPr>
          <w:trHeight w:val="229"/>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Supply Chain Co., Ltd.</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Borrowers: Jian Cui and</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Dingkai Yu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3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Loan Amount</w:t>
            </w: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7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Execution Date</w:t>
            </w:r>
          </w:p>
        </w:tc>
      </w:tr>
      <w:tr>
        <w:trPr>
          <w:trHeight w:val="186"/>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Amount: an aggregate of</w:t>
            </w:r>
          </w:p>
        </w:tc>
        <w:tc>
          <w:tcPr>
            <w:tcW w:w="340" w:type="dxa"/>
            <w:vAlign w:val="bottom"/>
          </w:tcPr>
          <w:p>
            <w:pPr>
              <w:spacing w:after="0"/>
              <w:rPr>
                <w:sz w:val="16"/>
                <w:szCs w:val="16"/>
                <w:color w:val="auto"/>
              </w:rPr>
            </w:pPr>
          </w:p>
        </w:tc>
        <w:tc>
          <w:tcPr>
            <w:tcW w:w="18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c>
          <w:tcPr>
            <w:tcW w:w="100" w:type="dxa"/>
            <w:vAlign w:val="bottom"/>
          </w:tcPr>
          <w:p>
            <w:pPr>
              <w:spacing w:after="0"/>
              <w:rPr>
                <w:sz w:val="16"/>
                <w:szCs w:val="16"/>
                <w:color w:val="auto"/>
              </w:rPr>
            </w:pPr>
          </w:p>
        </w:tc>
        <w:tc>
          <w:tcPr>
            <w:tcW w:w="17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RMB1,000,000, of which</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RMB450,000 will be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provided to Qin Miao,</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RMB300,000 will be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provided to Tingting Sui and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RMB250,000 will be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provided to Pang Zhang</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00"/>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Amount: an aggregate of</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25, 2021</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RMB5,000,000, of which</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RMB2,500,000 will be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provided to Jian Cui and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RMB2,500,000 will be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provided to Dingkai Yu</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57"/>
        </w:trPr>
        <w:tc>
          <w:tcPr>
            <w:tcW w:w="2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2">
            <w:col w:w="4620" w:space="100"/>
            <w:col w:w="6060"/>
          </w:cols>
          <w:pgMar w:left="560" w:top="264" w:right="559" w:bottom="1440" w:gutter="0" w:footer="0" w:header="0"/>
          <w:type w:val="continuous"/>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b w:val="1"/>
          <w:bCs w:val="1"/>
          <w:color w:val="auto"/>
        </w:rPr>
        <w:t>Exhibit 4.19</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Shareholder Voting Rights Entrustment Agreement</w:t>
      </w:r>
    </w:p>
    <w:p>
      <w:pPr>
        <w:spacing w:after="0" w:line="216" w:lineRule="exact"/>
        <w:rPr>
          <w:sz w:val="20"/>
          <w:szCs w:val="20"/>
          <w:color w:val="auto"/>
        </w:rPr>
      </w:pPr>
    </w:p>
    <w:p>
      <w:pPr>
        <w:ind w:left="10" w:right="980"/>
        <w:spacing w:after="0" w:line="273" w:lineRule="auto"/>
        <w:rPr>
          <w:sz w:val="20"/>
          <w:szCs w:val="20"/>
          <w:color w:val="auto"/>
        </w:rPr>
      </w:pPr>
      <w:r>
        <w:rPr>
          <w:rFonts w:ascii="Times New Roman" w:cs="Times New Roman" w:eastAsia="Times New Roman" w:hAnsi="Times New Roman"/>
          <w:sz w:val="18"/>
          <w:szCs w:val="18"/>
          <w:color w:val="auto"/>
        </w:rPr>
        <w:t>This Shareholder Voting Rights Entrustment Agreement (hereinafter referred to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signed among following Parties on September 16, 2022 in Beijing,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70" w:right="120" w:hanging="872"/>
        <w:spacing w:after="0" w:line="303" w:lineRule="auto"/>
        <w:tabs>
          <w:tab w:leader="none" w:pos="849" w:val="left"/>
        </w:tabs>
        <w:rPr>
          <w:sz w:val="20"/>
          <w:szCs w:val="20"/>
          <w:color w:val="auto"/>
        </w:rPr>
      </w:pPr>
      <w:r>
        <w:rPr>
          <w:rFonts w:ascii="Times New Roman" w:cs="Times New Roman" w:eastAsia="Times New Roman" w:hAnsi="Times New Roman"/>
          <w:sz w:val="18"/>
          <w:szCs w:val="18"/>
          <w:b w:val="1"/>
          <w:bCs w:val="1"/>
          <w:color w:val="auto"/>
        </w:rPr>
        <w:t>Party A:</w:t>
      </w:r>
      <w:r>
        <w:rPr>
          <w:sz w:val="20"/>
          <w:szCs w:val="20"/>
          <w:color w:val="auto"/>
        </w:rPr>
        <w:tab/>
      </w:r>
      <w:r>
        <w:rPr>
          <w:rFonts w:ascii="Times New Roman" w:cs="Times New Roman" w:eastAsia="Times New Roman" w:hAnsi="Times New Roman"/>
          <w:sz w:val="17"/>
          <w:szCs w:val="17"/>
          <w:color w:val="auto"/>
        </w:rPr>
        <w:t>X</w:t>
      </w:r>
      <w:r>
        <w:rPr>
          <w:rFonts w:ascii="Times New Roman" w:cs="Times New Roman" w:eastAsia="Times New Roman" w:hAnsi="Times New Roman"/>
          <w:sz w:val="17"/>
          <w:szCs w:val="17"/>
          <w:b w:val="1"/>
          <w:bCs w:val="1"/>
          <w:color w:val="auto"/>
        </w:rPr>
        <w:t>i’an Jingxundi Supply Chain Technology Co., Ltd.,</w:t>
      </w:r>
      <w:r>
        <w:rPr>
          <w:rFonts w:ascii="Times New Roman" w:cs="Times New Roman" w:eastAsia="Times New Roman" w:hAnsi="Times New Roman"/>
          <w:sz w:val="17"/>
          <w:szCs w:val="17"/>
          <w:color w:val="auto"/>
        </w:rPr>
        <w:t xml:space="preserve"> a limited liability company, organized and existing under the PRC laws, with its address at Building 5, SkyCity Central Square, East Chang’An Street No.666, National Civil Space Industrial Base, Xi’an, Shaanxi, China.</w:t>
      </w:r>
    </w:p>
    <w:p>
      <w:pPr>
        <w:spacing w:after="0" w:line="35" w:lineRule="exact"/>
        <w:rPr>
          <w:sz w:val="20"/>
          <w:szCs w:val="20"/>
          <w:color w:val="auto"/>
        </w:rPr>
      </w:pPr>
    </w:p>
    <w:p>
      <w:pPr>
        <w:ind w:left="10"/>
        <w:spacing w:after="0"/>
        <w:tabs>
          <w:tab w:leader="none" w:pos="849" w:val="left"/>
        </w:tabs>
        <w:rPr>
          <w:sz w:val="20"/>
          <w:szCs w:val="20"/>
          <w:color w:val="auto"/>
        </w:rPr>
      </w:pPr>
      <w:r>
        <w:rPr>
          <w:rFonts w:ascii="Times New Roman" w:cs="Times New Roman" w:eastAsia="Times New Roman" w:hAnsi="Times New Roman"/>
          <w:sz w:val="18"/>
          <w:szCs w:val="18"/>
          <w:b w:val="1"/>
          <w:bCs w:val="1"/>
          <w:color w:val="auto"/>
        </w:rPr>
        <w:t>Party B:</w:t>
      </w:r>
      <w:r>
        <w:rPr>
          <w:sz w:val="20"/>
          <w:szCs w:val="20"/>
          <w:color w:val="auto"/>
        </w:rPr>
        <w:tab/>
      </w:r>
      <w:r>
        <w:rPr>
          <w:rFonts w:ascii="Times New Roman" w:cs="Times New Roman" w:eastAsia="Times New Roman" w:hAnsi="Times New Roman"/>
          <w:sz w:val="17"/>
          <w:szCs w:val="17"/>
          <w:b w:val="1"/>
          <w:bCs w:val="1"/>
          <w:color w:val="auto"/>
        </w:rPr>
        <w:t xml:space="preserve">Qin Miao, </w:t>
      </w:r>
      <w:r>
        <w:rPr>
          <w:rFonts w:ascii="Times New Roman" w:cs="Times New Roman" w:eastAsia="Times New Roman" w:hAnsi="Times New Roman"/>
          <w:sz w:val="17"/>
          <w:szCs w:val="17"/>
          <w:color w:val="auto"/>
        </w:rPr>
        <w:t>a Chinese citizen with Chinese Identification No.: ***; and</w:t>
      </w:r>
    </w:p>
    <w:p>
      <w:pPr>
        <w:spacing w:after="0" w:line="24"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8"/>
          <w:szCs w:val="18"/>
          <w:b w:val="1"/>
          <w:bCs w:val="1"/>
          <w:color w:val="auto"/>
        </w:rPr>
        <w:t xml:space="preserve">Yayun Li, </w:t>
      </w:r>
      <w:r>
        <w:rPr>
          <w:rFonts w:ascii="Times New Roman" w:cs="Times New Roman" w:eastAsia="Times New Roman" w:hAnsi="Times New Roman"/>
          <w:sz w:val="18"/>
          <w:szCs w:val="18"/>
          <w:color w:val="auto"/>
        </w:rPr>
        <w:t>a Chinese citizen with Chinese Identification No.: ***; and</w:t>
      </w:r>
    </w:p>
    <w:p>
      <w:pPr>
        <w:spacing w:after="0" w:line="5"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8"/>
          <w:szCs w:val="18"/>
          <w:b w:val="1"/>
          <w:bCs w:val="1"/>
          <w:color w:val="auto"/>
        </w:rPr>
        <w:t xml:space="preserve">Pang Zhang, </w:t>
      </w:r>
      <w:r>
        <w:rPr>
          <w:rFonts w:ascii="Times New Roman" w:cs="Times New Roman" w:eastAsia="Times New Roman" w:hAnsi="Times New Roman"/>
          <w:sz w:val="18"/>
          <w:szCs w:val="18"/>
          <w:color w:val="auto"/>
        </w:rPr>
        <w:t>a Chinese citizen with Chinese Identification No.: ***; and</w:t>
      </w:r>
    </w:p>
    <w:p>
      <w:pPr>
        <w:spacing w:after="0" w:line="104" w:lineRule="exact"/>
        <w:rPr>
          <w:sz w:val="20"/>
          <w:szCs w:val="20"/>
          <w:color w:val="auto"/>
        </w:rPr>
      </w:pPr>
    </w:p>
    <w:p>
      <w:pPr>
        <w:jc w:val="center"/>
        <w:ind w:right="11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Party C:   Xi’an Jingdong Xincheng Information Technology Co., Ltd., </w:t>
      </w:r>
      <w:r>
        <w:rPr>
          <w:rFonts w:ascii="Times New Roman" w:cs="Times New Roman" w:eastAsia="Times New Roman" w:hAnsi="Times New Roman"/>
          <w:sz w:val="18"/>
          <w:szCs w:val="18"/>
          <w:color w:val="auto"/>
        </w:rPr>
        <w:t>a limited liability company organized and existing under the laws of PRC,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its address at Building 5, SkyCity Central Square, East Chang’An Street No.666, Aerospace Base, Xi’an, Shaanxi, China.</w:t>
      </w:r>
    </w:p>
    <w:p>
      <w:pPr>
        <w:spacing w:after="0" w:line="2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60" w:hanging="430"/>
        <w:spacing w:after="0" w:line="270" w:lineRule="auto"/>
        <w:tabs>
          <w:tab w:leader="none" w:pos="43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the current shareholder of Party C. By the signing date of this Agreement, Party B held all of Party C’s equity (hereinafter referred to as “</w:t>
      </w:r>
      <w:r>
        <w:rPr>
          <w:rFonts w:ascii="Times New Roman" w:cs="Times New Roman" w:eastAsia="Times New Roman" w:hAnsi="Times New Roman"/>
          <w:sz w:val="18"/>
          <w:szCs w:val="18"/>
          <w:b w:val="1"/>
          <w:bCs w:val="1"/>
          <w:color w:val="auto"/>
        </w:rPr>
        <w:t>Party C’s Equity Interest</w:t>
      </w:r>
      <w:r>
        <w:rPr>
          <w:rFonts w:ascii="Times New Roman" w:cs="Times New Roman" w:eastAsia="Times New Roman" w:hAnsi="Times New Roman"/>
          <w:sz w:val="18"/>
          <w:szCs w:val="18"/>
          <w:color w:val="auto"/>
        </w:rPr>
        <w:t>”); Party A is a wholly foreign-owned enterprise registered in Shaanxi Province, China</w:t>
      </w:r>
    </w:p>
    <w:p>
      <w:pPr>
        <w:spacing w:after="0" w:line="74" w:lineRule="exact"/>
        <w:rPr>
          <w:rFonts w:ascii="Times New Roman" w:cs="Times New Roman" w:eastAsia="Times New Roman" w:hAnsi="Times New Roman"/>
          <w:sz w:val="18"/>
          <w:szCs w:val="18"/>
          <w:color w:val="auto"/>
        </w:rPr>
      </w:pPr>
    </w:p>
    <w:p>
      <w:pPr>
        <w:ind w:left="430" w:right="480" w:hanging="430"/>
        <w:spacing w:after="0" w:line="259" w:lineRule="auto"/>
        <w:tabs>
          <w:tab w:leader="none" w:pos="43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100% directly held by JD Logistics Holding Limited (a company registered under the laws of Hong Kong) (the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Hong Kong Company is 100% directly held by JD Logistics, Inc. (a company registered under the laws of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(the “</w:t>
      </w:r>
      <w:r>
        <w:rPr>
          <w:rFonts w:ascii="Times New Roman" w:cs="Times New Roman" w:eastAsia="Times New Roman" w:hAnsi="Times New Roman"/>
          <w:sz w:val="18"/>
          <w:szCs w:val="18"/>
          <w:b w:val="1"/>
          <w:bCs w:val="1"/>
          <w:color w:val="auto"/>
        </w:rPr>
        <w:t>Cayman Company</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30" w:right="40" w:hanging="430"/>
        <w:spacing w:after="0" w:line="271" w:lineRule="auto"/>
        <w:tabs>
          <w:tab w:leader="none" w:pos="430"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hereunder signed an Exclusive Option Agreement (hereinafter referred to as the “</w:t>
      </w:r>
      <w:r>
        <w:rPr>
          <w:rFonts w:ascii="Times New Roman" w:cs="Times New Roman" w:eastAsia="Times New Roman" w:hAnsi="Times New Roman"/>
          <w:sz w:val="17"/>
          <w:szCs w:val="17"/>
          <w:b w:val="1"/>
          <w:bCs w:val="1"/>
          <w:color w:val="auto"/>
        </w:rPr>
        <w:t>Exclusive Option Agreement</w:t>
      </w:r>
      <w:r>
        <w:rPr>
          <w:rFonts w:ascii="Times New Roman" w:cs="Times New Roman" w:eastAsia="Times New Roman" w:hAnsi="Times New Roman"/>
          <w:sz w:val="17"/>
          <w:szCs w:val="17"/>
          <w:color w:val="auto"/>
        </w:rPr>
        <w:t>”) on the date hereof. To the extent permitted by the PRC laws and corresponding requirements, if Party A makes a purchase request based on its independent judgment:</w:t>
      </w:r>
    </w:p>
    <w:p>
      <w:pPr>
        <w:spacing w:after="0" w:line="1" w:lineRule="exact"/>
        <w:rPr>
          <w:rFonts w:ascii="Times New Roman" w:cs="Times New Roman" w:eastAsia="Times New Roman" w:hAnsi="Times New Roman"/>
          <w:sz w:val="17"/>
          <w:szCs w:val="17"/>
          <w:color w:val="auto"/>
        </w:rPr>
      </w:pPr>
    </w:p>
    <w:p>
      <w:pPr>
        <w:ind w:left="430" w:right="44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Party B shall transfer Party C’s Equity Interest that it holds to Party A, and/or its designee (hereinafter referred to as the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who needs to be the Cayman Company or a subsidiary that is directly or indirectly wholly controlled by it) in whole or in part according to its requirements; (b) Party C shall transfer all or part of its assets to Party A and/or the Designee according to its requirements.</w:t>
      </w:r>
    </w:p>
    <w:p>
      <w:pPr>
        <w:spacing w:after="0" w:line="94"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entered into an Equity Interest Pledge Agreement (hereinafter referred to as the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w:t>
      </w:r>
    </w:p>
    <w:p>
      <w:pPr>
        <w:spacing w:after="0" w:line="24" w:lineRule="exact"/>
        <w:rPr>
          <w:rFonts w:ascii="Times New Roman" w:cs="Times New Roman" w:eastAsia="Times New Roman" w:hAnsi="Times New Roman"/>
          <w:sz w:val="18"/>
          <w:szCs w:val="18"/>
          <w:color w:val="auto"/>
        </w:rPr>
      </w:pPr>
    </w:p>
    <w:p>
      <w:pPr>
        <w:ind w:left="43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Thus, Party B pledges all of the Equity Interest it holds in Party C (Party C’s Equity Interest) to Party A as pledge guarantee for the Contract Obligations and Secured Indebtedness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6044565</wp:posOffset>
            </wp:positionH>
            <wp:positionV relativeFrom="paragraph">
              <wp:posOffset>-1045210</wp:posOffset>
            </wp:positionV>
            <wp:extent cx="69278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6">
                      <a:extLst>
                        <a:ext uri="{28A0092B-C50C-407E-A947-70E740481C1C}"/>
                      </a:extLst>
                    </a:blip>
                    <a:srcRect/>
                    <a:stretch>
                      <a:fillRect/>
                    </a:stretch>
                  </pic:blipFill>
                  <pic:spPr bwMode="auto">
                    <a:xfrm>
                      <a:off x="0" y="0"/>
                      <a:ext cx="692785" cy="8255"/>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-163195</wp:posOffset>
            </wp:positionV>
            <wp:extent cx="6927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7">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9" w:right="559" w:bottom="1440" w:gutter="0" w:footer="0" w:header="0"/>
        </w:sectPr>
      </w:pPr>
    </w:p>
    <w:bookmarkStart w:id="398" w:name="page399"/>
    <w:bookmarkEnd w:id="398"/>
    <w:p>
      <w:pPr>
        <w:ind w:left="430" w:right="360" w:hanging="430"/>
        <w:spacing w:after="0" w:line="281" w:lineRule="auto"/>
        <w:tabs>
          <w:tab w:leader="none" w:pos="43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Party A and Party B entered into a Loan Agreement (including revisions from time to time, hereinafter referred to as the “</w:t>
      </w:r>
      <w:r>
        <w:rPr>
          <w:rFonts w:ascii="Times New Roman" w:cs="Times New Roman" w:eastAsia="Times New Roman" w:hAnsi="Times New Roman"/>
          <w:sz w:val="17"/>
          <w:szCs w:val="17"/>
          <w:b w:val="1"/>
          <w:bCs w:val="1"/>
          <w:color w:val="auto"/>
        </w:rPr>
        <w:t>Loan Agreement</w:t>
      </w:r>
      <w:r>
        <w:rPr>
          <w:rFonts w:ascii="Times New Roman" w:cs="Times New Roman" w:eastAsia="Times New Roman" w:hAnsi="Times New Roman"/>
          <w:sz w:val="17"/>
          <w:szCs w:val="17"/>
          <w:color w:val="auto"/>
        </w:rPr>
        <w:t>”) on the date hereof. Pursuant to the Loan Agreement, the Pledgee provided a loan of RMB1,000,000 to the Pledgors in total, among which RMB450,000 was provided to Qin Miao, RMB300,000 was provided to Yayun Li, and RMB250,000 was provided to Pang Zhang</w:t>
      </w:r>
      <w:r>
        <w:rPr>
          <w:rFonts w:ascii="Times New Roman" w:cs="Times New Roman" w:eastAsia="Times New Roman" w:hAnsi="Times New Roman"/>
          <w:sz w:val="17"/>
          <w:szCs w:val="17"/>
          <w:u w:val="single" w:color="auto"/>
          <w:color w:val="auto"/>
        </w:rPr>
        <w:t>.</w:t>
      </w:r>
    </w:p>
    <w:p>
      <w:pPr>
        <w:spacing w:after="0" w:line="68" w:lineRule="exact"/>
        <w:rPr>
          <w:rFonts w:ascii="Times New Roman" w:cs="Times New Roman" w:eastAsia="Times New Roman" w:hAnsi="Times New Roman"/>
          <w:sz w:val="17"/>
          <w:szCs w:val="17"/>
          <w:color w:val="auto"/>
        </w:rPr>
      </w:pPr>
    </w:p>
    <w:p>
      <w:pPr>
        <w:ind w:left="430" w:right="140" w:hanging="430"/>
        <w:spacing w:after="0" w:line="258" w:lineRule="auto"/>
        <w:tabs>
          <w:tab w:leader="none" w:pos="43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C entered into an Exclusive Business Cooperation Agreement (including revisions from time to time, hereinafter referred to as the “</w:t>
      </w:r>
      <w:r>
        <w:rPr>
          <w:rFonts w:ascii="Times New Roman" w:cs="Times New Roman" w:eastAsia="Times New Roman" w:hAnsi="Times New Roman"/>
          <w:sz w:val="18"/>
          <w:szCs w:val="18"/>
          <w:b w:val="1"/>
          <w:bCs w:val="1"/>
          <w:color w:val="auto"/>
        </w:rPr>
        <w:t>Business Cooperation Agreement</w:t>
      </w:r>
      <w:r>
        <w:rPr>
          <w:rFonts w:ascii="Times New Roman" w:cs="Times New Roman" w:eastAsia="Times New Roman" w:hAnsi="Times New Roman"/>
          <w:sz w:val="18"/>
          <w:szCs w:val="18"/>
          <w:color w:val="auto"/>
        </w:rPr>
        <w:t>”) on the date hereof. Party A shall provide Party C with related exclusive technical services, technical consultations and other services based on the Business Cooperation Agreement.</w:t>
      </w:r>
    </w:p>
    <w:p>
      <w:pPr>
        <w:spacing w:after="0" w:line="85" w:lineRule="exact"/>
        <w:rPr>
          <w:rFonts w:ascii="Times New Roman" w:cs="Times New Roman" w:eastAsia="Times New Roman" w:hAnsi="Times New Roman"/>
          <w:sz w:val="18"/>
          <w:szCs w:val="18"/>
          <w:color w:val="auto"/>
        </w:rPr>
      </w:pPr>
    </w:p>
    <w:p>
      <w:pPr>
        <w:ind w:left="430" w:right="200" w:hanging="430"/>
        <w:spacing w:after="0" w:line="280" w:lineRule="auto"/>
        <w:tabs>
          <w:tab w:leader="none" w:pos="430" w:val="left"/>
        </w:tabs>
        <w:numPr>
          <w:ilvl w:val="0"/>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guarantee and protect the performance of the Business Cooperation Agreement and Party A’s lawful rights and interests, the Parties intend to sign this Agreement on matters such as Party B’s entrusted shareholder voting rights to Party A. Party B intends to authorize the individual or entity designated by Party A as its proxy to exercise its rights (defined as below) in Party C, while Party A intends to accept such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-1135380</wp:posOffset>
            </wp:positionV>
            <wp:extent cx="72072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9">
                      <a:extLst>
                        <a:ext uri="{28A0092B-C50C-407E-A947-70E740481C1C}"/>
                      </a:extLst>
                    </a:blip>
                    <a:srcRect/>
                    <a:stretch>
                      <a:fillRect/>
                    </a:stretch>
                  </pic:blipFill>
                  <pic:spPr bwMode="auto">
                    <a:xfrm>
                      <a:off x="0" y="0"/>
                      <a:ext cx="720725" cy="8255"/>
                    </a:xfrm>
                    <a:prstGeom prst="rect">
                      <a:avLst/>
                    </a:prstGeom>
                    <a:noFill/>
                  </pic:spPr>
                </pic:pic>
              </a:graphicData>
            </a:graphic>
          </wp:anchor>
        </w:drawing>
        <w:drawing>
          <wp:anchor simplePos="0" relativeHeight="251657728" behindDoc="1" locked="0" layoutInCell="0" allowOverlap="1">
            <wp:simplePos x="0" y="0"/>
            <wp:positionH relativeFrom="column">
              <wp:posOffset>2298700</wp:posOffset>
            </wp:positionH>
            <wp:positionV relativeFrom="paragraph">
              <wp:posOffset>-657225</wp:posOffset>
            </wp:positionV>
            <wp:extent cx="69278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0">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The Parties agree as follows after friendly negotiation:</w:t>
      </w:r>
    </w:p>
    <w:p>
      <w:pPr>
        <w:spacing w:after="0" w:line="359" w:lineRule="exact"/>
        <w:rPr>
          <w:sz w:val="20"/>
          <w:szCs w:val="20"/>
          <w:color w:val="auto"/>
        </w:rPr>
      </w:pPr>
    </w:p>
    <w:p>
      <w:pPr>
        <w:ind w:left="430" w:hanging="430"/>
        <w:spacing w:after="0"/>
        <w:tabs>
          <w:tab w:leader="none" w:pos="43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Rights</w:t>
      </w:r>
    </w:p>
    <w:p>
      <w:pPr>
        <w:spacing w:after="0" w:line="124" w:lineRule="exact"/>
        <w:rPr>
          <w:sz w:val="20"/>
          <w:szCs w:val="20"/>
          <w:color w:val="auto"/>
        </w:rPr>
      </w:pPr>
    </w:p>
    <w:p>
      <w:pPr>
        <w:ind w:left="430" w:hanging="422"/>
        <w:spacing w:after="0" w:line="266" w:lineRule="auto"/>
        <w:tabs>
          <w:tab w:leader="none" w:pos="409"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Party B severally and not jointly, unconditionally and irrevocably undertakes to sign the Power of Attorney (hereinafter referred to as the “</w:t>
      </w:r>
      <w:r>
        <w:rPr>
          <w:rFonts w:ascii="Times New Roman" w:cs="Times New Roman" w:eastAsia="Times New Roman" w:hAnsi="Times New Roman"/>
          <w:sz w:val="17"/>
          <w:szCs w:val="17"/>
          <w:b w:val="1"/>
          <w:bCs w:val="1"/>
          <w:color w:val="auto"/>
        </w:rPr>
        <w:t>Power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 Attorney</w:t>
      </w:r>
      <w:r>
        <w:rPr>
          <w:rFonts w:ascii="Times New Roman" w:cs="Times New Roman" w:eastAsia="Times New Roman" w:hAnsi="Times New Roman"/>
          <w:sz w:val="17"/>
          <w:szCs w:val="17"/>
          <w:color w:val="auto"/>
        </w:rPr>
        <w:t>”) with the same content and format as shown in Appendix I of this Agreement the date hereof, and authorize Party A or Party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 its overseas parent holding company and liquidator or other successor performing such director’s duties as agent (hereinafter referred to as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according to Party A’s instructions to exercise all of its rights as Party C’s shareholder and rights representing Party B in exercising all shareholders’ rights in all matters of Party C according to Party C’s current articles of association, joint venture contract, Transaction Documents (as defined in the “</w:t>
      </w:r>
      <w:r>
        <w:rPr>
          <w:rFonts w:ascii="Times New Roman" w:cs="Times New Roman" w:eastAsia="Times New Roman" w:hAnsi="Times New Roman"/>
          <w:sz w:val="17"/>
          <w:szCs w:val="17"/>
          <w:b w:val="1"/>
          <w:bCs w:val="1"/>
          <w:color w:val="auto"/>
        </w:rPr>
        <w:t>Equity Pledge Agreement</w:t>
      </w:r>
      <w:r>
        <w:rPr>
          <w:rFonts w:ascii="Times New Roman" w:cs="Times New Roman" w:eastAsia="Times New Roman" w:hAnsi="Times New Roman"/>
          <w:sz w:val="17"/>
          <w:szCs w:val="17"/>
          <w:color w:val="auto"/>
        </w:rPr>
        <w:t>”), and applicable laws and regulations. However, the Trustee hereinbefore shall not be Party B or other shareholders of Party C. Such shareholder’s rights (hereinafter referred to as “</w:t>
      </w:r>
      <w:r>
        <w:rPr>
          <w:rFonts w:ascii="Times New Roman" w:cs="Times New Roman" w:eastAsia="Times New Roman" w:hAnsi="Times New Roman"/>
          <w:sz w:val="17"/>
          <w:szCs w:val="17"/>
          <w:b w:val="1"/>
          <w:bCs w:val="1"/>
          <w:color w:val="auto"/>
        </w:rPr>
        <w:t>Proxy Rights</w:t>
      </w:r>
      <w:r>
        <w:rPr>
          <w:rFonts w:ascii="Times New Roman" w:cs="Times New Roman" w:eastAsia="Times New Roman" w:hAnsi="Times New Roman"/>
          <w:sz w:val="17"/>
          <w:szCs w:val="17"/>
          <w:color w:val="auto"/>
        </w:rPr>
        <w:t>”) shall include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4354195</wp:posOffset>
            </wp:positionH>
            <wp:positionV relativeFrom="paragraph">
              <wp:posOffset>-706120</wp:posOffset>
            </wp:positionV>
            <wp:extent cx="69278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1">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9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70"/>
          </w:cols>
          <w:pgMar w:left="550" w:top="264" w:right="579" w:bottom="1440" w:gutter="0" w:footer="0" w:header="0"/>
        </w:sectPr>
      </w:pPr>
    </w:p>
    <w:bookmarkStart w:id="399" w:name="page400"/>
    <w:bookmarkEnd w:id="399"/>
    <w:p>
      <w:pPr>
        <w:ind w:left="526" w:right="60" w:hanging="526"/>
        <w:spacing w:after="0" w:line="250"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Exercising all of Party B’s shareholder’s rights, voting rights, as the shareholder of Party C, under the PRC laws (including all laws, rules, regulations, notices, interpretations or other binding documents promulgated by any central or regional legislative, administrative or judicial departments before or after signing this Agreement, which are hereinafter referred to as the “</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 and Transaction Documents (as defined in the Equity Pledge Agreement) and Party C’s articles of association and joint venture contract (including any other shareholders’ voting rights specified after the articles of association and joint venture contract are revised), including but not limited to rights to share dividends, sell or transfer or pledge Party C’s Equity Interest in part or in whole;</w:t>
      </w:r>
    </w:p>
    <w:p>
      <w:pPr>
        <w:spacing w:after="0" w:line="94" w:lineRule="exact"/>
        <w:rPr>
          <w:rFonts w:ascii="Times New Roman" w:cs="Times New Roman" w:eastAsia="Times New Roman" w:hAnsi="Times New Roman"/>
          <w:sz w:val="18"/>
          <w:szCs w:val="18"/>
          <w:color w:val="auto"/>
        </w:rPr>
      </w:pPr>
    </w:p>
    <w:p>
      <w:pPr>
        <w:ind w:left="526" w:right="120" w:hanging="526"/>
        <w:spacing w:after="0" w:line="251"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particular clauses of election of the legal representative in Party C’s articles of association and joint venture contract, acting as Party C’s legal representative, or Chairman of the Board of Directors, director, manager and/or designate, appoint or replace Party C’s legal representative (Chairman of the Board of Directors), director, supervisor, CEO (or manager) and other senior managers on behalf of Party B; when the actions of the directors, supervisors or senior managers of Party C damage the interests of Party C or its shareholders, filing a lawsuit or taking other legal acts against them.</w:t>
      </w:r>
    </w:p>
    <w:p>
      <w:pPr>
        <w:spacing w:after="0" w:line="94" w:lineRule="exact"/>
        <w:rPr>
          <w:rFonts w:ascii="Times New Roman" w:cs="Times New Roman" w:eastAsia="Times New Roman" w:hAnsi="Times New Roman"/>
          <w:sz w:val="18"/>
          <w:szCs w:val="18"/>
          <w:color w:val="auto"/>
        </w:rPr>
      </w:pPr>
    </w:p>
    <w:p>
      <w:pPr>
        <w:ind w:left="526" w:hanging="526"/>
        <w:spacing w:after="0" w:line="270"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documents to exercise shareholder rights related to Party C’s Equity Interest (but not including signing Transaction Documents (as define in the Equity Pledge Agreement) or any revision thereof) and documents archived in the relevant company registry.</w:t>
      </w:r>
    </w:p>
    <w:p>
      <w:pPr>
        <w:spacing w:after="0" w:line="76" w:lineRule="exact"/>
        <w:rPr>
          <w:rFonts w:ascii="Times New Roman" w:cs="Times New Roman" w:eastAsia="Times New Roman" w:hAnsi="Times New Roman"/>
          <w:sz w:val="18"/>
          <w:szCs w:val="18"/>
          <w:color w:val="auto"/>
        </w:rPr>
      </w:pPr>
    </w:p>
    <w:p>
      <w:pPr>
        <w:ind w:left="526" w:right="620" w:hanging="526"/>
        <w:spacing w:after="0" w:line="270"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convening and attending the general meeting of shareholders, and signing any relevant minutes of the general meeting, resolutions of the general meeting or other legal documents;</w:t>
      </w:r>
    </w:p>
    <w:p>
      <w:pPr>
        <w:spacing w:after="0" w:line="76"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decisions on material matters related to Party C’s business, and reviewing and approving all relevant reports and plans;</w:t>
      </w:r>
    </w:p>
    <w:p>
      <w:pPr>
        <w:spacing w:after="0" w:line="123" w:lineRule="exact"/>
        <w:rPr>
          <w:rFonts w:ascii="Times New Roman" w:cs="Times New Roman" w:eastAsia="Times New Roman" w:hAnsi="Times New Roman"/>
          <w:sz w:val="18"/>
          <w:szCs w:val="18"/>
          <w:color w:val="auto"/>
        </w:rPr>
      </w:pPr>
    </w:p>
    <w:p>
      <w:pPr>
        <w:ind w:left="526" w:right="520" w:hanging="526"/>
        <w:spacing w:after="0" w:line="270"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rights at the time of Party C’s bankruptcy, liquidation, dissolution or termination on behalf of Party C’s registered shareholders;</w:t>
      </w:r>
    </w:p>
    <w:p>
      <w:pPr>
        <w:spacing w:after="0" w:line="76"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rights to allocate Party C’s residual assets after Party C’s bankruptcy, liquidation, dissolution or termination;</w:t>
      </w:r>
    </w:p>
    <w:p>
      <w:pPr>
        <w:spacing w:after="0" w:line="123" w:lineRule="exact"/>
        <w:rPr>
          <w:rFonts w:ascii="Times New Roman" w:cs="Times New Roman" w:eastAsia="Times New Roman" w:hAnsi="Times New Roman"/>
          <w:sz w:val="18"/>
          <w:szCs w:val="18"/>
          <w:color w:val="auto"/>
        </w:rPr>
      </w:pPr>
    </w:p>
    <w:p>
      <w:pPr>
        <w:ind w:left="526" w:hanging="526"/>
        <w:spacing w:after="0"/>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matters relating to the submission and registration of documents regarding Party C to and with government agencies;</w:t>
      </w:r>
    </w:p>
    <w:p>
      <w:pPr>
        <w:spacing w:after="0" w:line="123" w:lineRule="exact"/>
        <w:rPr>
          <w:rFonts w:ascii="Times New Roman" w:cs="Times New Roman" w:eastAsia="Times New Roman" w:hAnsi="Times New Roman"/>
          <w:sz w:val="18"/>
          <w:szCs w:val="18"/>
          <w:color w:val="auto"/>
        </w:rPr>
      </w:pPr>
    </w:p>
    <w:p>
      <w:pPr>
        <w:ind w:left="526" w:right="500" w:hanging="526"/>
        <w:spacing w:after="0" w:line="270" w:lineRule="auto"/>
        <w:tabs>
          <w:tab w:leader="none" w:pos="52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Lawfully exercising all of the shareholder’s rights regarding disposition of Party C’s assets, including but not limited to the rights to manage businesses about its assets, obtain its incomes and acquire its assets; and</w:t>
      </w:r>
    </w:p>
    <w:p>
      <w:pPr>
        <w:spacing w:after="0" w:line="10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26"/>
          </w:cols>
          <w:pgMar w:left="974" w:top="266" w:right="599" w:bottom="1440" w:gutter="0" w:footer="0" w:header="0"/>
        </w:sectPr>
      </w:pPr>
    </w:p>
    <w:bookmarkStart w:id="400" w:name="page401"/>
    <w:bookmarkEnd w:id="400"/>
    <w:p>
      <w:pPr>
        <w:ind w:left="940" w:right="400" w:hanging="526"/>
        <w:spacing w:after="0" w:line="270" w:lineRule="auto"/>
        <w:tabs>
          <w:tab w:leader="none" w:pos="9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Other rights of any shareholder stipulated in other applicable PRC laws, regulations and the articles of association of the company (as amended from time to time).</w:t>
      </w:r>
    </w:p>
    <w:p>
      <w:pPr>
        <w:spacing w:after="0" w:line="76" w:lineRule="exact"/>
        <w:rPr>
          <w:sz w:val="20"/>
          <w:szCs w:val="20"/>
          <w:color w:val="auto"/>
        </w:rPr>
      </w:pPr>
    </w:p>
    <w:p>
      <w:pPr>
        <w:ind w:left="420" w:hanging="422"/>
        <w:spacing w:after="0" w:line="253" w:lineRule="auto"/>
        <w:tabs>
          <w:tab w:leader="none" w:pos="400" w:val="left"/>
        </w:tabs>
        <w:rPr>
          <w:sz w:val="20"/>
          <w:szCs w:val="20"/>
          <w:color w:val="auto"/>
        </w:rPr>
      </w:pPr>
      <w:r>
        <w:rPr>
          <w:rFonts w:ascii="Times New Roman" w:cs="Times New Roman" w:eastAsia="Times New Roman" w:hAnsi="Times New Roman"/>
          <w:sz w:val="18"/>
          <w:szCs w:val="18"/>
          <w:color w:val="auto"/>
        </w:rPr>
        <w:t>1.2</w:t>
        <w:tab/>
        <w:t>Without limiting generality of the power granted hereunder, Party A shall own the power and authorities hereunder, sign the share transfer contract (to which Party B must be a party) agreed and defined in the Exclusive Option Agreement on behalf of Party B, and perform the Equity Pledge Agreement and the Exclusive Option Agreement which were signed on the same day this Agreement was signed and to which Party B is also a party.</w:t>
      </w:r>
    </w:p>
    <w:p>
      <w:pPr>
        <w:spacing w:after="0" w:line="92" w:lineRule="exact"/>
        <w:rPr>
          <w:sz w:val="20"/>
          <w:szCs w:val="20"/>
          <w:color w:val="auto"/>
        </w:rPr>
      </w:pPr>
    </w:p>
    <w:p>
      <w:pPr>
        <w:ind w:left="420" w:right="380" w:hanging="422"/>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t>1.3</w:t>
        <w:tab/>
        <w:t>Party B as a shareholder of Party C shall not abuse its shareholder rights to the detriment of Party C’s interests. If Party B abuses the rights of shareholders, Party A has the right to exercise the Purchase Right under the Exclusive Option Agreement.</w:t>
      </w:r>
    </w:p>
    <w:p>
      <w:pPr>
        <w:spacing w:after="0" w:line="76" w:lineRule="exact"/>
        <w:rPr>
          <w:sz w:val="20"/>
          <w:szCs w:val="20"/>
          <w:color w:val="auto"/>
        </w:rPr>
      </w:pPr>
    </w:p>
    <w:p>
      <w:pPr>
        <w:ind w:left="420" w:right="140" w:hanging="422"/>
        <w:spacing w:after="0" w:line="253" w:lineRule="auto"/>
        <w:tabs>
          <w:tab w:leader="none" w:pos="400" w:val="left"/>
        </w:tabs>
        <w:rPr>
          <w:sz w:val="20"/>
          <w:szCs w:val="20"/>
          <w:color w:val="auto"/>
        </w:rPr>
      </w:pPr>
      <w:r>
        <w:rPr>
          <w:rFonts w:ascii="Times New Roman" w:cs="Times New Roman" w:eastAsia="Times New Roman" w:hAnsi="Times New Roman"/>
          <w:sz w:val="18"/>
          <w:szCs w:val="18"/>
          <w:color w:val="auto"/>
        </w:rPr>
        <w:t>1.4</w:t>
        <w:tab/>
        <w:t>Party B hereby specially undertakes that in case of Party C’s bankruptcy, liquidation, dissolution or termination, all assets obtained by Party B after such bankruptcy, liquidation, dissolution or termination, including Party C’s Equity Interest, shall be transferred to Party A for free or at the minimum prices to the extent permitted by the current PRC laws, or the current liquidator shall sell all of Party C’s assets including the Equity Interest for the purpose of protecting interests of Party A’s direct or indirect shareholders and/or the creditor’s interests.</w:t>
      </w:r>
    </w:p>
    <w:p>
      <w:pPr>
        <w:spacing w:after="0" w:line="92" w:lineRule="exact"/>
        <w:rPr>
          <w:sz w:val="20"/>
          <w:szCs w:val="20"/>
          <w:color w:val="auto"/>
        </w:rPr>
      </w:pPr>
    </w:p>
    <w:p>
      <w:pPr>
        <w:ind w:left="420" w:hanging="422"/>
        <w:spacing w:after="0" w:line="248" w:lineRule="auto"/>
        <w:tabs>
          <w:tab w:leader="none" w:pos="400" w:val="left"/>
        </w:tabs>
        <w:rPr>
          <w:sz w:val="20"/>
          <w:szCs w:val="20"/>
          <w:color w:val="auto"/>
        </w:rPr>
      </w:pPr>
      <w:r>
        <w:rPr>
          <w:rFonts w:ascii="Times New Roman" w:cs="Times New Roman" w:eastAsia="Times New Roman" w:hAnsi="Times New Roman"/>
          <w:sz w:val="18"/>
          <w:szCs w:val="18"/>
          <w:color w:val="auto"/>
        </w:rPr>
        <w:t>1.5</w:t>
        <w:tab/>
        <w:t>Party B agrees that Party A shall have rights to transfer the proxy rights to a third party at its discretion with respect to the matters under Article 1.1. The trustee and/or Party A shall exercise the proxy rights as if Party B is exercising its shareholder’s rights personally. The proxy rights shall be granted and entrusted on the premise that the trustee is a member of Party A’s Board of Directors, or a Chinese citizen designated by the Board of Directors through negotiation, and that Party B agrees to such authorization and consignment. When Party A notifies Party B in writing of replacing the trustee, Party B shall immediately agree that the other entity or Chinese citizen appointed by Party A may exercise such proxy rights, and sign the Power of Attorney with the content and format as shown in Appendix I of this Agreement. The new power of attorney shall supersede the original one once it is executed. Besides, Party B shall notify related personnel through a notice or other forms of announcement to announce or specify that the original Power of Attorney has been nullified. In addition, Party B shall not revoke the consignment and authorization for the trustee and/or Party A.</w:t>
      </w:r>
    </w:p>
    <w:p>
      <w:pPr>
        <w:spacing w:after="0" w:line="98" w:lineRule="exact"/>
        <w:rPr>
          <w:sz w:val="20"/>
          <w:szCs w:val="20"/>
          <w:color w:val="auto"/>
        </w:rPr>
      </w:pPr>
    </w:p>
    <w:p>
      <w:pPr>
        <w:ind w:left="420" w:right="260" w:hanging="422"/>
        <w:spacing w:after="0" w:line="300" w:lineRule="auto"/>
        <w:tabs>
          <w:tab w:leader="none" w:pos="4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Subject to other terms of this Agreement (including but not limited to Article 12.1 and 12.2), Party B shall confirm and acknowledge all legal consequences resulting from the trustee’s and/or Party A’s exercising of above proxy rights, and undertake corresponding legal responsibilities.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560" w:top="266" w:right="579" w:bottom="1440" w:gutter="0" w:footer="0" w:header="0"/>
        </w:sectPr>
      </w:pPr>
    </w:p>
    <w:bookmarkStart w:id="401" w:name="page402"/>
    <w:bookmarkEnd w:id="401"/>
    <w:p>
      <w:pPr>
        <w:ind w:left="430" w:right="24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1.7</w:t>
        <w:tab/>
        <w:t>All of the trustee’s and/or Party A’s behaviors related to Party C’s Equity Interest and/or exercising of the proxy rights shall be deemed as Party B’s own behaviors. And all documents (but not including Transaction Documents (as define in the Equity Pledge Agreement) or any revision thereof) signed by the trustee and/or Party A shall be assumed to have been signed by Party B. The trustee and/or Party A may act in their discretion without Party B’s prior consent. Party B hereby specially acknowledge and approves the trustee’s and/or Party A’s such behaviors and/or documents.</w:t>
      </w:r>
    </w:p>
    <w:p>
      <w:pPr>
        <w:spacing w:after="0" w:line="94" w:lineRule="exact"/>
        <w:rPr>
          <w:sz w:val="20"/>
          <w:szCs w:val="20"/>
          <w:color w:val="auto"/>
        </w:rPr>
      </w:pPr>
    </w:p>
    <w:p>
      <w:pPr>
        <w:ind w:left="430" w:right="18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1.8</w:t>
        <w:tab/>
        <w:t>Within the term of this Agreement, Party B agrees and confirms, without the prior written consent of Party A, shall not to personally perform all its shareholder rights related to Party C’s Equity Interest which have been granted to Party A and/or the trustee.</w:t>
      </w:r>
    </w:p>
    <w:p>
      <w:pPr>
        <w:spacing w:after="0" w:line="76" w:lineRule="exact"/>
        <w:rPr>
          <w:sz w:val="20"/>
          <w:szCs w:val="20"/>
          <w:color w:val="auto"/>
        </w:rPr>
      </w:pPr>
    </w:p>
    <w:p>
      <w:pPr>
        <w:ind w:left="43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1.9</w:t>
        <w:tab/>
        <w:t>In case that Party B is subject to death, incapacity, marriage, divorce, bankruptcy, liquidation, dissolution, or other circumstances which might impact its holding of Party C’s Equity Interest, Party B’s successor (including spouse, children, parents, siblings, grandparents) or current shareholder of Party C’s Equity Interest or the assignee shall be deemed as a party to this Agreement and inherit/bear all of the Party B’s rights and obligations under this Agreement.</w:t>
      </w:r>
    </w:p>
    <w:p>
      <w:pPr>
        <w:spacing w:after="0" w:line="328" w:lineRule="exact"/>
        <w:rPr>
          <w:sz w:val="20"/>
          <w:szCs w:val="20"/>
          <w:color w:val="auto"/>
        </w:rPr>
      </w:pPr>
    </w:p>
    <w:p>
      <w:pPr>
        <w:ind w:left="430" w:hanging="430"/>
        <w:spacing w:after="0"/>
        <w:tabs>
          <w:tab w:leader="none" w:pos="43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know</w:t>
      </w:r>
    </w:p>
    <w:p>
      <w:pPr>
        <w:spacing w:after="0" w:line="126" w:lineRule="exact"/>
        <w:rPr>
          <w:sz w:val="20"/>
          <w:szCs w:val="20"/>
          <w:color w:val="auto"/>
        </w:rPr>
      </w:pPr>
    </w:p>
    <w:p>
      <w:pPr>
        <w:ind w:left="430" w:right="4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2.1</w:t>
        <w:tab/>
        <w:t>To exercise the proxy rights hereunder, Party A and/or the trustee shall have rights to obtain Party C’s relevant information (including Party C’s operations, businesses, customers, financial affairs and employees) and review relevant materials of Party C, while Party C shall be cooperative to help them acquire such information.</w:t>
      </w:r>
    </w:p>
    <w:p>
      <w:pPr>
        <w:spacing w:after="0" w:line="322" w:lineRule="exact"/>
        <w:rPr>
          <w:sz w:val="20"/>
          <w:szCs w:val="20"/>
          <w:color w:val="auto"/>
        </w:rPr>
      </w:pPr>
    </w:p>
    <w:p>
      <w:pPr>
        <w:ind w:left="430" w:hanging="430"/>
        <w:spacing w:after="0"/>
        <w:tabs>
          <w:tab w:leader="none" w:pos="43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the Proxy Rights</w:t>
      </w:r>
    </w:p>
    <w:p>
      <w:pPr>
        <w:spacing w:after="0" w:line="126" w:lineRule="exact"/>
        <w:rPr>
          <w:sz w:val="20"/>
          <w:szCs w:val="20"/>
          <w:color w:val="auto"/>
        </w:rPr>
      </w:pPr>
    </w:p>
    <w:p>
      <w:pPr>
        <w:ind w:left="430" w:right="8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t>3.1</w:t>
        <w:tab/>
        <w:t>Party B shall fully assist the trustee and/or Party A in exercising the proxy rights, including promptly signing related legal documents when necessary (e.g. for the purpose of meeting requirements of documents which must be submitted for examination, approval, registration and archiving by government agencies, laws, rules, regulations, normative documents, corporate articles of association, joint venture contract, commands or orders of other government agencies), including but not limited to the Power of Attorney which specifies the scope of authorization (if stipulated by relevant laws, rules, regulations, articles of association, joint venture contract, or other normative documents).</w:t>
      </w:r>
    </w:p>
    <w:p>
      <w:pPr>
        <w:spacing w:after="0" w:line="94" w:lineRule="exact"/>
        <w:rPr>
          <w:sz w:val="20"/>
          <w:szCs w:val="20"/>
          <w:color w:val="auto"/>
        </w:rPr>
      </w:pPr>
    </w:p>
    <w:p>
      <w:pPr>
        <w:ind w:left="430" w:right="22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3.2</w:t>
        <w:tab/>
        <w:t>Party B irrevocably agrees that when Party A makes a written request to exercise the proxy rights, Party B shall take actions to satisfy Party A’s requests to exercise such rights in accordance with Party A’s written request within three (3) days upon receiving the request.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70"/>
          </w:cols>
          <w:pgMar w:left="550" w:top="266" w:right="579" w:bottom="1440" w:gutter="0" w:footer="0" w:header="0"/>
        </w:sectPr>
      </w:pPr>
    </w:p>
    <w:bookmarkStart w:id="402" w:name="page403"/>
    <w:bookmarkEnd w:id="402"/>
    <w:p>
      <w:pPr>
        <w:ind w:left="430" w:right="2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3.3</w:t>
        <w:tab/>
        <w:t>Should the proxy rights hereunder cannot be authorized or exercised for any reason (other than Party B’s or Party C’s breach of this Agreement) at any time within the term of this Agreement, all Parties shall immediately seek an alternative plan the content of which is the consistent to this Agreement. If necessary, a supplemental agreement shall be signed to modify or revise terms of this Agreement, in order to continue realizing the purposes of this Agreement.</w:t>
      </w:r>
    </w:p>
    <w:p>
      <w:pPr>
        <w:spacing w:after="0" w:line="328" w:lineRule="exact"/>
        <w:rPr>
          <w:sz w:val="20"/>
          <w:szCs w:val="20"/>
          <w:color w:val="auto"/>
        </w:rPr>
      </w:pPr>
    </w:p>
    <w:p>
      <w:pPr>
        <w:ind w:left="430" w:hanging="430"/>
        <w:spacing w:after="0"/>
        <w:tabs>
          <w:tab w:leader="none" w:pos="43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Disclaimer and Indemnification</w:t>
      </w:r>
    </w:p>
    <w:p>
      <w:pPr>
        <w:spacing w:after="0" w:line="126" w:lineRule="exact"/>
        <w:rPr>
          <w:sz w:val="20"/>
          <w:szCs w:val="20"/>
          <w:color w:val="auto"/>
        </w:rPr>
      </w:pPr>
    </w:p>
    <w:p>
      <w:pPr>
        <w:ind w:left="430" w:right="8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4.1</w:t>
        <w:tab/>
        <w:t>The Parties of this Agreement confirm that in any case, Party A shall not be required to undertake any responsibility, make any economic or other compensations to any third party for its or its designated trustee’s exercise of the proxy rights hereunder.</w:t>
      </w:r>
    </w:p>
    <w:p>
      <w:pPr>
        <w:spacing w:after="0" w:line="76" w:lineRule="exact"/>
        <w:rPr>
          <w:sz w:val="20"/>
          <w:szCs w:val="20"/>
          <w:color w:val="auto"/>
        </w:rPr>
      </w:pPr>
    </w:p>
    <w:p>
      <w:pPr>
        <w:ind w:left="430" w:right="14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t>4.2</w:t>
        <w:tab/>
        <w:t>Subject to other terms of this Agreement (including but not limited to Article 12.1 and Article 12.2), Party B (but not including Investor Party B) and Party C agree to indemnify Party A from all actual or potential losses and damages for its or its designated trustee’s exercise of the proxy rights, including but not limited to the losses arising from a third party’s lawsuits, recovery, arbitrations or claims or government authorities’ administrative surveys or punishments. However, Party A shall not be indemnified from the losses resulting from Party A’s and/or the trustee’s deliberate or gross negligence.</w:t>
      </w:r>
    </w:p>
    <w:p>
      <w:pPr>
        <w:spacing w:after="0" w:line="330" w:lineRule="exact"/>
        <w:rPr>
          <w:sz w:val="20"/>
          <w:szCs w:val="20"/>
          <w:color w:val="auto"/>
        </w:rPr>
      </w:pPr>
    </w:p>
    <w:p>
      <w:pPr>
        <w:ind w:left="430" w:hanging="430"/>
        <w:spacing w:after="0"/>
        <w:tabs>
          <w:tab w:leader="none" w:pos="43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Party B hereby severally and not jointly represents and warrants as follows:</w:t>
      </w:r>
    </w:p>
    <w:p>
      <w:pPr>
        <w:spacing w:after="0" w:line="124" w:lineRule="exact"/>
        <w:rPr>
          <w:sz w:val="20"/>
          <w:szCs w:val="20"/>
          <w:color w:val="auto"/>
        </w:rPr>
      </w:pPr>
    </w:p>
    <w:p>
      <w:pPr>
        <w:ind w:left="950" w:right="30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5.1.1</w:t>
        <w:tab/>
        <w:t>Party B has completed and independent legal status and capacity. Besides, Party B has been legitimately authorized to sign, deliver and perform this Agreement as an independent subject of litigations.</w:t>
      </w:r>
    </w:p>
    <w:p>
      <w:pPr>
        <w:spacing w:after="0" w:line="76" w:lineRule="exact"/>
        <w:rPr>
          <w:sz w:val="20"/>
          <w:szCs w:val="20"/>
          <w:color w:val="auto"/>
        </w:rPr>
      </w:pPr>
    </w:p>
    <w:p>
      <w:pPr>
        <w:ind w:left="950" w:hanging="528"/>
        <w:spacing w:after="0" w:line="253" w:lineRule="auto"/>
        <w:tabs>
          <w:tab w:leader="none" w:pos="929" w:val="left"/>
        </w:tabs>
        <w:rPr>
          <w:sz w:val="20"/>
          <w:szCs w:val="20"/>
          <w:color w:val="auto"/>
        </w:rPr>
      </w:pPr>
      <w:r>
        <w:rPr>
          <w:rFonts w:ascii="Times New Roman" w:cs="Times New Roman" w:eastAsia="Times New Roman" w:hAnsi="Times New Roman"/>
          <w:sz w:val="18"/>
          <w:szCs w:val="18"/>
          <w:color w:val="auto"/>
        </w:rPr>
        <w:t>5.1.2</w:t>
        <w:tab/>
        <w:t>Party B possesses the full power and authorities to sign and deliver this Agreement and all other documents related to transactions hereunder. Party B also possesses the full power and authorities to complete such transactions. This Agreement shall be legitimately and appropriately signed and delivered. It shall constitute legitimate and binding obligations, which shall be compulsorily fulfilled according to this Agreement.</w:t>
      </w:r>
    </w:p>
    <w:p>
      <w:pPr>
        <w:spacing w:after="0" w:line="11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70"/>
          </w:cols>
          <w:pgMar w:left="550" w:top="266" w:right="579" w:bottom="1440" w:gutter="0" w:footer="0" w:header="0"/>
        </w:sectPr>
      </w:pPr>
    </w:p>
    <w:bookmarkStart w:id="403" w:name="page404"/>
    <w:bookmarkEnd w:id="403"/>
    <w:p>
      <w:pPr>
        <w:ind w:left="940" w:right="40" w:hanging="528"/>
        <w:spacing w:after="0" w:line="251" w:lineRule="auto"/>
        <w:tabs>
          <w:tab w:leader="none" w:pos="9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5.1.3</w:t>
        <w:tab/>
        <w:t>Party B is Party C’s legitimate shareholder registered with an administration for industry and commerce and recorded on the Register of Shareholders when this Agreement takes effects. The proxy rights shall not include any third-party rights except for those specified under this Agreement, the Equity Pledge Agreement, the Exclusive Option Agreement, the Loan Agreement and Transaction Documents (as defined in the Equity Pledge Agreement). According to this Agreement, Party A and/or the trustee may completely and fully exercise the proxy rights based on Party C’s current articles of associations and joint venture contract.</w:t>
      </w:r>
    </w:p>
    <w:p>
      <w:pPr>
        <w:spacing w:after="0" w:line="94" w:lineRule="exact"/>
        <w:rPr>
          <w:sz w:val="20"/>
          <w:szCs w:val="20"/>
          <w:color w:val="auto"/>
        </w:rPr>
      </w:pPr>
    </w:p>
    <w:p>
      <w:pPr>
        <w:ind w:left="940" w:right="4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5.1.4</w:t>
        <w:tab/>
        <w:t>Party B’s signing, delivery or performance of this Agreement and completion of the transactions hereunder will not violate the PRC laws, or any agreements, contracts or other arrangements that Party B enters into with a third party.</w:t>
      </w:r>
    </w:p>
    <w:p>
      <w:pPr>
        <w:spacing w:after="0" w:line="31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Party A and Party C hereby represents and warrants as follows:</w:t>
      </w:r>
    </w:p>
    <w:p>
      <w:pPr>
        <w:spacing w:after="0" w:line="124" w:lineRule="exact"/>
        <w:rPr>
          <w:sz w:val="20"/>
          <w:szCs w:val="20"/>
          <w:color w:val="auto"/>
        </w:rPr>
      </w:pPr>
    </w:p>
    <w:p>
      <w:pPr>
        <w:ind w:left="940" w:right="220" w:hanging="528"/>
        <w:spacing w:after="0" w:line="258" w:lineRule="auto"/>
        <w:tabs>
          <w:tab w:leader="none" w:pos="920" w:val="left"/>
        </w:tabs>
        <w:rPr>
          <w:sz w:val="20"/>
          <w:szCs w:val="20"/>
          <w:color w:val="auto"/>
        </w:rPr>
      </w:pPr>
      <w:r>
        <w:rPr>
          <w:rFonts w:ascii="Times New Roman" w:cs="Times New Roman" w:eastAsia="Times New Roman" w:hAnsi="Times New Roman"/>
          <w:sz w:val="18"/>
          <w:szCs w:val="18"/>
          <w:color w:val="auto"/>
        </w:rPr>
        <w:t>5.2.1</w:t>
        <w:tab/>
        <w:t>They are limited liability companies legitimately incorporated and validly existing under laws of their registered place. They have complete and independent legal status and capacity for signing, delivering and performing this Agreement as an independent subject of litigations.</w:t>
      </w:r>
    </w:p>
    <w:p>
      <w:pPr>
        <w:spacing w:after="0" w:line="86" w:lineRule="exact"/>
        <w:rPr>
          <w:sz w:val="20"/>
          <w:szCs w:val="20"/>
          <w:color w:val="auto"/>
        </w:rPr>
      </w:pPr>
    </w:p>
    <w:p>
      <w:pPr>
        <w:ind w:left="940" w:right="48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5.2.2</w:t>
        <w:tab/>
        <w:t>They possess the full internal corporate power and authorities to sign and deliver this Agreement and all other documents related to transactions hereunder. They also possess the full power and authorities to complete such transactions.</w:t>
      </w:r>
    </w:p>
    <w:p>
      <w:pPr>
        <w:spacing w:after="0" w:line="31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Party C hereby further represents and warrants as follows:</w:t>
      </w:r>
    </w:p>
    <w:p>
      <w:pPr>
        <w:spacing w:after="0" w:line="124" w:lineRule="exact"/>
        <w:rPr>
          <w:sz w:val="20"/>
          <w:szCs w:val="20"/>
          <w:color w:val="auto"/>
        </w:rPr>
      </w:pPr>
    </w:p>
    <w:p>
      <w:pPr>
        <w:ind w:left="940" w:hanging="528"/>
        <w:spacing w:after="0" w:line="253" w:lineRule="auto"/>
        <w:tabs>
          <w:tab w:leader="none" w:pos="920" w:val="left"/>
        </w:tabs>
        <w:rPr>
          <w:sz w:val="20"/>
          <w:szCs w:val="20"/>
          <w:color w:val="auto"/>
        </w:rPr>
      </w:pPr>
      <w:r>
        <w:rPr>
          <w:rFonts w:ascii="Times New Roman" w:cs="Times New Roman" w:eastAsia="Times New Roman" w:hAnsi="Times New Roman"/>
          <w:sz w:val="18"/>
          <w:szCs w:val="18"/>
          <w:color w:val="auto"/>
        </w:rPr>
        <w:t>5.3.1</w:t>
        <w:tab/>
        <w:t>Party B is Party C’s lawful shareholder when this Agreement takes effects. The proxy rights shall not include any third-party rights except for those specified under this Agreement, the Equity Pledge Agreement, the Exclusive Option Agreement, the Loan Agreement and Transaction Documents (as defined in the Equity Pledge Agreement). According to this Agreement, Party A and/or the trustee may completely and fully exercise the proxy rights based on Party C’s current articles of association and joint venture contract.</w:t>
      </w:r>
    </w:p>
    <w:p>
      <w:pPr>
        <w:spacing w:after="0" w:line="92" w:lineRule="exact"/>
        <w:rPr>
          <w:sz w:val="20"/>
          <w:szCs w:val="20"/>
          <w:color w:val="auto"/>
        </w:rPr>
      </w:pPr>
    </w:p>
    <w:p>
      <w:pPr>
        <w:ind w:left="940" w:right="60" w:hanging="528"/>
        <w:spacing w:after="0" w:line="270" w:lineRule="auto"/>
        <w:tabs>
          <w:tab w:leader="none" w:pos="920" w:val="left"/>
        </w:tabs>
        <w:rPr>
          <w:sz w:val="20"/>
          <w:szCs w:val="20"/>
          <w:color w:val="auto"/>
        </w:rPr>
      </w:pPr>
      <w:r>
        <w:rPr>
          <w:rFonts w:ascii="Times New Roman" w:cs="Times New Roman" w:eastAsia="Times New Roman" w:hAnsi="Times New Roman"/>
          <w:sz w:val="18"/>
          <w:szCs w:val="18"/>
          <w:color w:val="auto"/>
        </w:rPr>
        <w:t>5.3.2</w:t>
        <w:tab/>
        <w:t>Party B’s signing, delivery or performance of this Agreement and conclusion of the transactions hereunder will not violate the PRC laws, or any agreements, contracts or other arrangements that Party B enters into with a third party and is bound as one party.</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80"/>
          </w:cols>
          <w:pgMar w:left="560" w:top="266" w:right="659" w:bottom="1440" w:gutter="0" w:footer="0" w:header="0"/>
        </w:sectPr>
      </w:pPr>
    </w:p>
    <w:bookmarkStart w:id="404" w:name="page405"/>
    <w:bookmarkEnd w:id="404"/>
    <w:p>
      <w:pPr>
        <w:ind w:left="430" w:hanging="430"/>
        <w:spacing w:after="0"/>
        <w:tabs>
          <w:tab w:leader="none" w:pos="43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Transfer</w:t>
      </w:r>
    </w:p>
    <w:p>
      <w:pPr>
        <w:spacing w:after="0" w:line="112" w:lineRule="exact"/>
        <w:rPr>
          <w:rFonts w:ascii="Times New Roman" w:cs="Times New Roman" w:eastAsia="Times New Roman" w:hAnsi="Times New Roman"/>
          <w:sz w:val="18"/>
          <w:szCs w:val="18"/>
          <w:b w:val="1"/>
          <w:bCs w:val="1"/>
          <w:color w:val="auto"/>
        </w:rPr>
      </w:pPr>
    </w:p>
    <w:p>
      <w:pPr>
        <w:ind w:left="430" w:right="1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A shall be authorized to sublicense or transfer this Agreement and/or its rights related to this Agreement at its discretion without notifying Party B or Party C in advance, or Party B’s or Party C’s prior consent.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the Agreement</w:t>
      </w:r>
    </w:p>
    <w:p>
      <w:pPr>
        <w:spacing w:after="0" w:line="126" w:lineRule="exact"/>
        <w:rPr>
          <w:sz w:val="20"/>
          <w:szCs w:val="20"/>
          <w:color w:val="auto"/>
        </w:rPr>
      </w:pPr>
    </w:p>
    <w:p>
      <w:pPr>
        <w:jc w:val="center"/>
        <w:ind w:right="170"/>
        <w:spacing w:after="0"/>
        <w:tabs>
          <w:tab w:leader="none" w:pos="1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On the premise that Party B or Party B’s successor or current assignee of Party C’s Equity Interest is Party C’s shareholder, this Agreement shall</w:t>
      </w:r>
    </w:p>
    <w:p>
      <w:pPr>
        <w:spacing w:after="0" w:line="22" w:lineRule="exact"/>
        <w:rPr>
          <w:sz w:val="20"/>
          <w:szCs w:val="20"/>
          <w:color w:val="auto"/>
        </w:rPr>
      </w:pPr>
    </w:p>
    <w:p>
      <w:pPr>
        <w:ind w:left="430"/>
        <w:spacing w:after="0" w:line="246" w:lineRule="auto"/>
        <w:rPr>
          <w:sz w:val="20"/>
          <w:szCs w:val="20"/>
          <w:color w:val="auto"/>
        </w:rPr>
      </w:pPr>
      <w:r>
        <w:rPr>
          <w:rFonts w:ascii="Times New Roman" w:cs="Times New Roman" w:eastAsia="Times New Roman" w:hAnsi="Times New Roman"/>
          <w:sz w:val="18"/>
          <w:szCs w:val="18"/>
          <w:color w:val="auto"/>
        </w:rPr>
        <w:t>be irrevocable and remain valid from the date of signing this Agreement unless otherwise instructed by Party A, or Party A terminates this Agreement according to Article 7.2 or Article 8 before it expires. Once Party A informs Party B in writing of terminating this Agreement in whole or in part or replacing the trustee, Party B shall immediately revoke its consignment and authorization for Party A and the trustee. Besides, Party B shall immediately sign a Power of Attorney in the format as shown in Appendix I of this Agreement to authorize and entrust other personnel or subjects nominated by Party A with the same terms of this Agreement according to Party A’s written instructions.</w:t>
      </w:r>
    </w:p>
    <w:p>
      <w:pPr>
        <w:spacing w:after="0" w:line="98" w:lineRule="exact"/>
        <w:rPr>
          <w:sz w:val="20"/>
          <w:szCs w:val="20"/>
          <w:color w:val="auto"/>
        </w:rPr>
      </w:pPr>
    </w:p>
    <w:p>
      <w:pPr>
        <w:ind w:left="430" w:right="4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7.2</w:t>
        <w:tab/>
        <w:t>This Agreement shall be automatically terminated: (a) on the date on which Party A or the Designee is formally registered as Party C’s sole shareholder once the PRC laws stipulate that Party A or the Designee may directly hold Party C’s Equity Interest and lawfully engage in Party C’s businesses; or (b) if Party A or the Designee purchases all assets of Party C in accordance with the provisions of the Exclusive Option Agreement, and legally engage in Party C’s business by using Party C’s assets.</w:t>
      </w:r>
    </w:p>
    <w:p>
      <w:pPr>
        <w:spacing w:after="0" w:line="328" w:lineRule="exact"/>
        <w:rPr>
          <w:sz w:val="20"/>
          <w:szCs w:val="20"/>
          <w:color w:val="auto"/>
        </w:rPr>
      </w:pPr>
    </w:p>
    <w:p>
      <w:pPr>
        <w:ind w:left="430" w:hanging="430"/>
        <w:spacing w:after="0"/>
        <w:tabs>
          <w:tab w:leader="none" w:pos="43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for Breach of Contract</w:t>
      </w:r>
    </w:p>
    <w:p>
      <w:pPr>
        <w:spacing w:after="0" w:line="126" w:lineRule="exact"/>
        <w:rPr>
          <w:sz w:val="20"/>
          <w:szCs w:val="20"/>
          <w:color w:val="auto"/>
        </w:rPr>
      </w:pPr>
    </w:p>
    <w:p>
      <w:pPr>
        <w:jc w:val="both"/>
        <w:ind w:left="430" w:right="20" w:hanging="422"/>
        <w:spacing w:after="0" w:line="267" w:lineRule="auto"/>
        <w:tabs>
          <w:tab w:leader="none" w:pos="409"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Subject to other terms of this Agreement (including but not limited to Article 12.1 and 12.2), All Parties of this Agreement agree and confirm that if any party (hereinafter referred to as the “</w:t>
      </w:r>
      <w:r>
        <w:rPr>
          <w:rFonts w:ascii="Times New Roman" w:cs="Times New Roman" w:eastAsia="Times New Roman" w:hAnsi="Times New Roman"/>
          <w:sz w:val="17"/>
          <w:szCs w:val="17"/>
          <w:b w:val="1"/>
          <w:bCs w:val="1"/>
          <w:color w:val="auto"/>
        </w:rPr>
        <w:t>Defaulting Party</w:t>
      </w:r>
      <w:r>
        <w:rPr>
          <w:rFonts w:ascii="Times New Roman" w:cs="Times New Roman" w:eastAsia="Times New Roman" w:hAnsi="Times New Roman"/>
          <w:sz w:val="17"/>
          <w:szCs w:val="17"/>
          <w:color w:val="auto"/>
        </w:rPr>
        <w:t>”) violates any clause hereunder, or fails to perform or delays its performance of any obligation hereunder, such party shall be deemed to have constituted a breach of this Agreement (hereinafter referred to as “</w:t>
      </w:r>
      <w:r>
        <w:rPr>
          <w:rFonts w:ascii="Times New Roman" w:cs="Times New Roman" w:eastAsia="Times New Roman" w:hAnsi="Times New Roman"/>
          <w:sz w:val="17"/>
          <w:szCs w:val="17"/>
          <w:b w:val="1"/>
          <w:bCs w:val="1"/>
          <w:color w:val="auto"/>
        </w:rPr>
        <w:t>breach</w:t>
      </w:r>
      <w:r>
        <w:rPr>
          <w:rFonts w:ascii="Times New Roman" w:cs="Times New Roman" w:eastAsia="Times New Roman" w:hAnsi="Times New Roman"/>
          <w:sz w:val="17"/>
          <w:szCs w:val="17"/>
          <w:color w:val="auto"/>
        </w:rPr>
        <w:t>”). In this case, any of other non- Breaching Parties (hereinafter referred to as the “</w:t>
      </w:r>
      <w:r>
        <w:rPr>
          <w:rFonts w:ascii="Times New Roman" w:cs="Times New Roman" w:eastAsia="Times New Roman" w:hAnsi="Times New Roman"/>
          <w:sz w:val="17"/>
          <w:szCs w:val="17"/>
          <w:b w:val="1"/>
          <w:bCs w:val="1"/>
          <w:color w:val="auto"/>
        </w:rPr>
        <w:t>Non-Defaulting Parties</w:t>
      </w:r>
      <w:r>
        <w:rPr>
          <w:rFonts w:ascii="Times New Roman" w:cs="Times New Roman" w:eastAsia="Times New Roman" w:hAnsi="Times New Roman"/>
          <w:sz w:val="17"/>
          <w:szCs w:val="17"/>
          <w:color w:val="auto"/>
        </w:rPr>
        <w:t>”) shall have rights to ask the Defaulting Party to take corrective or remedial actions within a reasonable deadline. If the Defaulting Party fails to take corrective or remedial actions within a reasonable term or within ten (10) days after the other Party notifies the Defaulting Party in writing and makes the request for correction:</w:t>
      </w:r>
    </w:p>
    <w:p>
      <w:pPr>
        <w:spacing w:after="0" w:line="83" w:lineRule="exact"/>
        <w:rPr>
          <w:sz w:val="20"/>
          <w:szCs w:val="20"/>
          <w:color w:val="auto"/>
        </w:rPr>
      </w:pPr>
    </w:p>
    <w:p>
      <w:pPr>
        <w:ind w:left="950" w:right="34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8.1.1</w:t>
        <w:tab/>
        <w:t>The Non-Defaulting Parties shall have rights to unilaterally and immediately terminate this Agreement and ask the Defaulting Party to compensate for damages provided that Party B or Party C is the Defaulting Party;</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70"/>
          </w:cols>
          <w:pgMar w:left="550" w:top="264" w:right="579" w:bottom="1440" w:gutter="0" w:footer="0" w:header="0"/>
        </w:sectPr>
      </w:pPr>
    </w:p>
    <w:bookmarkStart w:id="405" w:name="page406"/>
    <w:bookmarkEnd w:id="405"/>
    <w:p>
      <w:pPr>
        <w:ind w:left="950" w:right="62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8.1.2</w:t>
        <w:tab/>
        <w:t>If Party A is the Defaulting Party, the Non-Defaulting Parties shall indemnify Party A from the compensation for damages. Unless otherwise specified by laws, this Agreement shall not be terminated or rescinded in any other cases.</w:t>
      </w:r>
    </w:p>
    <w:p>
      <w:pPr>
        <w:spacing w:after="0" w:line="7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Notwithstanding other provisions of this Agreement, Article 8 shall survive the termination of this Agreement.</w:t>
      </w:r>
    </w:p>
    <w:p>
      <w:pPr>
        <w:spacing w:after="0" w:line="359" w:lineRule="exact"/>
        <w:rPr>
          <w:sz w:val="20"/>
          <w:szCs w:val="20"/>
          <w:color w:val="auto"/>
        </w:rPr>
      </w:pPr>
    </w:p>
    <w:p>
      <w:pPr>
        <w:ind w:left="430" w:hanging="430"/>
        <w:spacing w:after="0"/>
        <w:tabs>
          <w:tab w:leader="none" w:pos="43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Parties admit that all oral or written materials exchanged with respect to this Agreement are confidential. All Parties are required to keep such materials confidential. Without the prior written consent of all other Parties, no party is allowed to disclose any related materials to a third party unless in following cases: (a) Such materials have been known to the public (but not disclosed by the party receiving such materials); (b) The materials are required to be disclosed by applicable laws or rules of any securities exchange; or (c) Any party of this Agreement discloses the materials to its legal adviser or financial adviser regarding the transactions specified hereunder, while such legal adviser or financial adviser is also bound by the same confidentiality obligations as those under this article; or(d) Any party that is a limited partnership(or a direct or indirect affiliate or subsidiary of a limited partnership) discloses the above confidential information to the general partner, manager and existing or potential limited partners of the limited partnership. The disclosure of any confidential information by staff or organizations hired by any party of this agreement shall be deemed as such party’s disclosure of such confidential materials, and such party shall undertake legal responsibilities for violating this Agreement. This article shall survive the termination of this Agreement regardless of the reason why this Agreement is terminated.</w:t>
      </w:r>
    </w:p>
    <w:p>
      <w:pPr>
        <w:spacing w:after="0" w:line="31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Laws and Dispute Resolution</w:t>
      </w:r>
    </w:p>
    <w:p>
      <w:pPr>
        <w:spacing w:after="0" w:line="126" w:lineRule="exact"/>
        <w:rPr>
          <w:sz w:val="20"/>
          <w:szCs w:val="20"/>
          <w:color w:val="auto"/>
        </w:rPr>
      </w:pPr>
    </w:p>
    <w:p>
      <w:pPr>
        <w:ind w:left="430" w:right="260" w:hanging="422"/>
        <w:spacing w:after="0" w:line="270" w:lineRule="auto"/>
        <w:rPr>
          <w:sz w:val="20"/>
          <w:szCs w:val="20"/>
          <w:color w:val="auto"/>
        </w:rPr>
      </w:pPr>
      <w:r>
        <w:rPr>
          <w:rFonts w:ascii="Times New Roman" w:cs="Times New Roman" w:eastAsia="Times New Roman" w:hAnsi="Times New Roman"/>
          <w:sz w:val="18"/>
          <w:szCs w:val="18"/>
          <w:color w:val="auto"/>
        </w:rPr>
        <w:t>10.1 The signing, effectiveness, interpretation, performance, modification and termination of this Agreement as well as dispute resolution hereunder shall be governed by the PRC laws.</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70"/>
          </w:cols>
          <w:pgMar w:left="550" w:top="266" w:right="579" w:bottom="1440" w:gutter="0" w:footer="0" w:header="0"/>
        </w:sectPr>
      </w:pPr>
    </w:p>
    <w:bookmarkStart w:id="406" w:name="page407"/>
    <w:bookmarkEnd w:id="406"/>
    <w:p>
      <w:pPr>
        <w:ind w:left="430" w:right="20" w:hanging="422"/>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10.2 In case that any dispute occurs in interpreting and performing this Agreement, the Parties of this Agreement shall firstly try to resolve it through friendly negotiation. If the Parties fail to reach a consensus on such dispute resolution through negotiation within thirty (30) days as required by any party, any party may submit such dispute to the Beijing Arbitration Commission, which will resolve the dispute through arbitration according to current effective arbitration rules. The arbitration shall be performed in Beijing in Chinese. The arbitration awards shall be final and binding on all Parties. After arbitration awards take effect, any party shall be authorized to apply to a competent court for enforcing arbitration awards. The arbitration tribunal may decide upon compensation with respect to Party C’s rights and interests in the Equity Interest, assets or property, or compensate Party A for the losses resulting from other Parties’ breach of this Agreement, adjudicate compulsory remedies or order Party C to go bankrupt regarding related businesses or compulsory asset transfer. If necessary, arbitration organizations shall have rights to firstly ask the Defaulting Party to immediately stop its defaults before giving the final awards on disputes of all Parties concerned, or prohibit the Defaulting Party from conducting acts which might aggravate Party A’s losses. Courts of Hong Kong, Cayman Islands or other competent courts (including courts of the place where Party C lives, or courts of the place where Party C’s or the Party A’s main assets are) shall have rights to grant or execute awards of an arbitration tribunal. They shall have rights to adjudicate or enforce temporary relief with respect to Party C’s rights and interests in the Equity Interest or property. They shall also have rights to offer temporary relief to the party making a request for arbitration by giving awards or judgments before the tribunal court forms. For instance, the Defaulting Party may be adjudicated or arbitrated to immediately suspend their breaches or forbidden to conduct any act which might further aggravate the Party A’s losses.</w:t>
      </w:r>
    </w:p>
    <w:p>
      <w:pPr>
        <w:spacing w:after="0" w:line="91" w:lineRule="exact"/>
        <w:rPr>
          <w:sz w:val="20"/>
          <w:szCs w:val="20"/>
          <w:color w:val="auto"/>
        </w:rPr>
      </w:pPr>
    </w:p>
    <w:p>
      <w:pPr>
        <w:ind w:left="430" w:right="420" w:hanging="422"/>
        <w:spacing w:after="0" w:line="270" w:lineRule="auto"/>
        <w:rPr>
          <w:sz w:val="20"/>
          <w:szCs w:val="20"/>
          <w:color w:val="auto"/>
        </w:rPr>
      </w:pPr>
      <w:r>
        <w:rPr>
          <w:rFonts w:ascii="Times New Roman" w:cs="Times New Roman" w:eastAsia="Times New Roman" w:hAnsi="Times New Roman"/>
          <w:sz w:val="18"/>
          <w:szCs w:val="18"/>
          <w:color w:val="auto"/>
        </w:rPr>
        <w:t>10.3 When any dispute occurs in interpreting or performing this Agreement, or any dispute is under arbitration, all Parties of this Agreement shall continue exercising their rights and performing their respective obligations hereunder except for disputed matters.</w:t>
      </w:r>
    </w:p>
    <w:p>
      <w:pPr>
        <w:spacing w:after="0" w:line="76" w:lineRule="exact"/>
        <w:rPr>
          <w:sz w:val="20"/>
          <w:szCs w:val="20"/>
          <w:color w:val="auto"/>
        </w:rPr>
      </w:pPr>
    </w:p>
    <w:p>
      <w:pPr>
        <w:ind w:left="430" w:hanging="422"/>
        <w:spacing w:after="0" w:line="248" w:lineRule="auto"/>
        <w:rPr>
          <w:sz w:val="20"/>
          <w:szCs w:val="20"/>
          <w:color w:val="auto"/>
        </w:rPr>
      </w:pPr>
      <w:r>
        <w:rPr>
          <w:rFonts w:ascii="Times New Roman" w:cs="Times New Roman" w:eastAsia="Times New Roman" w:hAnsi="Times New Roman"/>
          <w:sz w:val="18"/>
          <w:szCs w:val="18"/>
          <w:color w:val="auto"/>
        </w:rPr>
        <w:t>10.4 If any law, rule or regulation of the PRC are promulgated or revised after the date of signing this Agreement, or the interpretation or applicability of such laws, rules or regulations changes, the following provisions shall apply: in the case of the PRC laws permitting (a) If the revised laws or newly promulgated rules are more beneficial for any party than pertinent laws, rules or regulations which take effects after signing this Agreement without imposing material adverse impacts upon other Parties, the Parties of this Agreement shall promptly apply for gaining benefits from such modifications or new rules and try their best to have the application approved; or (b) The original clauses of this agreement shall further prevail if such revised laws or newly enacted rules directly or indirectly impose material adverse impacts upon any party’s economic benefits hereunder. The Parties shall try to be exempt from obeying these revised laws or new rules by all lawful means. If the adverse impacts on any party’s economic benefits can’t be alleviated according to this Agreement, all Parties shall promptly negotiate with each other and make all necessary revisions to this Agreement after the affected party notifies all other Parties, in order to perform all such requisite revisions and protect the affected party’s economic benefits.</w:t>
      </w:r>
    </w:p>
    <w:p>
      <w:pPr>
        <w:spacing w:after="0" w:line="331" w:lineRule="exact"/>
        <w:rPr>
          <w:sz w:val="20"/>
          <w:szCs w:val="20"/>
          <w:color w:val="auto"/>
        </w:rPr>
      </w:pPr>
    </w:p>
    <w:p>
      <w:pPr>
        <w:ind w:left="430" w:hanging="430"/>
        <w:spacing w:after="0"/>
        <w:tabs>
          <w:tab w:leader="none" w:pos="43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6" w:lineRule="exact"/>
        <w:rPr>
          <w:sz w:val="20"/>
          <w:szCs w:val="20"/>
          <w:color w:val="auto"/>
        </w:rPr>
      </w:pPr>
    </w:p>
    <w:p>
      <w:pPr>
        <w:ind w:left="430" w:right="80" w:hanging="422"/>
        <w:spacing w:after="0" w:line="258" w:lineRule="auto"/>
        <w:rPr>
          <w:sz w:val="20"/>
          <w:szCs w:val="20"/>
          <w:color w:val="auto"/>
        </w:rPr>
      </w:pPr>
      <w:r>
        <w:rPr>
          <w:rFonts w:ascii="Times New Roman" w:cs="Times New Roman" w:eastAsia="Times New Roman" w:hAnsi="Times New Roman"/>
          <w:sz w:val="18"/>
          <w:szCs w:val="18"/>
          <w:color w:val="auto"/>
        </w:rPr>
        <w:t>11.1 All notices and other communications which are issued as required or permitted by this Agreement shall be delivered by special personnel or sent to corresponding Parties’ address and fax number listed on Appendix II through registered mail, postage prepaid, commercial express delivery services or fax. Such notices shall be deemed to have been delivered as follows:</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70"/>
          </w:cols>
          <w:pgMar w:left="550" w:top="266" w:right="579" w:bottom="1440" w:gutter="0" w:footer="0" w:header="0"/>
        </w:sectPr>
      </w:pPr>
    </w:p>
    <w:bookmarkStart w:id="407" w:name="page408"/>
    <w:bookmarkEnd w:id="407"/>
    <w:p>
      <w:pPr>
        <w:ind w:left="950" w:right="260" w:hanging="528"/>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11.1.1 The notices shall be deemed to have been delivered to the designated address on the date of sending or rejection if they are delivered by special personnel, express delivery services or registered mail, postage prepaid.</w:t>
      </w:r>
    </w:p>
    <w:p>
      <w:pPr>
        <w:spacing w:after="0" w:line="195" w:lineRule="exact"/>
        <w:rPr>
          <w:sz w:val="20"/>
          <w:szCs w:val="20"/>
          <w:color w:val="auto"/>
        </w:rPr>
      </w:pPr>
    </w:p>
    <w:p>
      <w:pPr>
        <w:ind w:left="950" w:right="120" w:hanging="528"/>
        <w:spacing w:after="0" w:line="270" w:lineRule="auto"/>
        <w:rPr>
          <w:sz w:val="20"/>
          <w:szCs w:val="20"/>
          <w:color w:val="auto"/>
        </w:rPr>
      </w:pPr>
      <w:r>
        <w:rPr>
          <w:rFonts w:ascii="Times New Roman" w:cs="Times New Roman" w:eastAsia="Times New Roman" w:hAnsi="Times New Roman"/>
          <w:sz w:val="18"/>
          <w:szCs w:val="18"/>
          <w:color w:val="auto"/>
        </w:rPr>
        <w:t>11.1.2 The notices shall be deemed to have been delivered if they are sent by fax, confirmed by automatically generated information on delivery. (It should be evidenced by an automatically generated delivery confirmation)</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11.2  Any party may issue a notice to all other Parties according to this article to inform them of the address or fax number changed from time to time.</w:t>
      </w:r>
    </w:p>
    <w:p>
      <w:pPr>
        <w:spacing w:after="0" w:line="371" w:lineRule="exact"/>
        <w:rPr>
          <w:sz w:val="20"/>
          <w:szCs w:val="20"/>
          <w:color w:val="auto"/>
        </w:rPr>
      </w:pPr>
    </w:p>
    <w:p>
      <w:pPr>
        <w:ind w:left="430" w:hanging="430"/>
        <w:spacing w:after="0"/>
        <w:tabs>
          <w:tab w:leader="none" w:pos="43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Others</w:t>
      </w:r>
    </w:p>
    <w:p>
      <w:pPr>
        <w:spacing w:after="0" w:line="126" w:lineRule="exact"/>
        <w:rPr>
          <w:sz w:val="20"/>
          <w:szCs w:val="20"/>
          <w:color w:val="auto"/>
        </w:rPr>
      </w:pPr>
    </w:p>
    <w:p>
      <w:pPr>
        <w:ind w:left="430" w:right="60" w:hanging="422"/>
        <w:spacing w:after="0" w:line="258" w:lineRule="auto"/>
        <w:rPr>
          <w:sz w:val="20"/>
          <w:szCs w:val="20"/>
          <w:color w:val="auto"/>
        </w:rPr>
      </w:pPr>
      <w:r>
        <w:rPr>
          <w:rFonts w:ascii="Times New Roman" w:cs="Times New Roman" w:eastAsia="Times New Roman" w:hAnsi="Times New Roman"/>
          <w:sz w:val="18"/>
          <w:szCs w:val="18"/>
          <w:color w:val="auto"/>
        </w:rPr>
        <w:t>12.1 Notwithstanding any other provision of this Agreement or other Transaction Documents (as defined in the Equity Pledge Agreement) or any other document or law, Party B’s obligations and responsibilities under this Agreement are several and non-joint. This clause shall survive for the terminating this Agreement regardless of the reason why this Agreement is terminated.</w:t>
      </w:r>
    </w:p>
    <w:p>
      <w:pPr>
        <w:spacing w:after="0" w:line="86" w:lineRule="exact"/>
        <w:rPr>
          <w:sz w:val="20"/>
          <w:szCs w:val="20"/>
          <w:color w:val="auto"/>
        </w:rPr>
      </w:pPr>
    </w:p>
    <w:p>
      <w:pPr>
        <w:ind w:left="430" w:hanging="422"/>
        <w:spacing w:after="0" w:line="263" w:lineRule="auto"/>
        <w:rPr>
          <w:sz w:val="20"/>
          <w:szCs w:val="20"/>
          <w:color w:val="auto"/>
        </w:rPr>
      </w:pPr>
      <w:r>
        <w:rPr>
          <w:rFonts w:ascii="Times New Roman" w:cs="Times New Roman" w:eastAsia="Times New Roman" w:hAnsi="Times New Roman"/>
          <w:sz w:val="17"/>
          <w:szCs w:val="17"/>
          <w:color w:val="auto"/>
        </w:rPr>
        <w:t>12.2 Notwithstanding any other provision of this Agreement or other Transaction Documents (as defined in the Equity Pledge Agreement) or any other document or law, (1) Party A shall not exercise any of its powers under this Agreement regarding to any Investor Party B, unless Party A exercises this power to all Party B at the same time or all directors of Cayman Company agree otherwise; (2) Investor Party B’s all and any obligations or liabilities under this Agreement and other Transaction Documents (as defined in the Equity Pledge Agreement) are limited to the respective Equity Interest of Party C held by them. Except for the Equity Interest of Party C held by the Investor Party B, no party may make any claims on the other assets of the Investor Party B in respect of all or any obligations under this Agreement and other Transaction Documents (as defined in the Equity Pledge Agreement); and (3) if the Investor Party B violates any warranties, undertakings, agreements, representations or conditions of this Agreement, the Equity Pledge Agreement, the Exclusive Option Agreement, the Business Cooperation Agreement, the Loan Agreement or other Transaction Documents (as defined in the Equity Pledge Agreement), Party A’s sole right is to exercise the Pledge to Party C’s Equity Interest held by the Investor Party B in accordance with Article 8 of the Equity Pledge Agreement, or exercise the right to purchase the Equity Interest of Party C held by the Investor Party B in accordance with the Exclusive Option Agreement. However, Investor Party B does not assume any other liability for Party A or any other person. This clause shall survive the termination of this Agreement whatever the reason for terminating this Agreement.</w:t>
      </w:r>
    </w:p>
    <w:p>
      <w:pPr>
        <w:spacing w:after="0" w:line="1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90"/>
          </w:cols>
          <w:pgMar w:left="550" w:top="266" w:right="559" w:bottom="1440" w:gutter="0" w:footer="0" w:header="0"/>
        </w:sectPr>
      </w:pPr>
    </w:p>
    <w:bookmarkStart w:id="408" w:name="page409"/>
    <w:bookmarkEnd w:id="408"/>
    <w:p>
      <w:pPr>
        <w:ind w:left="420" w:right="220" w:hanging="422"/>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12.3 All revisions, modifications and supplementations of this Agreement shall be in writing. They shall take effects after they are signed or stamped by all Parties hereunder and governmental registration procedures (if applicable) are completed.</w:t>
      </w:r>
    </w:p>
    <w:p>
      <w:pPr>
        <w:spacing w:after="0" w:line="76" w:lineRule="exact"/>
        <w:rPr>
          <w:sz w:val="20"/>
          <w:szCs w:val="20"/>
          <w:color w:val="auto"/>
        </w:rPr>
      </w:pPr>
    </w:p>
    <w:p>
      <w:pPr>
        <w:ind w:left="420" w:right="560" w:hanging="422"/>
        <w:spacing w:after="0" w:line="270" w:lineRule="auto"/>
        <w:rPr>
          <w:sz w:val="20"/>
          <w:szCs w:val="20"/>
          <w:color w:val="auto"/>
        </w:rPr>
      </w:pPr>
      <w:r>
        <w:rPr>
          <w:rFonts w:ascii="Times New Roman" w:cs="Times New Roman" w:eastAsia="Times New Roman" w:hAnsi="Times New Roman"/>
          <w:sz w:val="18"/>
          <w:szCs w:val="18"/>
          <w:color w:val="auto"/>
        </w:rPr>
        <w:t>12.4 Party A may unilaterally notify Party B and Party C in writing anytime of unconditionally terminating this Agreement at discretion without assuming any responsibility. Party B and Party C shall have no rights to unilaterally terminate this Agreement.</w:t>
      </w:r>
    </w:p>
    <w:p>
      <w:pPr>
        <w:spacing w:after="0" w:line="76" w:lineRule="exact"/>
        <w:rPr>
          <w:sz w:val="20"/>
          <w:szCs w:val="20"/>
          <w:color w:val="auto"/>
        </w:rPr>
      </w:pPr>
    </w:p>
    <w:p>
      <w:pPr>
        <w:ind w:left="420" w:hanging="422"/>
        <w:spacing w:after="0" w:line="258" w:lineRule="auto"/>
        <w:rPr>
          <w:sz w:val="20"/>
          <w:szCs w:val="20"/>
          <w:color w:val="auto"/>
        </w:rPr>
      </w:pPr>
      <w:r>
        <w:rPr>
          <w:rFonts w:ascii="Times New Roman" w:cs="Times New Roman" w:eastAsia="Times New Roman" w:hAnsi="Times New Roman"/>
          <w:sz w:val="18"/>
          <w:szCs w:val="18"/>
          <w:color w:val="auto"/>
        </w:rPr>
        <w:t>12.5 If revision of this Agreement is proposed by the Stock Exchange of Hong Kong Limited or other regulatory institutions, or is required according to securities listing regulations of the Stock Exchange of Hong Kong Limited or related regulations, rules and guiding requirements, this Agreement shall be revised by the Parties reasonably.</w:t>
      </w:r>
    </w:p>
    <w:p>
      <w:pPr>
        <w:spacing w:after="0" w:line="86" w:lineRule="exact"/>
        <w:rPr>
          <w:sz w:val="20"/>
          <w:szCs w:val="20"/>
          <w:color w:val="auto"/>
        </w:rPr>
      </w:pPr>
    </w:p>
    <w:p>
      <w:pPr>
        <w:ind w:left="420" w:right="180" w:hanging="422"/>
        <w:spacing w:after="0" w:line="270" w:lineRule="auto"/>
        <w:rPr>
          <w:sz w:val="20"/>
          <w:szCs w:val="20"/>
          <w:color w:val="auto"/>
        </w:rPr>
      </w:pPr>
      <w:r>
        <w:rPr>
          <w:rFonts w:ascii="Times New Roman" w:cs="Times New Roman" w:eastAsia="Times New Roman" w:hAnsi="Times New Roman"/>
          <w:sz w:val="18"/>
          <w:szCs w:val="18"/>
          <w:color w:val="auto"/>
        </w:rPr>
        <w:t>12.6 All expenses and actual outlays related to this Agreement, including but not limited to lawyers’ fees, flat costs, stamp duties, any other taxes and fees, shall be borne by Party 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  This Agreement is made in five (5) copies. Each party shall hold one (1) copy. All copies shall have equal legal forces.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560" w:top="266" w:right="55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Shareholder Voting Rights Entrustment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Shareholder Voting Rights Entrustment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Jingxundi Supply Chain Technology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Xi’an Jingxundi Supply Chain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Jingxundi Supply Chain Technology Co., Ltd.)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60" w:top="266" w:right="5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Shareholder Voting Rights Entrustment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Shareholder Voting Rights Entrustment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Jingdong Xincheng Information Technology Co., Ltd. (seal)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Xi’an Jingdong Xincheng Information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Jingdong Xincheng Information Technology Co., Ltd.)</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0"/>
          </w:cols>
          <w:pgMar w:left="560" w:top="266" w:right="5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Shareholder Voting Rights Entrustment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Shareholder Voting Rights Entrustment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5">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60"/>
          </w:cols>
          <w:pgMar w:left="560" w:top="266" w:right="57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Shareholder Voting Rights Entrustment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Shareholder Voting Rights Entrustment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560" w:top="266" w:right="57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Shareholder Voting Rights Entrustment Agreement)</w:t>
      </w:r>
    </w:p>
    <w:p>
      <w:pPr>
        <w:spacing w:after="0" w:line="2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WHEREOF, the Parties have executed this Shareholder Voting Rights Entrustment Agreement as of the date and at the address first above written.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4847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9">
                      <a:extLst>
                        <a:ext uri="{28A0092B-C50C-407E-A947-70E740481C1C}"/>
                      </a:extLst>
                    </a:blip>
                    <a:srcRect/>
                    <a:stretch>
                      <a:fillRect/>
                    </a:stretch>
                  </pic:blipFill>
                  <pic:spPr bwMode="auto">
                    <a:xfrm>
                      <a:off x="0" y="0"/>
                      <a:ext cx="2484755" cy="8255"/>
                    </a:xfrm>
                    <a:prstGeom prst="rect">
                      <a:avLst/>
                    </a:prstGeom>
                    <a:noFill/>
                  </pic:spPr>
                </pic:pic>
              </a:graphicData>
            </a:graphic>
          </wp:anchor>
        </w:drawing>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560" w:top="266" w:right="5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Appendix I. Power of Attorney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110"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Qin Miao (the “Shareholder”) is registered to hold 45%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Shareholder seal: Qin Miao</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Signature: /s/ Qin Miao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80"/>
          </w:cols>
          <w:pgMar w:left="560" w:top="264" w:right="55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Appendix I. Power of Attorney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110"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Yayun Li (the “Shareholder”) is registered to hold 30%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Shareholder seal: Yayun Li</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Signature: /s/ Yayun Li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560" w:top="264" w:right="55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Appendix I. Power of Attorney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110"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Pang Zhang (the “Shareholder”) is registered to hold 25%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Shareholder seal: Pang Zhang</w:t>
      </w:r>
    </w:p>
    <w:p>
      <w:pPr>
        <w:spacing w:after="0" w:line="21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Signature: /s/ Pang Zhang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0"/>
          </w:cols>
          <w:pgMar w:left="560" w:top="264" w:right="5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Appendix II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 of notices, all Parties’ addresses are specifically indicated as follows: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 Miao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Yayun Li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Pang Zhang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pacing w:after="0" w:line="1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899"/>
          </w:cols>
          <w:pgMar w:left="560" w:top="264" w:right="1440" w:bottom="1440" w:gutter="0" w:footer="0" w:header="0"/>
        </w:sectPr>
      </w:pPr>
    </w:p>
    <w:bookmarkStart w:id="418" w:name="page419"/>
    <w:bookmarkEnd w:id="4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shareholder voting rights entrustment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20" w:type="dxa"/>
            <w:vAlign w:val="bottom"/>
          </w:tcPr>
          <w:p>
            <w:pPr>
              <w:spacing w:after="0"/>
              <w:rPr>
                <w:sz w:val="15"/>
                <w:szCs w:val="15"/>
                <w:color w:val="auto"/>
              </w:rPr>
            </w:pPr>
          </w:p>
        </w:tc>
        <w:tc>
          <w:tcPr>
            <w:tcW w:w="34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00" w:type="dxa"/>
            <w:vAlign w:val="bottom"/>
          </w:tcPr>
          <w:p>
            <w:pPr>
              <w:spacing w:after="0"/>
              <w:rPr>
                <w:sz w:val="15"/>
                <w:szCs w:val="15"/>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Execution Date</w:t>
            </w:r>
          </w:p>
        </w:tc>
      </w:tr>
      <w:tr>
        <w:trPr>
          <w:trHeight w:val="186"/>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w w:val="97"/>
              </w:rPr>
              <w:t>Suqian Jingdong Tianning Jiankang Technology Co.,</w:t>
            </w:r>
          </w:p>
        </w:tc>
        <w:tc>
          <w:tcPr>
            <w:tcW w:w="120" w:type="dxa"/>
            <w:vAlign w:val="bottom"/>
          </w:tcPr>
          <w:p>
            <w:pPr>
              <w:spacing w:after="0"/>
              <w:rPr>
                <w:sz w:val="16"/>
                <w:szCs w:val="16"/>
                <w:color w:val="auto"/>
              </w:rPr>
            </w:pPr>
          </w:p>
        </w:tc>
        <w:tc>
          <w:tcPr>
            <w:tcW w:w="34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Party A: Beijing Jingdong Jiankang Co., Ltd.</w:t>
            </w:r>
          </w:p>
        </w:tc>
        <w:tc>
          <w:tcPr>
            <w:tcW w:w="100" w:type="dxa"/>
            <w:vAlign w:val="bottom"/>
          </w:tcPr>
          <w:p>
            <w:pPr>
              <w:spacing w:after="0"/>
              <w:rPr>
                <w:sz w:val="16"/>
                <w:szCs w:val="16"/>
                <w:color w:val="auto"/>
              </w:rPr>
            </w:pPr>
          </w:p>
        </w:tc>
        <w:tc>
          <w:tcPr>
            <w:tcW w:w="33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r>
      <w:tr>
        <w:trPr>
          <w:trHeight w:val="22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Party B: Qin Miao, Tingting Sui and Pang</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Zhang</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Party C: Suqian Jingdong Tianning Jiankang</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 Co., Ltd.</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19"/>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Jingxi Logistics Technology Co., Ltd.</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Party A: Jingdong Logistics Supply Chain Co.,</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25, 2021</w:t>
            </w: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4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Party B: Jian Cui and Dingkai Yu</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Party C: Guangdong Jingxi Logistics</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 Co., Ltd.</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0780"/>
          </w:cols>
          <w:pgMar w:left="560" w:top="264" w:right="559" w:bottom="1440" w:gutter="0" w:footer="0" w:header="0"/>
        </w:sectPr>
      </w:pPr>
    </w:p>
    <w:bookmarkStart w:id="419" w:name="page420"/>
    <w:bookmarkEnd w:id="419"/>
    <w:p>
      <w:pPr>
        <w:jc w:val="right"/>
        <w:spacing w:after="0"/>
        <w:rPr>
          <w:sz w:val="20"/>
          <w:szCs w:val="20"/>
          <w:color w:val="auto"/>
        </w:rPr>
      </w:pPr>
      <w:r>
        <w:rPr>
          <w:rFonts w:ascii="Times New Roman" w:cs="Times New Roman" w:eastAsia="Times New Roman" w:hAnsi="Times New Roman"/>
          <w:sz w:val="18"/>
          <w:szCs w:val="18"/>
          <w:b w:val="1"/>
          <w:bCs w:val="1"/>
          <w:color w:val="auto"/>
        </w:rPr>
        <w:t>Exhibit 4.20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216"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Qin Miao (the “Shareholder”) is registered to hold 45%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Shareholder seal: Qin Miao</w:t>
      </w:r>
    </w:p>
    <w:p>
      <w:pPr>
        <w:spacing w:after="0" w:line="2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Signature: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14605</wp:posOffset>
            </wp:positionV>
            <wp:extent cx="21824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5">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ectPr>
          <w:pgSz w:w="11900" w:h="16838" w:orient="portrait"/>
          <w:cols w:equalWidth="0" w:num="1">
            <w:col w:w="10780"/>
          </w:cols>
          <w:pgMar w:left="560" w:top="119" w:right="559" w:bottom="1440" w:gutter="0" w:footer="0" w:header="0"/>
        </w:sectPr>
      </w:pPr>
    </w:p>
    <w:bookmarkStart w:id="420" w:name="page421"/>
    <w:bookmarkEnd w:id="4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Power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216"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Yayun Li (the “Shareholder”) is registered to hold 30%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Shareholder seal: Yayun Li</w:t>
      </w:r>
    </w:p>
    <w:p>
      <w:pPr>
        <w:spacing w:after="0" w:line="2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Signature: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14605</wp:posOffset>
            </wp:positionV>
            <wp:extent cx="21824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7">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ectPr>
          <w:pgSz w:w="11900" w:h="16838" w:orient="portrait"/>
          <w:cols w:equalWidth="0" w:num="1">
            <w:col w:w="10760"/>
          </w:cols>
          <w:pgMar w:left="560" w:top="264" w:right="579" w:bottom="1440" w:gutter="0" w:footer="0" w:header="0"/>
        </w:sectPr>
      </w:pPr>
    </w:p>
    <w:bookmarkStart w:id="421" w:name="page422"/>
    <w:bookmarkEnd w:id="4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Power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2022</w:t>
      </w:r>
    </w:p>
    <w:p>
      <w:pPr>
        <w:spacing w:after="0" w:line="216" w:lineRule="exact"/>
        <w:rPr>
          <w:sz w:val="20"/>
          <w:szCs w:val="20"/>
          <w:color w:val="auto"/>
        </w:rPr>
      </w:pPr>
    </w:p>
    <w:p>
      <w:pPr>
        <w:ind w:firstLine="431"/>
        <w:spacing w:after="0" w:line="253" w:lineRule="auto"/>
        <w:rPr>
          <w:sz w:val="20"/>
          <w:szCs w:val="20"/>
          <w:color w:val="auto"/>
        </w:rPr>
      </w:pPr>
      <w:r>
        <w:rPr>
          <w:rFonts w:ascii="Times New Roman" w:cs="Times New Roman" w:eastAsia="Times New Roman" w:hAnsi="Times New Roman"/>
          <w:sz w:val="18"/>
          <w:szCs w:val="18"/>
          <w:color w:val="auto"/>
        </w:rPr>
        <w:t>Shareholder Pang Zhang (the “Shareholder”) is registered to hold 25% Equity Interest of Xi’an Jingdong Xincheng Information Technology Co.,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Shareholder hereby irrevocably exclusively authorizes Xi’an Jingxundi Supply Chain Technology Co., Ltd. (the “Attorney”) and its designated representative attorney to exercise the proxy rights mentioned and defined in the Shareholder Voting Rights Entrustment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concluded among the Shareholder, the Company and the Attorney on September 16, 2022.</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Power of Attorney shall take effects on the same day as this Agreement and it is irrevocable.</w:t>
      </w:r>
    </w:p>
    <w:p>
      <w:pPr>
        <w:spacing w:after="0" w:line="24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Shareholder seal: Pang Zhang</w:t>
      </w:r>
    </w:p>
    <w:p>
      <w:pPr>
        <w:spacing w:after="0" w:line="2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Signature: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14605</wp:posOffset>
            </wp:positionV>
            <wp:extent cx="218249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9">
                      <a:extLst>
                        <a:ext uri="{28A0092B-C50C-407E-A947-70E740481C1C}"/>
                      </a:extLst>
                    </a:blip>
                    <a:srcRect/>
                    <a:stretch>
                      <a:fillRect/>
                    </a:stretch>
                  </pic:blipFill>
                  <pic:spPr bwMode="auto">
                    <a:xfrm>
                      <a:off x="0" y="0"/>
                      <a:ext cx="2182495" cy="8255"/>
                    </a:xfrm>
                    <a:prstGeom prst="rect">
                      <a:avLst/>
                    </a:prstGeom>
                    <a:noFill/>
                  </pic:spPr>
                </pic:pic>
              </a:graphicData>
            </a:graphic>
          </wp:anchor>
        </w:drawing>
      </w:r>
    </w:p>
    <w:p>
      <w:pPr>
        <w:sectPr>
          <w:pgSz w:w="11900" w:h="16838" w:orient="portrait"/>
          <w:cols w:equalWidth="0" w:num="1">
            <w:col w:w="10780"/>
          </w:cols>
          <w:pgMar w:left="560" w:top="264" w:right="559" w:bottom="1440" w:gutter="0" w:footer="0" w:header="0"/>
        </w:sectPr>
      </w:pPr>
    </w:p>
    <w:bookmarkStart w:id="422" w:name="page423"/>
    <w:bookmarkEnd w:id="4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power of attorney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380" w:type="dxa"/>
            <w:vAlign w:val="bottom"/>
          </w:tcPr>
          <w:p>
            <w:pPr>
              <w:spacing w:after="0"/>
              <w:rPr>
                <w:sz w:val="14"/>
                <w:szCs w:val="14"/>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7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80" w:type="dxa"/>
            <w:vAlign w:val="bottom"/>
            <w:vMerge w:val="restart"/>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420" w:type="dxa"/>
            <w:vAlign w:val="bottom"/>
            <w:gridSpan w:val="2"/>
          </w:tcPr>
          <w:p>
            <w:pPr>
              <w:spacing w:after="0" w:line="180" w:lineRule="exact"/>
              <w:rPr>
                <w:sz w:val="20"/>
                <w:szCs w:val="20"/>
                <w:color w:val="auto"/>
              </w:rPr>
            </w:pPr>
            <w:r>
              <w:rPr>
                <w:rFonts w:ascii="Times New Roman" w:cs="Times New Roman" w:eastAsia="Times New Roman" w:hAnsi="Times New Roman"/>
                <w:sz w:val="18"/>
                <w:szCs w:val="18"/>
                <w:color w:val="auto"/>
              </w:rPr>
              <w:t>Suqian Jingdong Tianning Jiankang Technology Co., Ltd.</w:t>
            </w:r>
          </w:p>
        </w:tc>
        <w:tc>
          <w:tcPr>
            <w:tcW w:w="1380" w:type="dxa"/>
            <w:vAlign w:val="bottom"/>
            <w:vMerge w:val="continue"/>
          </w:tcPr>
          <w:p>
            <w:pPr>
              <w:spacing w:after="0"/>
              <w:rPr>
                <w:sz w:val="15"/>
                <w:szCs w:val="15"/>
                <w:color w:val="auto"/>
              </w:rPr>
            </w:pPr>
          </w:p>
        </w:tc>
        <w:tc>
          <w:tcPr>
            <w:tcW w:w="216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Qin Miao</w:t>
            </w:r>
          </w:p>
        </w:tc>
        <w:tc>
          <w:tcPr>
            <w:tcW w:w="100" w:type="dxa"/>
            <w:vAlign w:val="bottom"/>
            <w:vMerge w:val="continue"/>
          </w:tcPr>
          <w:p>
            <w:pPr>
              <w:spacing w:after="0"/>
              <w:rPr>
                <w:sz w:val="15"/>
                <w:szCs w:val="15"/>
                <w:color w:val="auto"/>
              </w:rPr>
            </w:pPr>
          </w:p>
        </w:tc>
        <w:tc>
          <w:tcPr>
            <w:tcW w:w="17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Tingting Sui</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Pang Zhang</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1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Jingxi Logistics Technology Co., Ltd.</w:t>
            </w: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Jian Cui</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Dingkai Yu</w:t>
            </w: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c>
          <w:tcPr>
            <w:tcW w:w="0" w:type="dxa"/>
            <w:vAlign w:val="bottom"/>
          </w:tcPr>
          <w:p>
            <w:pPr>
              <w:spacing w:after="0"/>
              <w:rPr>
                <w:sz w:val="1"/>
                <w:szCs w:val="1"/>
                <w:color w:val="auto"/>
              </w:rPr>
            </w:pPr>
          </w:p>
        </w:tc>
      </w:tr>
    </w:tbl>
    <w:p>
      <w:pPr>
        <w:sectPr>
          <w:pgSz w:w="11900" w:h="16838" w:orient="portrait"/>
          <w:cols w:equalWidth="0" w:num="1">
            <w:col w:w="10780"/>
          </w:cols>
          <w:pgMar w:left="560" w:top="264" w:right="559"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18"/>
          <w:szCs w:val="18"/>
          <w:b w:val="1"/>
          <w:bCs w:val="1"/>
          <w:color w:val="auto"/>
        </w:rPr>
        <w:t>Exhibit 4.21</w:t>
      </w:r>
    </w:p>
    <w:p>
      <w:pPr>
        <w:spacing w:after="0" w:line="200" w:lineRule="exact"/>
        <w:rPr>
          <w:sz w:val="20"/>
          <w:szCs w:val="20"/>
          <w:color w:val="auto"/>
        </w:rPr>
      </w:pPr>
    </w:p>
    <w:p>
      <w:pPr>
        <w:spacing w:after="0" w:line="2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Share Pledge Agreement</w:t>
      </w:r>
    </w:p>
    <w:p>
      <w:pPr>
        <w:spacing w:after="0" w:line="218" w:lineRule="exact"/>
        <w:rPr>
          <w:sz w:val="20"/>
          <w:szCs w:val="20"/>
          <w:color w:val="auto"/>
        </w:rPr>
      </w:pPr>
    </w:p>
    <w:p>
      <w:pPr>
        <w:ind w:left="10" w:right="360"/>
        <w:spacing w:after="0" w:line="270" w:lineRule="auto"/>
        <w:rPr>
          <w:sz w:val="20"/>
          <w:szCs w:val="20"/>
          <w:color w:val="auto"/>
        </w:rPr>
      </w:pPr>
      <w:r>
        <w:rPr>
          <w:rFonts w:ascii="Times New Roman" w:cs="Times New Roman" w:eastAsia="Times New Roman" w:hAnsi="Times New Roman"/>
          <w:sz w:val="18"/>
          <w:szCs w:val="18"/>
          <w:color w:val="auto"/>
        </w:rPr>
        <w:t>This Share Pledge Agreement (hereinafter referred to as this “Agreement”) has been executed by and among the following parties on September 16, 2022 in Beijing:</w:t>
      </w:r>
    </w:p>
    <w:p>
      <w:pPr>
        <w:spacing w:after="0" w:line="74" w:lineRule="exact"/>
        <w:rPr>
          <w:sz w:val="20"/>
          <w:szCs w:val="20"/>
          <w:color w:val="auto"/>
        </w:rPr>
      </w:pPr>
    </w:p>
    <w:p>
      <w:pPr>
        <w:ind w:left="770" w:right="260" w:hanging="766"/>
        <w:spacing w:after="0" w:line="259" w:lineRule="auto"/>
        <w:tabs>
          <w:tab w:leader="none" w:pos="749" w:val="left"/>
        </w:tabs>
        <w:rPr>
          <w:sz w:val="20"/>
          <w:szCs w:val="20"/>
          <w:color w:val="auto"/>
        </w:rPr>
      </w:pPr>
      <w:r>
        <w:rPr>
          <w:rFonts w:ascii="Times New Roman" w:cs="Times New Roman" w:eastAsia="Times New Roman" w:hAnsi="Times New Roman"/>
          <w:sz w:val="18"/>
          <w:szCs w:val="18"/>
          <w:color w:val="auto"/>
        </w:rPr>
        <w:t>Party A:</w:t>
      </w:r>
      <w:r>
        <w:rPr>
          <w:sz w:val="20"/>
          <w:szCs w:val="20"/>
          <w:color w:val="auto"/>
        </w:rPr>
        <w:tab/>
      </w:r>
      <w:r>
        <w:rPr>
          <w:rFonts w:ascii="Times New Roman" w:cs="Times New Roman" w:eastAsia="Times New Roman" w:hAnsi="Times New Roman"/>
          <w:sz w:val="18"/>
          <w:szCs w:val="18"/>
          <w:b w:val="1"/>
          <w:bCs w:val="1"/>
          <w:color w:val="auto"/>
        </w:rPr>
        <w:t>Xi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 Jingxundi Supply Chain Technology Co., Ltd.</w:t>
      </w:r>
      <w:r>
        <w:rPr>
          <w:rFonts w:ascii="Times New Roman" w:cs="Times New Roman" w:eastAsia="Times New Roman" w:hAnsi="Times New Roman"/>
          <w:sz w:val="18"/>
          <w:szCs w:val="18"/>
          <w:color w:val="auto"/>
        </w:rPr>
        <w:t>, a limited liability company organized and existing under the PRC laws,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at Building 5, SkyCity Central Square, East Chang’An Street No.666, National Civil Space Industrial Base, Xi’an, Shaanxi, China (hereinafter referred to as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10"/>
        <w:spacing w:after="0"/>
        <w:tabs>
          <w:tab w:leader="none" w:pos="749" w:val="left"/>
        </w:tabs>
        <w:rPr>
          <w:sz w:val="20"/>
          <w:szCs w:val="20"/>
          <w:color w:val="auto"/>
        </w:rPr>
      </w:pPr>
      <w:r>
        <w:rPr>
          <w:rFonts w:ascii="Times New Roman" w:cs="Times New Roman" w:eastAsia="Times New Roman" w:hAnsi="Times New Roman"/>
          <w:sz w:val="18"/>
          <w:szCs w:val="18"/>
          <w:color w:val="auto"/>
        </w:rPr>
        <w:t>Party B:</w:t>
      </w:r>
      <w:r>
        <w:rPr>
          <w:sz w:val="20"/>
          <w:szCs w:val="20"/>
          <w:color w:val="auto"/>
        </w:rPr>
        <w:tab/>
      </w:r>
      <w:r>
        <w:rPr>
          <w:rFonts w:ascii="Times New Roman" w:cs="Times New Roman" w:eastAsia="Times New Roman" w:hAnsi="Times New Roman"/>
          <w:sz w:val="17"/>
          <w:szCs w:val="17"/>
          <w:b w:val="1"/>
          <w:bCs w:val="1"/>
          <w:color w:val="auto"/>
        </w:rPr>
        <w:t>Qin Miao</w:t>
      </w:r>
      <w:r>
        <w:rPr>
          <w:rFonts w:ascii="Times New Roman" w:cs="Times New Roman" w:eastAsia="Times New Roman" w:hAnsi="Times New Roman"/>
          <w:sz w:val="17"/>
          <w:szCs w:val="17"/>
          <w:color w:val="auto"/>
        </w:rPr>
        <w:t>u, Chinese Identification No. ***</w:t>
      </w:r>
    </w:p>
    <w:p>
      <w:pPr>
        <w:spacing w:after="0" w:line="24"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b w:val="1"/>
          <w:bCs w:val="1"/>
          <w:color w:val="auto"/>
        </w:rPr>
        <w:t xml:space="preserve">Yayun Li, </w:t>
      </w:r>
      <w:r>
        <w:rPr>
          <w:rFonts w:ascii="Times New Roman" w:cs="Times New Roman" w:eastAsia="Times New Roman" w:hAnsi="Times New Roman"/>
          <w:sz w:val="18"/>
          <w:szCs w:val="18"/>
          <w:color w:val="auto"/>
        </w:rPr>
        <w:t>Chinese Identification No. ***;</w:t>
      </w:r>
    </w:p>
    <w:p>
      <w:pPr>
        <w:spacing w:after="0" w:line="5" w:lineRule="exact"/>
        <w:rPr>
          <w:sz w:val="20"/>
          <w:szCs w:val="20"/>
          <w:color w:val="auto"/>
        </w:rPr>
      </w:pPr>
    </w:p>
    <w:p>
      <w:pPr>
        <w:ind w:left="770"/>
        <w:spacing w:after="0"/>
        <w:rPr>
          <w:sz w:val="20"/>
          <w:szCs w:val="20"/>
          <w:color w:val="auto"/>
        </w:rPr>
      </w:pPr>
      <w:r>
        <w:rPr>
          <w:rFonts w:ascii="Times New Roman" w:cs="Times New Roman" w:eastAsia="Times New Roman" w:hAnsi="Times New Roman"/>
          <w:sz w:val="18"/>
          <w:szCs w:val="18"/>
          <w:b w:val="1"/>
          <w:bCs w:val="1"/>
          <w:color w:val="auto"/>
        </w:rPr>
        <w:t xml:space="preserve">Pang Zhang, </w:t>
      </w:r>
      <w:r>
        <w:rPr>
          <w:rFonts w:ascii="Times New Roman" w:cs="Times New Roman" w:eastAsia="Times New Roman" w:hAnsi="Times New Roman"/>
          <w:sz w:val="18"/>
          <w:szCs w:val="18"/>
          <w:color w:val="auto"/>
        </w:rPr>
        <w:t>Chinese Identification No. ***. (All Party B hereinafter collectively referred to as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770" w:right="60" w:hanging="766"/>
        <w:spacing w:after="0" w:line="273" w:lineRule="auto"/>
        <w:tabs>
          <w:tab w:leader="none" w:pos="749" w:val="left"/>
        </w:tabs>
        <w:rPr>
          <w:sz w:val="20"/>
          <w:szCs w:val="20"/>
          <w:color w:val="auto"/>
        </w:rPr>
      </w:pPr>
      <w:r>
        <w:rPr>
          <w:rFonts w:ascii="Times New Roman" w:cs="Times New Roman" w:eastAsia="Times New Roman" w:hAnsi="Times New Roman"/>
          <w:sz w:val="18"/>
          <w:szCs w:val="18"/>
          <w:color w:val="auto"/>
        </w:rPr>
        <w:t>Party C:</w:t>
      </w:r>
      <w:r>
        <w:rPr>
          <w:sz w:val="20"/>
          <w:szCs w:val="20"/>
          <w:color w:val="auto"/>
        </w:rPr>
        <w:tab/>
      </w:r>
      <w:r>
        <w:rPr>
          <w:rFonts w:ascii="Times New Roman" w:cs="Times New Roman" w:eastAsia="Times New Roman" w:hAnsi="Times New Roman"/>
          <w:sz w:val="18"/>
          <w:szCs w:val="18"/>
          <w:b w:val="1"/>
          <w:bCs w:val="1"/>
          <w:color w:val="auto"/>
        </w:rPr>
        <w:t>Xi’an Jingdong Xincheng Information Technology Co., Ltd.</w:t>
      </w:r>
      <w:r>
        <w:rPr>
          <w:rFonts w:ascii="Times New Roman" w:cs="Times New Roman" w:eastAsia="Times New Roman" w:hAnsi="Times New Roman"/>
          <w:sz w:val="18"/>
          <w:szCs w:val="18"/>
          <w:color w:val="auto"/>
        </w:rPr>
        <w:t>, a limited liability company organized and existing under the PRC laws,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address at Building 5, SkyCity Central Square, East Chang’An Street No.666, Aerospace Base, Xi’an, Shaanxi, China.</w:t>
      </w:r>
    </w:p>
    <w:p>
      <w:pPr>
        <w:spacing w:after="0" w:line="164" w:lineRule="exact"/>
        <w:rPr>
          <w:sz w:val="20"/>
          <w:szCs w:val="20"/>
          <w:color w:val="auto"/>
        </w:rPr>
      </w:pPr>
    </w:p>
    <w:p>
      <w:pPr>
        <w:ind w:left="10" w:right="700"/>
        <w:spacing w:after="0" w:line="273" w:lineRule="auto"/>
        <w:rPr>
          <w:sz w:val="20"/>
          <w:szCs w:val="20"/>
          <w:color w:val="auto"/>
        </w:rPr>
      </w:pPr>
      <w:r>
        <w:rPr>
          <w:rFonts w:ascii="Times New Roman" w:cs="Times New Roman" w:eastAsia="Times New Roman" w:hAnsi="Times New Roman"/>
          <w:sz w:val="18"/>
          <w:szCs w:val="18"/>
          <w:color w:val="auto"/>
        </w:rPr>
        <w:t>In this Agreement, each of the Pledgee, the Pledgors and Party C shall be hereinafter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respectively, and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collectively.</w:t>
      </w:r>
    </w:p>
    <w:p>
      <w:pPr>
        <w:spacing w:after="0" w:line="2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200" w:hanging="430"/>
        <w:spacing w:after="0" w:line="253" w:lineRule="auto"/>
        <w:tabs>
          <w:tab w:leader="none" w:pos="43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as of the signing date hereof are shareholders of Party C, and hold 100% of the Equity Interest of Party C, among which Qin Miao holds 45% of the Equity Interest (corresponding to Party C’s capital contribution of RMB450,000), Yayun Li holds 30% of the Equity Interest (corresponding to Party C’s capital contribution of RMB300,000), and Pang Zhang holds 25% of the Equity Interest (corresponding to Party C’s capital contribution of RMB250,000). Party C is a limited liability company registered in Shanxi, China.</w:t>
      </w:r>
    </w:p>
    <w:p>
      <w:pPr>
        <w:spacing w:after="0" w:line="90" w:lineRule="exact"/>
        <w:rPr>
          <w:rFonts w:ascii="Times New Roman" w:cs="Times New Roman" w:eastAsia="Times New Roman" w:hAnsi="Times New Roman"/>
          <w:sz w:val="18"/>
          <w:szCs w:val="18"/>
          <w:color w:val="auto"/>
        </w:rPr>
      </w:pPr>
    </w:p>
    <w:p>
      <w:pPr>
        <w:jc w:val="both"/>
        <w:ind w:left="430" w:right="80" w:hanging="430"/>
        <w:spacing w:after="0" w:line="259" w:lineRule="auto"/>
        <w:tabs>
          <w:tab w:leader="none" w:pos="43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wholly and directly held by JD Logistics Holding Limited (a company registered under the laws of Hong Kong) (the “</w:t>
      </w:r>
      <w:r>
        <w:rPr>
          <w:rFonts w:ascii="Times New Roman" w:cs="Times New Roman" w:eastAsia="Times New Roman" w:hAnsi="Times New Roman"/>
          <w:sz w:val="18"/>
          <w:szCs w:val="18"/>
          <w:b w:val="1"/>
          <w:bCs w:val="1"/>
          <w:color w:val="auto"/>
        </w:rPr>
        <w:t>Hong Kong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Hong Kong Company is wholly and directly held by JD Logistics, Inc. (a company registered under the laws of the Cayman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Islands) (the “</w:t>
      </w:r>
      <w:r>
        <w:rPr>
          <w:rFonts w:ascii="Times New Roman" w:cs="Times New Roman" w:eastAsia="Times New Roman" w:hAnsi="Times New Roman"/>
          <w:sz w:val="18"/>
          <w:szCs w:val="18"/>
          <w:b w:val="1"/>
          <w:bCs w:val="1"/>
          <w:color w:val="auto"/>
        </w:rPr>
        <w:t>Cayman Company</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30" w:right="160" w:hanging="430"/>
        <w:spacing w:after="0" w:line="253" w:lineRule="auto"/>
        <w:tabs>
          <w:tab w:leader="none" w:pos="43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 owned enterprise registered in Xi’an, Shaanxi Province, China. The Pledgee and Party C executed the Exclusive Business Cooperation Agreement (including revisions from time to time, hereinafter referred to as the “</w:t>
      </w:r>
      <w:r>
        <w:rPr>
          <w:rFonts w:ascii="Times New Roman" w:cs="Times New Roman" w:eastAsia="Times New Roman" w:hAnsi="Times New Roman"/>
          <w:sz w:val="18"/>
          <w:szCs w:val="18"/>
          <w:b w:val="1"/>
          <w:bCs w:val="1"/>
          <w:color w:val="auto"/>
        </w:rPr>
        <w:t>Business Cooperation Agreement</w:t>
      </w:r>
      <w:r>
        <w:rPr>
          <w:rFonts w:ascii="Times New Roman" w:cs="Times New Roman" w:eastAsia="Times New Roman" w:hAnsi="Times New Roman"/>
          <w:sz w:val="18"/>
          <w:szCs w:val="18"/>
          <w:color w:val="auto"/>
        </w:rPr>
        <w:t>”) on the date hereof. The Pledgee provides relevant exclusive technical services, technical consultations and other services to Party C based on the Business Cooperation Agreement.</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9" w:right="559" w:bottom="1440" w:gutter="0" w:footer="0" w:header="0"/>
        </w:sectPr>
      </w:pPr>
    </w:p>
    <w:bookmarkStart w:id="424" w:name="page425"/>
    <w:bookmarkEnd w:id="424"/>
    <w:p>
      <w:pPr>
        <w:ind w:left="430" w:right="220" w:hanging="430"/>
        <w:spacing w:after="0" w:line="250" w:lineRule="auto"/>
        <w:tabs>
          <w:tab w:leader="none" w:pos="43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Parties of this Agreement executed an Exclusive Option Agreement (including revisions from time to time, hereinafter referred to as the “</w:t>
      </w:r>
      <w:r>
        <w:rPr>
          <w:rFonts w:ascii="Times New Roman" w:cs="Times New Roman" w:eastAsia="Times New Roman" w:hAnsi="Times New Roman"/>
          <w:sz w:val="18"/>
          <w:szCs w:val="18"/>
          <w:b w:val="1"/>
          <w:bCs w:val="1"/>
          <w:color w:val="auto"/>
        </w:rPr>
        <w:t>Exclusive Option Agreement</w:t>
      </w:r>
      <w:r>
        <w:rPr>
          <w:rFonts w:ascii="Times New Roman" w:cs="Times New Roman" w:eastAsia="Times New Roman" w:hAnsi="Times New Roman"/>
          <w:sz w:val="18"/>
          <w:szCs w:val="18"/>
          <w:color w:val="auto"/>
        </w:rPr>
        <w:t>”) on the date hereof. To the extent permitted by the PRC laws and corresponding requirements, if the Pledgee decides to make the purchase request in its sole discretion: (a)the Pledgors shall transfer all or part of their Equity Interest held in Party C to the Pledgee and/or its designee(hereinafter referred to as the “</w:t>
      </w:r>
      <w:r>
        <w:rPr>
          <w:rFonts w:ascii="Times New Roman" w:cs="Times New Roman" w:eastAsia="Times New Roman" w:hAnsi="Times New Roman"/>
          <w:sz w:val="18"/>
          <w:szCs w:val="18"/>
          <w:b w:val="1"/>
          <w:bCs w:val="1"/>
          <w:color w:val="auto"/>
        </w:rPr>
        <w:t>Designee</w:t>
      </w:r>
      <w:r>
        <w:rPr>
          <w:rFonts w:ascii="Times New Roman" w:cs="Times New Roman" w:eastAsia="Times New Roman" w:hAnsi="Times New Roman"/>
          <w:sz w:val="18"/>
          <w:szCs w:val="18"/>
          <w:color w:val="auto"/>
        </w:rPr>
        <w:t>”, who needs to be the Cayman Company or a subsidiary that is directly or indirectly wholly controlled by it) according to its requirements; (b) Party C shall transfer all or part of its assets to the Pledgee and/or the Designee according to the requirements of the Pledgee and/or the Designee.</w:t>
      </w:r>
    </w:p>
    <w:p>
      <w:pPr>
        <w:spacing w:after="0" w:line="94"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of this Agreement executed a Shareholder Voting Rights Entrustment Agreement (including revisions from time to time, hereinafter referred to as the “</w:t>
      </w:r>
      <w:r>
        <w:rPr>
          <w:rFonts w:ascii="Times New Roman" w:cs="Times New Roman" w:eastAsia="Times New Roman" w:hAnsi="Times New Roman"/>
          <w:sz w:val="18"/>
          <w:szCs w:val="18"/>
          <w:b w:val="1"/>
          <w:bCs w:val="1"/>
          <w:color w:val="auto"/>
        </w:rPr>
        <w:t>Shareholder Voting Rights Entrustment Agreement</w:t>
      </w:r>
      <w:r>
        <w:rPr>
          <w:rFonts w:ascii="Times New Roman" w:cs="Times New Roman" w:eastAsia="Times New Roman" w:hAnsi="Times New Roman"/>
          <w:sz w:val="18"/>
          <w:szCs w:val="18"/>
          <w:color w:val="auto"/>
        </w:rPr>
        <w:t>”) on the date hereof. The Pledgors have irrevocably entrusted the person designated by the Pledgee with the full power to exercise all their rights to entrust and vote as Party C’s shareholder.</w:t>
      </w:r>
    </w:p>
    <w:p>
      <w:pPr>
        <w:spacing w:after="0" w:line="83" w:lineRule="exact"/>
        <w:rPr>
          <w:rFonts w:ascii="Times New Roman" w:cs="Times New Roman" w:eastAsia="Times New Roman" w:hAnsi="Times New Roman"/>
          <w:sz w:val="18"/>
          <w:szCs w:val="18"/>
          <w:color w:val="auto"/>
        </w:rPr>
      </w:pPr>
    </w:p>
    <w:p>
      <w:pPr>
        <w:ind w:left="430" w:right="100" w:hanging="430"/>
        <w:spacing w:after="0" w:line="281" w:lineRule="auto"/>
        <w:tabs>
          <w:tab w:leader="none" w:pos="430"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Pledgee and the Pledgors executed a Loan Agreement (including revisions from time to time, hereinafter referred to as the “</w:t>
      </w:r>
      <w:r>
        <w:rPr>
          <w:rFonts w:ascii="Times New Roman" w:cs="Times New Roman" w:eastAsia="Times New Roman" w:hAnsi="Times New Roman"/>
          <w:sz w:val="17"/>
          <w:szCs w:val="17"/>
          <w:b w:val="1"/>
          <w:bCs w:val="1"/>
          <w:color w:val="auto"/>
        </w:rPr>
        <w:t>Loan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on the date hereof. Pursuant to the Loan Agreement, the Pledgee provided a loan of RMB1,000,000 to the Pledgors in total, among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RMB450,000 was provided to Qin Miao, RMB300,000 was provided to Yayun Li, and RMB250,000 was provided to Pang Zhang.</w:t>
      </w:r>
    </w:p>
    <w:p>
      <w:pPr>
        <w:spacing w:after="0" w:line="68" w:lineRule="exact"/>
        <w:rPr>
          <w:rFonts w:ascii="Times New Roman" w:cs="Times New Roman" w:eastAsia="Times New Roman" w:hAnsi="Times New Roman"/>
          <w:sz w:val="17"/>
          <w:szCs w:val="17"/>
          <w:color w:val="auto"/>
        </w:rPr>
      </w:pPr>
    </w:p>
    <w:p>
      <w:pPr>
        <w:ind w:left="430" w:right="140" w:hanging="430"/>
        <w:spacing w:after="0" w:line="253" w:lineRule="auto"/>
        <w:tabs>
          <w:tab w:leader="none" w:pos="43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Pledgors’ guarantee of the performance of the Contract Obligations (as defined below) and the settlement of the Secured Indebtedness (as defined below), the Parties intend to execute this Agreement on the provision of Equity Interest pledge by Party B to Party A. The Pledgors severally and not jointly pledge all the Equity Interest they held in Party C to the Pledgee to provide pledge guarantee for securing the complete and due performance of such obligations and debt. Party C agrees with such equity interest pledge arrangements.</w:t>
      </w:r>
    </w:p>
    <w:p>
      <w:pPr>
        <w:spacing w:after="0" w:line="328" w:lineRule="exact"/>
        <w:rPr>
          <w:sz w:val="20"/>
          <w:szCs w:val="20"/>
          <w:color w:val="auto"/>
        </w:rPr>
      </w:pPr>
    </w:p>
    <w:p>
      <w:pPr>
        <w:ind w:left="430" w:hanging="430"/>
        <w:spacing w:after="0"/>
        <w:tabs>
          <w:tab w:leader="none" w:pos="43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herein, the terms below shall have the following meanings:</w:t>
      </w:r>
    </w:p>
    <w:p>
      <w:pPr>
        <w:spacing w:after="0" w:line="122" w:lineRule="exact"/>
        <w:rPr>
          <w:sz w:val="20"/>
          <w:szCs w:val="20"/>
          <w:color w:val="auto"/>
        </w:rPr>
      </w:pPr>
    </w:p>
    <w:p>
      <w:pPr>
        <w:ind w:left="430" w:right="240" w:hanging="422"/>
        <w:spacing w:after="0" w:line="259" w:lineRule="auto"/>
        <w:tabs>
          <w:tab w:leader="none" w:pos="409" w:val="left"/>
        </w:tabs>
        <w:rPr>
          <w:sz w:val="20"/>
          <w:szCs w:val="20"/>
          <w:color w:val="auto"/>
        </w:rPr>
      </w:pPr>
      <w:r>
        <w:rPr>
          <w:rFonts w:ascii="Times New Roman" w:cs="Times New Roman" w:eastAsia="Times New Roman" w:hAnsi="Times New Roman"/>
          <w:sz w:val="18"/>
          <w:szCs w:val="18"/>
          <w:color w:val="auto"/>
        </w:rPr>
        <w:t>1.1</w:t>
        <w:tab/>
        <w:t>“</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shall refer to the Security Interest granted by the Pledgors to the Pledgee pursuant to Article 2 of this Agreement, i.e., the right of the Pledgee to be paid in priority with the Equity Interest based on the monetary valuation that such Equity Interest is converted into or from the proceeds from the auction or sale of the Equity Interest.</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70"/>
          </w:cols>
          <w:pgMar w:left="550" w:top="266" w:right="579" w:bottom="1440" w:gutter="0" w:footer="0" w:header="0"/>
        </w:sectPr>
      </w:pPr>
    </w:p>
    <w:bookmarkStart w:id="425" w:name="page426"/>
    <w:bookmarkEnd w:id="425"/>
    <w:p>
      <w:pPr>
        <w:ind w:left="420" w:right="60" w:hanging="422"/>
        <w:spacing w:after="0" w:line="268"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Interest</w:t>
      </w:r>
      <w:r>
        <w:rPr>
          <w:rFonts w:ascii="Times New Roman" w:cs="Times New Roman" w:eastAsia="Times New Roman" w:hAnsi="Times New Roman"/>
          <w:sz w:val="17"/>
          <w:szCs w:val="17"/>
          <w:color w:val="auto"/>
        </w:rPr>
        <w:t>” shall refer to all Party C’s equity interest lawfully held by the Pledgors from the effective date of this Agreement, such that the Pledgors have rights to dispose and pledge it to the Pledgee according to provisions of this Agreement as guarantee for Party C’s fulfillment of its Contractual obligations and Secured Indebtedness hereunder (including the Pledgors’ Equity Interest constituting Party C’s registered capital and all related Equity Interest, including all of the equity interests, revenues, preferences of Party C currently or in the future owned by Pledgors, all the account receivables and liquidated damages with respect to the equity interests of Party C owned by Pledgors, and bonuses, dividends and other payment distributed to the Pledgors by Party C) and increase Equity Interest as per Article 6.7 of this Agreement.</w:t>
      </w:r>
    </w:p>
    <w:p>
      <w:pPr>
        <w:spacing w:after="0" w:line="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of the Pledge</w:t>
      </w:r>
      <w:r>
        <w:rPr>
          <w:rFonts w:ascii="Times New Roman" w:cs="Times New Roman" w:eastAsia="Times New Roman" w:hAnsi="Times New Roman"/>
          <w:sz w:val="17"/>
          <w:szCs w:val="17"/>
          <w:color w:val="auto"/>
        </w:rPr>
        <w:t>” shall refer to the term set forth in Article 3 of this Agreement.</w:t>
      </w:r>
    </w:p>
    <w:p>
      <w:pPr>
        <w:spacing w:after="0" w:line="1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Event of Default</w:t>
      </w:r>
      <w:r>
        <w:rPr>
          <w:rFonts w:ascii="Times New Roman" w:cs="Times New Roman" w:eastAsia="Times New Roman" w:hAnsi="Times New Roman"/>
          <w:sz w:val="17"/>
          <w:szCs w:val="17"/>
          <w:color w:val="auto"/>
        </w:rPr>
        <w:t>” shall refer to any of the circumstances set forth in Article 7 of this Agreement.</w:t>
      </w:r>
    </w:p>
    <w:p>
      <w:pPr>
        <w:spacing w:after="0" w:line="1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of Default</w:t>
      </w:r>
      <w:r>
        <w:rPr>
          <w:rFonts w:ascii="Times New Roman" w:cs="Times New Roman" w:eastAsia="Times New Roman" w:hAnsi="Times New Roman"/>
          <w:sz w:val="17"/>
          <w:szCs w:val="17"/>
          <w:color w:val="auto"/>
        </w:rPr>
        <w:t>” shall refer to the notice issued by the Pledgee in accordance with this Agreement declaring an Event of Default.</w:t>
      </w:r>
    </w:p>
    <w:p>
      <w:pPr>
        <w:spacing w:after="0" w:line="124" w:lineRule="exact"/>
        <w:rPr>
          <w:sz w:val="20"/>
          <w:szCs w:val="20"/>
          <w:color w:val="auto"/>
        </w:rPr>
      </w:pPr>
    </w:p>
    <w:p>
      <w:pPr>
        <w:jc w:val="both"/>
        <w:ind w:left="420" w:right="140" w:hanging="422"/>
        <w:spacing w:after="0" w:line="259" w:lineRule="auto"/>
        <w:tabs>
          <w:tab w:leader="none" w:pos="400" w:val="left"/>
        </w:tabs>
        <w:rPr>
          <w:sz w:val="20"/>
          <w:szCs w:val="20"/>
          <w:color w:val="auto"/>
        </w:rPr>
      </w:pPr>
      <w:r>
        <w:rPr>
          <w:rFonts w:ascii="Times New Roman" w:cs="Times New Roman" w:eastAsia="Times New Roman" w:hAnsi="Times New Roman"/>
          <w:sz w:val="18"/>
          <w:szCs w:val="18"/>
          <w:color w:val="auto"/>
        </w:rPr>
        <w:t>1.6</w:t>
        <w:tab/>
        <w:t>“</w:t>
      </w:r>
      <w:r>
        <w:rPr>
          <w:rFonts w:ascii="Times New Roman" w:cs="Times New Roman" w:eastAsia="Times New Roman" w:hAnsi="Times New Roman"/>
          <w:sz w:val="18"/>
          <w:szCs w:val="18"/>
          <w:b w:val="1"/>
          <w:bCs w:val="1"/>
          <w:color w:val="auto"/>
        </w:rPr>
        <w:t>Contract Obligations</w:t>
      </w:r>
      <w:r>
        <w:rPr>
          <w:rFonts w:ascii="Times New Roman" w:cs="Times New Roman" w:eastAsia="Times New Roman" w:hAnsi="Times New Roman"/>
          <w:sz w:val="18"/>
          <w:szCs w:val="18"/>
          <w:color w:val="auto"/>
        </w:rPr>
        <w:t>” shall refer to all the obligations of the Pledgors under the Exclusive Option Agreement, the Shareholder Voting Rights Entrustment Agreement, and the Loan Agreement; and all the obligations of Party C under the Transaction Agreement; and all the obligations of the Pledgors and Party C under this Agreement.</w:t>
      </w:r>
    </w:p>
    <w:p>
      <w:pPr>
        <w:spacing w:after="0" w:line="83" w:lineRule="exact"/>
        <w:rPr>
          <w:sz w:val="20"/>
          <w:szCs w:val="20"/>
          <w:color w:val="auto"/>
        </w:rPr>
      </w:pPr>
    </w:p>
    <w:p>
      <w:pPr>
        <w:ind w:left="420" w:right="200" w:hanging="422"/>
        <w:spacing w:after="0" w:line="303" w:lineRule="auto"/>
        <w:tabs>
          <w:tab w:leader="none" w:pos="40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Agreement</w:t>
      </w:r>
      <w:r>
        <w:rPr>
          <w:rFonts w:ascii="Times New Roman" w:cs="Times New Roman" w:eastAsia="Times New Roman" w:hAnsi="Times New Roman"/>
          <w:sz w:val="17"/>
          <w:szCs w:val="17"/>
          <w:color w:val="auto"/>
        </w:rPr>
        <w:t>” shall refer to this Agreement, the Business Cooperation Agreement, as well as the Exclusive Option Agreement, the Loan Agreement, and the Shareholder Voting Rights Entrustment Agreement issued by the Pledgors to the Pledgee, or one or more of them.</w:t>
      </w:r>
    </w:p>
    <w:p>
      <w:pPr>
        <w:spacing w:after="0" w:line="48" w:lineRule="exact"/>
        <w:rPr>
          <w:sz w:val="20"/>
          <w:szCs w:val="20"/>
          <w:color w:val="auto"/>
        </w:rPr>
      </w:pPr>
    </w:p>
    <w:p>
      <w:pPr>
        <w:ind w:left="420" w:hanging="422"/>
        <w:spacing w:after="0" w:line="248" w:lineRule="auto"/>
        <w:tabs>
          <w:tab w:leader="none" w:pos="400" w:val="left"/>
        </w:tabs>
        <w:rPr>
          <w:sz w:val="20"/>
          <w:szCs w:val="20"/>
          <w:color w:val="auto"/>
        </w:rPr>
      </w:pPr>
      <w:r>
        <w:rPr>
          <w:rFonts w:ascii="Times New Roman" w:cs="Times New Roman" w:eastAsia="Times New Roman" w:hAnsi="Times New Roman"/>
          <w:sz w:val="18"/>
          <w:szCs w:val="18"/>
          <w:color w:val="auto"/>
        </w:rPr>
        <w:t>1.8</w:t>
        <w:tab/>
        <w:t>“</w:t>
      </w:r>
      <w:r>
        <w:rPr>
          <w:rFonts w:ascii="Times New Roman" w:cs="Times New Roman" w:eastAsia="Times New Roman" w:hAnsi="Times New Roman"/>
          <w:sz w:val="18"/>
          <w:szCs w:val="18"/>
          <w:b w:val="1"/>
          <w:bCs w:val="1"/>
          <w:color w:val="auto"/>
        </w:rPr>
        <w:t>Secured Indebtedness</w:t>
      </w:r>
      <w:r>
        <w:rPr>
          <w:rFonts w:ascii="Times New Roman" w:cs="Times New Roman" w:eastAsia="Times New Roman" w:hAnsi="Times New Roman"/>
          <w:sz w:val="18"/>
          <w:szCs w:val="18"/>
          <w:color w:val="auto"/>
        </w:rPr>
        <w:t>” shall refer to (a) all debts that Party C owes to the Pledgee, including but not limited to consultation and service fees that Party C shall pay to the Pledgee according to the Business Cooperation Agreement (whatever on the given maturity date, ahead of time or in other ways), and the interest, liquidated damages(if any), compensation, lawyers’ fees, arbitration fees, and fees for exercising rights of pledge such as Equity Interest evaluation and auction; (b)all the direct, indirect and derivative losses and losses of anticipated profits, suffered by the Pledgee, incurred as a result of any Event of Default by the Pledgors or Party C. The amount of such loss shall be calculated in accordance with the reasonable business plan and profit forecast of the Pledgee, (c)all expenses occurred in connection with enforcement by the Pledgee of the Pledgors and/or Party C’s Contract Obligations, and (d) any loans provided by the Pledgee to the Pledgors pursuant to Article 6.9 hereunder. Subject to other terms of this Agreement (including but not limited to Article 19.1 and 19.2), the amount of credit guaranteed by Party B shall not be less than RMB1,000,000, among which the amount of credit guaranteed by Qin Miao shall not be less than RMB450,000, the amount of credit guaranteed by Yayun Li shall not be less than RMB300,000 and the amount of credit guaranteed by Pang Zhang shall not be less than RMB250,000.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560" w:top="264" w:right="599" w:bottom="1440" w:gutter="0" w:footer="0" w:header="0"/>
        </w:sectPr>
      </w:pPr>
    </w:p>
    <w:bookmarkStart w:id="426" w:name="page427"/>
    <w:bookmarkEnd w:id="426"/>
    <w:p>
      <w:pPr>
        <w:ind w:left="430" w:right="340" w:hanging="422"/>
        <w:spacing w:after="0" w:line="273"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1.9</w:t>
        <w:tab/>
        <w:t>“</w:t>
      </w:r>
      <w:r>
        <w:rPr>
          <w:rFonts w:ascii="Times New Roman" w:cs="Times New Roman" w:eastAsia="Times New Roman" w:hAnsi="Times New Roman"/>
          <w:sz w:val="18"/>
          <w:szCs w:val="18"/>
          <w:b w:val="1"/>
          <w:bCs w:val="1"/>
          <w:color w:val="auto"/>
        </w:rPr>
        <w:t>PRC laws</w:t>
      </w:r>
      <w:r>
        <w:rPr>
          <w:rFonts w:ascii="Times New Roman" w:cs="Times New Roman" w:eastAsia="Times New Roman" w:hAnsi="Times New Roman"/>
          <w:sz w:val="18"/>
          <w:szCs w:val="18"/>
          <w:color w:val="auto"/>
        </w:rPr>
        <w:t>” shall include all laws, regulations, rules, notices, interpretations or other binding documents legislated by any central or regional legislation, administrative or judicial department before or after the execution of this Agreement.</w:t>
      </w:r>
    </w:p>
    <w:p>
      <w:pPr>
        <w:spacing w:after="0" w:line="71" w:lineRule="exact"/>
        <w:rPr>
          <w:sz w:val="20"/>
          <w:szCs w:val="20"/>
          <w:color w:val="auto"/>
        </w:rPr>
      </w:pPr>
    </w:p>
    <w:p>
      <w:pPr>
        <w:ind w:left="430" w:right="1240" w:hanging="422"/>
        <w:spacing w:after="0" w:line="273"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shall include security, mortgage, third-party rights or Interest, all rights to purchase Equity Interest, rights of acquisition, pre-emptive rights, rights of set-off, retained title or other collateral arrangements.</w:t>
      </w:r>
    </w:p>
    <w:p>
      <w:pPr>
        <w:spacing w:after="0" w:line="309" w:lineRule="exact"/>
        <w:rPr>
          <w:sz w:val="20"/>
          <w:szCs w:val="20"/>
          <w:color w:val="auto"/>
        </w:rPr>
      </w:pPr>
    </w:p>
    <w:p>
      <w:pPr>
        <w:ind w:left="430" w:hanging="430"/>
        <w:spacing w:after="0"/>
        <w:tabs>
          <w:tab w:leader="none" w:pos="43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w:t>
      </w:r>
    </w:p>
    <w:p>
      <w:pPr>
        <w:spacing w:after="0" w:line="126" w:lineRule="exact"/>
        <w:rPr>
          <w:sz w:val="20"/>
          <w:szCs w:val="20"/>
          <w:color w:val="auto"/>
        </w:rPr>
      </w:pPr>
    </w:p>
    <w:p>
      <w:pPr>
        <w:ind w:left="430" w:right="2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2.1</w:t>
        <w:tab/>
        <w:t>The Pledgors hereby severally and not jointly pledge the respective Equity Interest to the Pledgee in the first order of priority to guarantee prompt and full repayment of Secured Indebtedness and performance of Contract Obligations. Party C agrees that the Pledgors may pledge the Equity Interest to the Pledgee as per this Agreement.</w:t>
      </w:r>
    </w:p>
    <w:p>
      <w:pPr>
        <w:spacing w:after="0" w:line="86" w:lineRule="exact"/>
        <w:rPr>
          <w:sz w:val="20"/>
          <w:szCs w:val="20"/>
          <w:color w:val="auto"/>
        </w:rPr>
      </w:pPr>
    </w:p>
    <w:p>
      <w:pPr>
        <w:jc w:val="both"/>
        <w:ind w:left="430" w:right="20" w:hanging="422"/>
        <w:spacing w:after="0" w:line="273" w:lineRule="auto"/>
        <w:tabs>
          <w:tab w:leader="none" w:pos="409"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All Parties understand and acknowledge that the estimated monetary value generated for Secured Indebtedness or related estimated value shall be changeable and floating until the settlement date (refer to Article 2.4 for the definition). The Pledgors and the Pledgee may adjust and confirm the maximum amount of Secured Indebtedness secured by the Equity Interest from time to time by the settlement date by revising and supplementing this Agreement with both Parties’ consent in case of any change to the estimated monetary value of Secured Indebtedness and Equity Interest.</w:t>
      </w:r>
    </w:p>
    <w:p>
      <w:pPr>
        <w:spacing w:after="0" w:line="74" w:lineRule="exact"/>
        <w:rPr>
          <w:sz w:val="20"/>
          <w:szCs w:val="20"/>
          <w:color w:val="auto"/>
        </w:rPr>
      </w:pPr>
    </w:p>
    <w:p>
      <w:pPr>
        <w:ind w:left="430" w:hanging="422"/>
        <w:spacing w:after="0" w:line="259" w:lineRule="auto"/>
        <w:tabs>
          <w:tab w:leader="none" w:pos="409" w:val="left"/>
        </w:tabs>
        <w:rPr>
          <w:sz w:val="20"/>
          <w:szCs w:val="20"/>
          <w:color w:val="auto"/>
        </w:rPr>
      </w:pPr>
      <w:r>
        <w:rPr>
          <w:rFonts w:ascii="Times New Roman" w:cs="Times New Roman" w:eastAsia="Times New Roman" w:hAnsi="Times New Roman"/>
          <w:sz w:val="18"/>
          <w:szCs w:val="18"/>
          <w:color w:val="auto"/>
        </w:rPr>
        <w:t>2.3</w:t>
        <w:tab/>
        <w:t>In any of following events (hereinafter referred to as “</w:t>
      </w:r>
      <w:r>
        <w:rPr>
          <w:rFonts w:ascii="Times New Roman" w:cs="Times New Roman" w:eastAsia="Times New Roman" w:hAnsi="Times New Roman"/>
          <w:sz w:val="18"/>
          <w:szCs w:val="18"/>
          <w:b w:val="1"/>
          <w:bCs w:val="1"/>
          <w:color w:val="auto"/>
        </w:rPr>
        <w:t>Events for Settlement</w:t>
      </w:r>
      <w:r>
        <w:rPr>
          <w:rFonts w:ascii="Times New Roman" w:cs="Times New Roman" w:eastAsia="Times New Roman" w:hAnsi="Times New Roman"/>
          <w:sz w:val="18"/>
          <w:szCs w:val="18"/>
          <w:color w:val="auto"/>
        </w:rPr>
        <w:t>”), the value of Secured Indebtedness shall be determined based on the total amount of payable guaranteed that is not paid to the Pledgee on the latest date before any event for settlement occurs or on the date of the event (hereinafter referred to as “</w:t>
      </w:r>
      <w:r>
        <w:rPr>
          <w:rFonts w:ascii="Times New Roman" w:cs="Times New Roman" w:eastAsia="Times New Roman" w:hAnsi="Times New Roman"/>
          <w:sz w:val="18"/>
          <w:szCs w:val="18"/>
          <w:b w:val="1"/>
          <w:bCs w:val="1"/>
          <w:color w:val="auto"/>
        </w:rPr>
        <w:t>Confirmed Debts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950" w:hanging="526"/>
        <w:spacing w:after="0"/>
        <w:tabs>
          <w:tab w:leader="none" w:pos="95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Cooperation Agreement has expired or has been terminated according to the relevant articles;</w:t>
      </w:r>
    </w:p>
    <w:p>
      <w:pPr>
        <w:spacing w:after="0" w:line="123" w:lineRule="exact"/>
        <w:rPr>
          <w:rFonts w:ascii="Times New Roman" w:cs="Times New Roman" w:eastAsia="Times New Roman" w:hAnsi="Times New Roman"/>
          <w:sz w:val="18"/>
          <w:szCs w:val="18"/>
          <w:color w:val="auto"/>
        </w:rPr>
      </w:pPr>
    </w:p>
    <w:p>
      <w:pPr>
        <w:ind w:left="950" w:right="500" w:hanging="526"/>
        <w:spacing w:after="0" w:line="270" w:lineRule="auto"/>
        <w:tabs>
          <w:tab w:leader="none" w:pos="95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issues a Notice of Default to the Pledgors as per Article 7.3, because any Event of Default specified in Article 7 of this Agreement has occurred and is still unsolved;</w:t>
      </w:r>
    </w:p>
    <w:p>
      <w:pPr>
        <w:spacing w:after="0" w:line="10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30"/>
          </w:cols>
          <w:pgMar w:left="550" w:top="264" w:right="619" w:bottom="1440" w:gutter="0" w:footer="0" w:header="0"/>
        </w:sectPr>
      </w:pPr>
    </w:p>
    <w:bookmarkStart w:id="427" w:name="page428"/>
    <w:bookmarkEnd w:id="427"/>
    <w:p>
      <w:pPr>
        <w:ind w:left="940" w:right="620" w:hanging="526"/>
        <w:spacing w:after="0" w:line="270" w:lineRule="auto"/>
        <w:tabs>
          <w:tab w:leader="none" w:pos="9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After proper investigation, the Pledgee reasonably determines that Party B and/or Party C have become insolvent or might become insolvent; or</w:t>
      </w:r>
    </w:p>
    <w:p>
      <w:pPr>
        <w:spacing w:after="0" w:line="76" w:lineRule="exact"/>
        <w:rPr>
          <w:rFonts w:ascii="Times New Roman" w:cs="Times New Roman" w:eastAsia="Times New Roman" w:hAnsi="Times New Roman"/>
          <w:sz w:val="18"/>
          <w:szCs w:val="18"/>
          <w:color w:val="auto"/>
        </w:rPr>
      </w:pPr>
    </w:p>
    <w:p>
      <w:pPr>
        <w:ind w:left="940" w:hanging="526"/>
        <w:spacing w:after="0"/>
        <w:tabs>
          <w:tab w:leader="none" w:pos="9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occurs, under which Secured Indebtedness shall be determined as provided by the PRC laws.</w:t>
      </w:r>
    </w:p>
    <w:p>
      <w:pPr>
        <w:spacing w:after="0" w:line="124" w:lineRule="exact"/>
        <w:rPr>
          <w:sz w:val="20"/>
          <w:szCs w:val="20"/>
          <w:color w:val="auto"/>
        </w:rPr>
      </w:pPr>
    </w:p>
    <w:p>
      <w:pPr>
        <w:ind w:left="420" w:right="660" w:hanging="422"/>
        <w:spacing w:after="0" w:line="258" w:lineRule="auto"/>
        <w:tabs>
          <w:tab w:leader="none" w:pos="400" w:val="left"/>
        </w:tabs>
        <w:rPr>
          <w:sz w:val="20"/>
          <w:szCs w:val="20"/>
          <w:color w:val="auto"/>
        </w:rPr>
      </w:pPr>
      <w:r>
        <w:rPr>
          <w:rFonts w:ascii="Times New Roman" w:cs="Times New Roman" w:eastAsia="Times New Roman" w:hAnsi="Times New Roman"/>
          <w:sz w:val="18"/>
          <w:szCs w:val="18"/>
          <w:color w:val="auto"/>
        </w:rPr>
        <w:t>2.4</w:t>
        <w:tab/>
        <w:t>To avoid ambiguity, the date on which the event for settlement occurs shall be deemed the settlement date (hereinafter referred to as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The Pledgee shall have rights to exercise the Pledge according to Article 8 at its discretion on the Settlement Date or thereafter.</w:t>
      </w:r>
    </w:p>
    <w:p>
      <w:pPr>
        <w:spacing w:after="0" w:line="86" w:lineRule="exact"/>
        <w:rPr>
          <w:sz w:val="20"/>
          <w:szCs w:val="20"/>
          <w:color w:val="auto"/>
        </w:rPr>
      </w:pPr>
    </w:p>
    <w:p>
      <w:pPr>
        <w:ind w:left="420" w:right="160" w:hanging="422"/>
        <w:spacing w:after="0" w:line="251" w:lineRule="auto"/>
        <w:tabs>
          <w:tab w:leader="none" w:pos="400" w:val="left"/>
        </w:tabs>
        <w:rPr>
          <w:sz w:val="20"/>
          <w:szCs w:val="20"/>
          <w:color w:val="auto"/>
        </w:rPr>
      </w:pPr>
      <w:r>
        <w:rPr>
          <w:rFonts w:ascii="Times New Roman" w:cs="Times New Roman" w:eastAsia="Times New Roman" w:hAnsi="Times New Roman"/>
          <w:sz w:val="18"/>
          <w:szCs w:val="18"/>
          <w:color w:val="auto"/>
        </w:rPr>
        <w:t>2.5</w:t>
        <w:tab/>
        <w:t>Within the Term of the Pledge (as defined in Article 3.1), the Pledgee shall have rights to accept any dividend, bonus or other distributable interests generated because of the Equity Interest and use it to give priority to the Pledgee. The Pledgors shall deposit or cause Party C to deposit such fructus in the account designated by the Pledgee in writing after receiving the Pledgee’s written requirements. The Pledgors shall not withdraw such fructus deposited in the account deposited in the account designated by the Pledgee in writing without the written consent of the Pledgee.</w:t>
      </w:r>
    </w:p>
    <w:p>
      <w:pPr>
        <w:spacing w:after="0" w:line="94" w:lineRule="exact"/>
        <w:rPr>
          <w:sz w:val="20"/>
          <w:szCs w:val="20"/>
          <w:color w:val="auto"/>
        </w:rPr>
      </w:pPr>
    </w:p>
    <w:p>
      <w:pPr>
        <w:ind w:left="420" w:right="20" w:hanging="422"/>
        <w:spacing w:after="0" w:line="300" w:lineRule="auto"/>
        <w:tabs>
          <w:tab w:leader="none" w:pos="4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Within the term of this Agreement, the Pledgee shall not assume any responsibility for any Equity Interest depreciation unless otherwise caused by the Pledgee’s intentions or gross negligence. In this case, the Pledgors shall have no right to make any claim or request to the Pledgee.</w:t>
      </w:r>
    </w:p>
    <w:p>
      <w:pPr>
        <w:spacing w:after="0" w:line="53" w:lineRule="exact"/>
        <w:rPr>
          <w:sz w:val="20"/>
          <w:szCs w:val="20"/>
          <w:color w:val="auto"/>
        </w:rPr>
      </w:pPr>
    </w:p>
    <w:p>
      <w:pPr>
        <w:ind w:left="420" w:right="280" w:hanging="422"/>
        <w:spacing w:after="0" w:line="273" w:lineRule="auto"/>
        <w:tabs>
          <w:tab w:leader="none" w:pos="4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Without violating Article 2.6 of this Agreement, the Pledgors agree that the Pledgee may auction or sell the Equity Interest on behalf of the Pledgors anytime provided that any value of the Equity Interest is likely to decline and thereby probably impairs the Pledgee’s Rights, and the Pledgors agree that the proceeds from such auction or sales shall be used for debt repayment or such money shall be held in escrow by a notary office of the area where the Pledgee is (All expenses thereby incurred shall be deducted from the proceeds from such auctions or sales).</w:t>
      </w:r>
    </w:p>
    <w:p>
      <w:pPr>
        <w:spacing w:after="0" w:line="76" w:lineRule="exact"/>
        <w:rPr>
          <w:sz w:val="20"/>
          <w:szCs w:val="20"/>
          <w:color w:val="auto"/>
        </w:rPr>
      </w:pPr>
    </w:p>
    <w:p>
      <w:pPr>
        <w:ind w:left="420" w:hanging="422"/>
        <w:spacing w:after="0" w:line="250" w:lineRule="auto"/>
        <w:tabs>
          <w:tab w:leader="none" w:pos="400" w:val="left"/>
        </w:tabs>
        <w:rPr>
          <w:sz w:val="20"/>
          <w:szCs w:val="20"/>
          <w:color w:val="auto"/>
        </w:rPr>
      </w:pPr>
      <w:r>
        <w:rPr>
          <w:rFonts w:ascii="Times New Roman" w:cs="Times New Roman" w:eastAsia="Times New Roman" w:hAnsi="Times New Roman"/>
          <w:sz w:val="18"/>
          <w:szCs w:val="18"/>
          <w:color w:val="auto"/>
        </w:rPr>
        <w:t>2.8</w:t>
        <w:tab/>
        <w:t>The Equity Interest pledge hereunder is a continuous guarantee. It shall be effective until full performance of all Contract Obligations and full repayment of Secured Indebtedness. The Pledgee’s exemption or tolerance of the Pledgors’ any default or the Pledgee’s late exercising of any right under the Transaction Agreement and this Agreement shall not affect the Pledgee’s subsequent rights to require the Pledgors or Party C to strictly perform the Transaction Agreement and this Agreement thereafter according to this Agreement, the relevant PRC laws and the Transaction Agreement, or affect the Pledgee’s subsequent rights against the Pledgor’s or Party C’s breach of the Transaction Agreement and/or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560" w:top="266" w:right="559" w:bottom="1440" w:gutter="0" w:footer="0" w:header="0"/>
        </w:sectPr>
      </w:pPr>
    </w:p>
    <w:bookmarkStart w:id="428" w:name="page429"/>
    <w:bookmarkEnd w:id="428"/>
    <w:p>
      <w:pPr>
        <w:ind w:left="430" w:hanging="430"/>
        <w:spacing w:after="0"/>
        <w:tabs>
          <w:tab w:leader="none" w:pos="43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Term of the Pledge</w:t>
      </w:r>
    </w:p>
    <w:p>
      <w:pPr>
        <w:spacing w:after="0" w:line="126" w:lineRule="exact"/>
        <w:rPr>
          <w:sz w:val="20"/>
          <w:szCs w:val="20"/>
          <w:color w:val="auto"/>
        </w:rPr>
      </w:pPr>
    </w:p>
    <w:p>
      <w:pPr>
        <w:ind w:left="430" w:hanging="422"/>
        <w:spacing w:after="0" w:line="263" w:lineRule="auto"/>
        <w:tabs>
          <w:tab w:leader="none" w:pos="409"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pledge shall take effect from the date of registration of the pledge of the Equity Interest under this Agreement at the registration of the industrial and commercial administration department (hereinafter referred to as the “</w:t>
      </w:r>
      <w:r>
        <w:rPr>
          <w:rFonts w:ascii="Times New Roman" w:cs="Times New Roman" w:eastAsia="Times New Roman" w:hAnsi="Times New Roman"/>
          <w:sz w:val="17"/>
          <w:szCs w:val="17"/>
          <w:b w:val="1"/>
          <w:bCs w:val="1"/>
          <w:color w:val="auto"/>
        </w:rPr>
        <w:t>Registration Authority</w:t>
      </w:r>
      <w:r>
        <w:rPr>
          <w:rFonts w:ascii="Times New Roman" w:cs="Times New Roman" w:eastAsia="Times New Roman" w:hAnsi="Times New Roman"/>
          <w:sz w:val="17"/>
          <w:szCs w:val="17"/>
          <w:color w:val="auto"/>
        </w:rPr>
        <w:t>”) of the locality of Party C. The validity period of the pledge (hereinafter referred to as the “</w:t>
      </w:r>
      <w:r>
        <w:rPr>
          <w:rFonts w:ascii="Times New Roman" w:cs="Times New Roman" w:eastAsia="Times New Roman" w:hAnsi="Times New Roman"/>
          <w:sz w:val="17"/>
          <w:szCs w:val="17"/>
          <w:b w:val="1"/>
          <w:bCs w:val="1"/>
          <w:color w:val="auto"/>
        </w:rPr>
        <w:t>Term of the Pledge</w:t>
      </w:r>
      <w:r>
        <w:rPr>
          <w:rFonts w:ascii="Times New Roman" w:cs="Times New Roman" w:eastAsia="Times New Roman" w:hAnsi="Times New Roman"/>
          <w:sz w:val="17"/>
          <w:szCs w:val="17"/>
          <w:color w:val="auto"/>
        </w:rPr>
        <w:t>”) is from the effective date mentioned above until (a) the last Secured Indebtedness and Contract Obligations guaranteed by the Pledge are fully paid and fulfilled; or(b) the Pledgee and/or the Designee shall, subject to the PRC laws, decide to purchase the entire Equity Interest of Party C held by the Pledgors in accordance with the Exclusive Option Agreement, and the Equity Interest of Party C has been transferred to the Pledgee and/or the Designee in accordance with the laws, and the Pledgee and the Designee can legally engage in the business of Party C; or(c) The Pledgee and/or the Designee decides to purchase all the assets of Party C in accordance with the Exclusive Option Agreement subject to the PRC laws, and all the assets of Party C have been transferred to the Pledgee and/or the Designee in accordance with the laws, and the Pledgee and the Designee can legally engage in the business of Party C using the above assets; or(d) The Pledgee unilaterally requests termination of this Agreement (the right of the Pledgee to terminate this Agreement is the right without any restrictive conditions, and the right is only enjoyed by the Pledgee. The Pledgors or Party C does not have the right to terminate this Agreement unilaterally); or(e) Termination in accordance with the requirements of applicable PRC laws and regulations.</w:t>
      </w:r>
    </w:p>
    <w:p>
      <w:pPr>
        <w:spacing w:after="0" w:line="86" w:lineRule="exact"/>
        <w:rPr>
          <w:sz w:val="20"/>
          <w:szCs w:val="20"/>
          <w:color w:val="auto"/>
        </w:rPr>
      </w:pPr>
    </w:p>
    <w:p>
      <w:pPr>
        <w:ind w:left="430" w:right="18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3.2</w:t>
        <w:tab/>
        <w:t>During the Term of the Pledge, if Party B and/or Party C fails to perform its Contract Obligations or pay the Secured Indebtedness (including payment of exclusive consulting or service fees according to the Business Cooperation Agreement or failure to comply with any other aspects of the Transaction Agreement), the Pledgee shall have the right but not the obligation to dispose of the Pledge in accordance with the provisions of this Agreement.</w:t>
      </w:r>
    </w:p>
    <w:p>
      <w:pPr>
        <w:spacing w:after="0" w:line="328" w:lineRule="exact"/>
        <w:rPr>
          <w:sz w:val="20"/>
          <w:szCs w:val="20"/>
          <w:color w:val="auto"/>
        </w:rPr>
      </w:pPr>
    </w:p>
    <w:p>
      <w:pPr>
        <w:ind w:left="430" w:hanging="430"/>
        <w:spacing w:after="0"/>
        <w:tabs>
          <w:tab w:leader="none" w:pos="430"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Registration</w:t>
      </w:r>
    </w:p>
    <w:p>
      <w:pPr>
        <w:spacing w:after="0" w:line="126" w:lineRule="exact"/>
        <w:rPr>
          <w:sz w:val="20"/>
          <w:szCs w:val="20"/>
          <w:color w:val="auto"/>
        </w:rPr>
      </w:pPr>
    </w:p>
    <w:p>
      <w:pPr>
        <w:ind w:left="430" w:right="140" w:hanging="422"/>
        <w:spacing w:after="0" w:line="250" w:lineRule="auto"/>
        <w:tabs>
          <w:tab w:leader="none" w:pos="409" w:val="left"/>
        </w:tabs>
        <w:rPr>
          <w:sz w:val="20"/>
          <w:szCs w:val="20"/>
          <w:color w:val="auto"/>
        </w:rPr>
      </w:pPr>
      <w:r>
        <w:rPr>
          <w:rFonts w:ascii="Times New Roman" w:cs="Times New Roman" w:eastAsia="Times New Roman" w:hAnsi="Times New Roman"/>
          <w:sz w:val="18"/>
          <w:szCs w:val="18"/>
          <w:color w:val="auto"/>
        </w:rPr>
        <w:t>4.1</w:t>
        <w:tab/>
        <w:t>The Pledgors and Party C agree and undertake that, after signing this Agreement, Party C must immediately and the Pledgors must procure Party C to immediately record the arrangements for the Equity Interest pledge hereunder on Party C’s Register of Shareholders on the date of signing this Agreement; and an application shall be submitted to the registration authority for registering the Equity Interest pledge according to the Measures for the Registration of Equity Interest Pledge at Administrative Departments for Industry and Commerce within thirty(30) days after signing this Agreement or within a longer term agreed by the Pledgee. The registration authority shall completely and accurately record matters about such Equity Interest pledge on the register of Equity Interest pledge.</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90"/>
          </w:cols>
          <w:pgMar w:left="550" w:top="264" w:right="559" w:bottom="1440" w:gutter="0" w:footer="0" w:header="0"/>
        </w:sectPr>
      </w:pPr>
    </w:p>
    <w:bookmarkStart w:id="429" w:name="page430"/>
    <w:bookmarkEnd w:id="429"/>
    <w:p>
      <w:pPr>
        <w:ind w:left="430" w:right="140" w:hanging="422"/>
        <w:spacing w:after="0" w:line="251"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4.2</w:t>
        <w:tab/>
        <w:t>Within the Term of the Pledge specified hereunder, the Pledgors shall submit original contribution certificate for the Equity Interest and the register of shareholders documenting pledge (and other documents reasonably required by the Pledgee, including but not limited to the notice on pledge registration issued by the administration for industry and commerce) to the Pledgee within one week from the completion date of the Pledge registration in accordance with above Article 4.1. The Pledgee shall keep such documents within the entire pledge term specified hereunder.</w:t>
      </w:r>
    </w:p>
    <w:p>
      <w:pPr>
        <w:spacing w:after="0" w:line="330" w:lineRule="exact"/>
        <w:rPr>
          <w:sz w:val="20"/>
          <w:szCs w:val="20"/>
          <w:color w:val="auto"/>
        </w:rPr>
      </w:pPr>
    </w:p>
    <w:p>
      <w:pPr>
        <w:ind w:left="430" w:hanging="430"/>
        <w:spacing w:after="0"/>
        <w:tabs>
          <w:tab w:leader="none" w:pos="43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Pledgors and Party C</w:t>
      </w:r>
    </w:p>
    <w:p>
      <w:pPr>
        <w:spacing w:after="0" w:line="110"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Pledgors severally and not jointly represent and warrant to the Pledgee as the following Article 5.1 to 5.13:</w:t>
      </w:r>
    </w:p>
    <w:p>
      <w:pPr>
        <w:spacing w:after="0" w:line="126" w:lineRule="exact"/>
        <w:rPr>
          <w:sz w:val="20"/>
          <w:szCs w:val="20"/>
          <w:color w:val="auto"/>
        </w:rPr>
      </w:pPr>
    </w:p>
    <w:p>
      <w:pPr>
        <w:ind w:left="430" w:right="44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5.1</w:t>
        <w:tab/>
        <w:t>The Pledgor has complete and independent legal status and capacity under the law of the place of registration. Besides, the Pledgor has been legitimately authorized to sign, deliver and perform this Agreement. The Pledgor may be an independent subject of litigations.</w:t>
      </w:r>
    </w:p>
    <w:p>
      <w:pPr>
        <w:spacing w:after="0" w:line="76" w:lineRule="exact"/>
        <w:rPr>
          <w:sz w:val="20"/>
          <w:szCs w:val="20"/>
          <w:color w:val="auto"/>
        </w:rPr>
      </w:pPr>
    </w:p>
    <w:p>
      <w:pPr>
        <w:ind w:left="430" w:right="20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5.2</w:t>
        <w:tab/>
        <w:t>The Pledgor is the sole legal owner and beneficiary of the Equity Interest. The Pledgor has full rights and power to pledge the Equity Interest to the Pledgee according to this Agreement, while the Pledgor shall be also authorized to dispose of the Equity Interest and any part of the Equity Interest. Unless the Pledgor and the Pledgee additionally enter into an agreement, the Pledgor shall possess the legitimate and full title of the Equity Interest.</w:t>
      </w:r>
    </w:p>
    <w:p>
      <w:pPr>
        <w:spacing w:after="0" w:line="92" w:lineRule="exact"/>
        <w:rPr>
          <w:sz w:val="20"/>
          <w:szCs w:val="20"/>
          <w:color w:val="auto"/>
        </w:rPr>
      </w:pPr>
    </w:p>
    <w:p>
      <w:pPr>
        <w:ind w:left="43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5.3</w:t>
        <w:tab/>
        <w:t>Except as otherwise provided in the Transaction Agreement, the Pledgee shall have rights to dispose and transfer the Equity Interest in accordance with this Agreement.</w:t>
      </w:r>
    </w:p>
    <w:p>
      <w:pPr>
        <w:spacing w:after="0" w:line="76" w:lineRule="exact"/>
        <w:rPr>
          <w:sz w:val="20"/>
          <w:szCs w:val="20"/>
          <w:color w:val="auto"/>
        </w:rPr>
      </w:pPr>
    </w:p>
    <w:p>
      <w:pPr>
        <w:ind w:left="430" w:right="12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5.4</w:t>
        <w:tab/>
        <w:t>Except as otherwise provided in the Pledge or the Transaction Agreement, the Pledgor doesn’t set any security interest or other encumbrances on the Equity Interest. There is no dispute on the Equity Interest’s ownership, outstanding tax or fee on the Equity Interest. The ownership of the Equity Interest isn’t detained or subject to restraints of other legal proceedings or similar threats and can be pledged and transferred according to applicable laws.</w:t>
      </w:r>
    </w:p>
    <w:p>
      <w:pPr>
        <w:spacing w:after="0" w:line="92" w:lineRule="exact"/>
        <w:rPr>
          <w:sz w:val="20"/>
          <w:szCs w:val="20"/>
          <w:color w:val="auto"/>
        </w:rPr>
      </w:pPr>
    </w:p>
    <w:p>
      <w:pPr>
        <w:ind w:left="430" w:right="14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5.5</w:t>
        <w:tab/>
        <w:t>The Pledgor’s signing of this Agreement or exercising of any right hereunder or performance of obligations hereunder will not violate or go against any laws, regulations, court awards, arbitration authority’s awards, administrative authorities’ decisions, agreements or contracts binding upon the Pledgor’s assets under which the Pledgor is party, or any commitments that the Pledgor makes to any third party.</w:t>
      </w:r>
    </w:p>
    <w:p>
      <w:pPr>
        <w:spacing w:after="0" w:line="11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50"/>
          </w:cols>
          <w:pgMar w:left="550" w:top="266" w:right="599" w:bottom="1440" w:gutter="0" w:footer="0" w:header="0"/>
        </w:sectPr>
      </w:pPr>
    </w:p>
    <w:bookmarkStart w:id="430" w:name="page431"/>
    <w:bookmarkEnd w:id="430"/>
    <w:p>
      <w:pPr>
        <w:ind w:left="420" w:right="160" w:hanging="422"/>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5.6</w:t>
        <w:tab/>
        <w:t>All documents, materials, statements and vouchers that the Pledgor offers to the Pledgee shall be accurate, true, complete and effective no matter if they are offered before or after this agreement takes effect or within the pledge term.</w:t>
      </w:r>
    </w:p>
    <w:p>
      <w:pPr>
        <w:spacing w:after="0" w:line="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This Agreement shall constitute lawful, valid and binding obligations on the Pledgor after it is appropriately executed by the Pledgor.</w:t>
      </w:r>
    </w:p>
    <w:p>
      <w:pPr>
        <w:spacing w:after="0" w:line="124" w:lineRule="exact"/>
        <w:rPr>
          <w:sz w:val="20"/>
          <w:szCs w:val="20"/>
          <w:color w:val="auto"/>
        </w:rPr>
      </w:pPr>
    </w:p>
    <w:p>
      <w:pPr>
        <w:ind w:left="420" w:hanging="422"/>
        <w:spacing w:after="0" w:line="270" w:lineRule="auto"/>
        <w:tabs>
          <w:tab w:leader="none" w:pos="400" w:val="left"/>
        </w:tabs>
        <w:rPr>
          <w:sz w:val="20"/>
          <w:szCs w:val="20"/>
          <w:color w:val="auto"/>
        </w:rPr>
      </w:pPr>
      <w:r>
        <w:rPr>
          <w:rFonts w:ascii="Times New Roman" w:cs="Times New Roman" w:eastAsia="Times New Roman" w:hAnsi="Times New Roman"/>
          <w:sz w:val="18"/>
          <w:szCs w:val="18"/>
          <w:color w:val="auto"/>
        </w:rPr>
        <w:t>5.8</w:t>
        <w:tab/>
        <w:t>The Pledgor has full rights and authorities to sign and deliver this Agreement and all other documents on aforementioned transactions hereunder to be executed. In addition, the Pledgor has full rights and authorities to complete such transactions.</w:t>
      </w:r>
    </w:p>
    <w:p>
      <w:pPr>
        <w:spacing w:after="0" w:line="76" w:lineRule="exact"/>
        <w:rPr>
          <w:sz w:val="20"/>
          <w:szCs w:val="20"/>
          <w:color w:val="auto"/>
        </w:rPr>
      </w:pPr>
    </w:p>
    <w:p>
      <w:pPr>
        <w:ind w:left="420" w:right="120" w:hanging="422"/>
        <w:spacing w:after="0" w:line="253" w:lineRule="auto"/>
        <w:tabs>
          <w:tab w:leader="none" w:pos="400" w:val="left"/>
        </w:tabs>
        <w:rPr>
          <w:sz w:val="20"/>
          <w:szCs w:val="20"/>
          <w:color w:val="auto"/>
        </w:rPr>
      </w:pPr>
      <w:r>
        <w:rPr>
          <w:rFonts w:ascii="Times New Roman" w:cs="Times New Roman" w:eastAsia="Times New Roman" w:hAnsi="Times New Roman"/>
          <w:sz w:val="18"/>
          <w:szCs w:val="18"/>
          <w:color w:val="auto"/>
        </w:rPr>
        <w:t>5.9</w:t>
        <w:tab/>
        <w:t>Apart from registering the Equity Interest pledge with a registration authority, any third party’s consent, permission, waiver or authorization, or any government organization’s approval, permission or exemption, or registration or filing formalities handled with any government agency, which are necessary for signing and performing this Agreement and making the Equity Interest pledge effective hereunder, have been obtained or handled, and will keep fully effective within the term of this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  The pledge hereunder constitutes the first Security Interest upon the Equity Interest under this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All taxes and fees for obtaining the Equity Interest have been fully paid by the Pledgor.</w:t>
      </w:r>
    </w:p>
    <w:p>
      <w:pPr>
        <w:spacing w:after="0" w:line="124" w:lineRule="exact"/>
        <w:rPr>
          <w:sz w:val="20"/>
          <w:szCs w:val="20"/>
          <w:color w:val="auto"/>
        </w:rPr>
      </w:pPr>
    </w:p>
    <w:p>
      <w:pPr>
        <w:ind w:left="420" w:right="140" w:hanging="422"/>
        <w:spacing w:after="0" w:line="273" w:lineRule="auto"/>
        <w:rPr>
          <w:sz w:val="20"/>
          <w:szCs w:val="20"/>
          <w:color w:val="auto"/>
        </w:rPr>
      </w:pPr>
      <w:r>
        <w:rPr>
          <w:rFonts w:ascii="Times New Roman" w:cs="Times New Roman" w:eastAsia="Times New Roman" w:hAnsi="Times New Roman"/>
          <w:sz w:val="17"/>
          <w:szCs w:val="17"/>
          <w:color w:val="auto"/>
        </w:rPr>
        <w:t>5.12 The Pledgor, or its property or Equity Interest is not subject to any outstanding lawsuits, legal proceedings or requests or those that are known by the Pledgor to be threatening from any court or arbitration tribunal. Besides, the Pledgor, or its property or Equity Interest is not subject to any of such lawsuits, legal proceedings or requests from any government agency or administrative authority. There is no material or adverse impacts imposed upon the Pledgor’s economic conditions or abilities to fulfill obligations and perform the guarantee responsibilities hereunder.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5.13  Unless otherwise specified hereunder, the Pledgee shall not be hindered from exercising its rights as Pledgee hereunder anywhere and anytime.</w:t>
      </w:r>
    </w:p>
    <w:p>
      <w:pPr>
        <w:spacing w:after="0" w:line="124" w:lineRule="exact"/>
        <w:rPr>
          <w:sz w:val="20"/>
          <w:szCs w:val="20"/>
          <w:color w:val="auto"/>
        </w:rPr>
      </w:pPr>
    </w:p>
    <w:p>
      <w:pPr>
        <w:ind w:left="420" w:right="40" w:hanging="422"/>
        <w:spacing w:after="0" w:line="258" w:lineRule="auto"/>
        <w:rPr>
          <w:sz w:val="20"/>
          <w:szCs w:val="20"/>
          <w:color w:val="auto"/>
        </w:rPr>
      </w:pPr>
      <w:r>
        <w:rPr>
          <w:rFonts w:ascii="Times New Roman" w:cs="Times New Roman" w:eastAsia="Times New Roman" w:hAnsi="Times New Roman"/>
          <w:sz w:val="18"/>
          <w:szCs w:val="18"/>
          <w:color w:val="auto"/>
        </w:rPr>
        <w:t>5.14 The Pledgors severally and not jointly warrant to the Pledgee that the representations and warranties as stated in the above Article 5.1 to 5.13 shall be true, correct, accurate, complete and fully obeyed anytime under all circumstances before all Contract Obligations are fulfilled or the Secured Indebtedness are fully repaid.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80"/>
          </w:cols>
          <w:pgMar w:left="560" w:top="266" w:right="559" w:bottom="1440" w:gutter="0" w:footer="0" w:header="0"/>
        </w:sectPr>
      </w:pPr>
    </w:p>
    <w:bookmarkStart w:id="431" w:name="page432"/>
    <w:bookmarkEnd w:id="431"/>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Party C represents and warrants to the Pledgee as follows:</w:t>
      </w:r>
    </w:p>
    <w:p>
      <w:pPr>
        <w:spacing w:after="0" w:line="126" w:lineRule="exact"/>
        <w:rPr>
          <w:sz w:val="20"/>
          <w:szCs w:val="20"/>
          <w:color w:val="auto"/>
        </w:rPr>
      </w:pPr>
    </w:p>
    <w:p>
      <w:pPr>
        <w:ind w:left="420" w:hanging="422"/>
        <w:spacing w:after="0" w:line="253" w:lineRule="auto"/>
        <w:rPr>
          <w:sz w:val="20"/>
          <w:szCs w:val="20"/>
          <w:color w:val="auto"/>
        </w:rPr>
      </w:pPr>
      <w:r>
        <w:rPr>
          <w:rFonts w:ascii="Times New Roman" w:cs="Times New Roman" w:eastAsia="Times New Roman" w:hAnsi="Times New Roman"/>
          <w:sz w:val="18"/>
          <w:szCs w:val="18"/>
          <w:color w:val="auto"/>
        </w:rPr>
        <w:t>5.15 Party C is a limited liability company lawfully incorporated and validly existing under the PRC laws. Being qualified as independent legal entity, it may act as independent subject of litigation. Formally registered with a competent administration for industry and commerce, Party C has passed all previous annual reports or lawfully submitted the annual reports. With complete and independent legal status and standing, Party C has been appropriately authorized to sign, deliver and perform this Agreement.</w:t>
      </w:r>
    </w:p>
    <w:p>
      <w:pPr>
        <w:spacing w:after="0" w:line="92" w:lineRule="exact"/>
        <w:rPr>
          <w:sz w:val="20"/>
          <w:szCs w:val="20"/>
          <w:color w:val="auto"/>
        </w:rPr>
      </w:pPr>
    </w:p>
    <w:p>
      <w:pPr>
        <w:ind w:left="420" w:right="380" w:hanging="422"/>
        <w:spacing w:after="0" w:line="270" w:lineRule="auto"/>
        <w:rPr>
          <w:sz w:val="20"/>
          <w:szCs w:val="20"/>
          <w:color w:val="auto"/>
        </w:rPr>
      </w:pPr>
      <w:r>
        <w:rPr>
          <w:rFonts w:ascii="Times New Roman" w:cs="Times New Roman" w:eastAsia="Times New Roman" w:hAnsi="Times New Roman"/>
          <w:sz w:val="18"/>
          <w:szCs w:val="18"/>
          <w:color w:val="auto"/>
        </w:rPr>
        <w:t>5.16 This contract shall constitute legitimate, effective and binding obligations upon Party C after it is appropriately executed by Party C and takes effect.</w:t>
      </w:r>
    </w:p>
    <w:p>
      <w:pPr>
        <w:spacing w:after="0" w:line="76" w:lineRule="exact"/>
        <w:rPr>
          <w:sz w:val="20"/>
          <w:szCs w:val="20"/>
          <w:color w:val="auto"/>
        </w:rPr>
      </w:pPr>
    </w:p>
    <w:p>
      <w:pPr>
        <w:ind w:left="420" w:right="180" w:hanging="422"/>
        <w:spacing w:after="0" w:line="270" w:lineRule="auto"/>
        <w:rPr>
          <w:sz w:val="20"/>
          <w:szCs w:val="20"/>
          <w:color w:val="auto"/>
        </w:rPr>
      </w:pPr>
      <w:r>
        <w:rPr>
          <w:rFonts w:ascii="Times New Roman" w:cs="Times New Roman" w:eastAsia="Times New Roman" w:hAnsi="Times New Roman"/>
          <w:sz w:val="18"/>
          <w:szCs w:val="18"/>
          <w:color w:val="auto"/>
        </w:rPr>
        <w:t>5.17 Party C owns the full power and authorities to sign and deliver this agreement and all other documents related to transactions hereunder. Party C also owns the full power and authorities to complete such transactions.</w:t>
      </w:r>
    </w:p>
    <w:p>
      <w:pPr>
        <w:spacing w:after="0" w:line="76" w:lineRule="exact"/>
        <w:rPr>
          <w:sz w:val="20"/>
          <w:szCs w:val="20"/>
          <w:color w:val="auto"/>
        </w:rPr>
      </w:pPr>
    </w:p>
    <w:p>
      <w:pPr>
        <w:ind w:left="420" w:right="200" w:hanging="422"/>
        <w:spacing w:after="0" w:line="258" w:lineRule="auto"/>
        <w:rPr>
          <w:sz w:val="20"/>
          <w:szCs w:val="20"/>
          <w:color w:val="auto"/>
        </w:rPr>
      </w:pPr>
      <w:r>
        <w:rPr>
          <w:rFonts w:ascii="Times New Roman" w:cs="Times New Roman" w:eastAsia="Times New Roman" w:hAnsi="Times New Roman"/>
          <w:sz w:val="18"/>
          <w:szCs w:val="18"/>
          <w:color w:val="auto"/>
        </w:rPr>
        <w:t>5.18 There is no material Security Interest or other encumbrances which might affect the Pledgee’s Rights or Interest in Equity Interest, including but not limited to transfer of any of Party C’s intellectual property or any assets with a worth no less than RMB500,000 (or any other amount separately agreed by the Pledgee and the Pledgors), or any encumbrance in property or rights to use such assets.</w:t>
      </w:r>
    </w:p>
    <w:p>
      <w:pPr>
        <w:spacing w:after="0" w:line="86" w:lineRule="exact"/>
        <w:rPr>
          <w:sz w:val="20"/>
          <w:szCs w:val="20"/>
          <w:color w:val="auto"/>
        </w:rPr>
      </w:pPr>
    </w:p>
    <w:p>
      <w:pPr>
        <w:ind w:left="420" w:hanging="422"/>
        <w:spacing w:after="0" w:line="251" w:lineRule="auto"/>
        <w:rPr>
          <w:sz w:val="20"/>
          <w:szCs w:val="20"/>
          <w:color w:val="auto"/>
        </w:rPr>
      </w:pPr>
      <w:r>
        <w:rPr>
          <w:rFonts w:ascii="Times New Roman" w:cs="Times New Roman" w:eastAsia="Times New Roman" w:hAnsi="Times New Roman"/>
          <w:sz w:val="18"/>
          <w:szCs w:val="18"/>
          <w:color w:val="auto"/>
        </w:rPr>
        <w:t>5.19 The Equity Interest, or Party C or its assets are not subject to any outstanding lawsuits, arbitrations or other legal proceedings or those known to be threatening by Party C from any court or arbitration tribunal. Besides, the Pledgor, or its property or Equity Interest is not subject to any of such lawsuits, arbitrations or legal proceedings from any government agency or administrative authority. There is no material or adverse impacts imposed upon Party C’s economic conditions or the Pledgor’s or Party C’s abilities to perform the obligations and guarantee responsibilities hereunder.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Party C hereby agrees to assume joint liability for the Pledgors’ representations and warranties under this Agreement.</w:t>
      </w:r>
    </w:p>
    <w:p>
      <w:pPr>
        <w:spacing w:after="0" w:line="124" w:lineRule="exact"/>
        <w:rPr>
          <w:sz w:val="20"/>
          <w:szCs w:val="20"/>
          <w:color w:val="auto"/>
        </w:rPr>
      </w:pPr>
    </w:p>
    <w:p>
      <w:pPr>
        <w:ind w:left="420" w:right="80" w:hanging="422"/>
        <w:spacing w:after="0" w:line="280" w:lineRule="auto"/>
        <w:rPr>
          <w:sz w:val="20"/>
          <w:szCs w:val="20"/>
          <w:color w:val="auto"/>
        </w:rPr>
      </w:pPr>
      <w:r>
        <w:rPr>
          <w:rFonts w:ascii="Times New Roman" w:cs="Times New Roman" w:eastAsia="Times New Roman" w:hAnsi="Times New Roman"/>
          <w:sz w:val="17"/>
          <w:szCs w:val="17"/>
          <w:color w:val="auto"/>
        </w:rPr>
        <w:t>5.21 Party C’s signing of this Agreement and exercising of its rights hereunder or fulfillment of its obligations under this Agreement will not violate or conflict with any laws, rules, any court judgments, any arbitration authority’s awards, any administrative authority’s decisions, any agreement or contract under which Party C is bound as a party or its assets are bound, or any commitment that Party C makes to any third party.</w:t>
      </w:r>
    </w:p>
    <w:p>
      <w:pPr>
        <w:spacing w:after="0" w:line="69" w:lineRule="exact"/>
        <w:rPr>
          <w:sz w:val="20"/>
          <w:szCs w:val="20"/>
          <w:color w:val="auto"/>
        </w:rPr>
      </w:pPr>
    </w:p>
    <w:p>
      <w:pPr>
        <w:ind w:left="420" w:right="60" w:hanging="422"/>
        <w:spacing w:after="0" w:line="270" w:lineRule="auto"/>
        <w:rPr>
          <w:sz w:val="20"/>
          <w:szCs w:val="20"/>
          <w:color w:val="auto"/>
        </w:rPr>
      </w:pPr>
      <w:r>
        <w:rPr>
          <w:rFonts w:ascii="Times New Roman" w:cs="Times New Roman" w:eastAsia="Times New Roman" w:hAnsi="Times New Roman"/>
          <w:sz w:val="18"/>
          <w:szCs w:val="18"/>
          <w:color w:val="auto"/>
        </w:rPr>
        <w:t>5.22 All documents, materials, statements and proofs that Party C provides to the Pledgee shall be accurate, true, complete and valid no matter whether they are provided before or after this Agreement takes effects within the Term of the Pledge.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80"/>
          </w:cols>
          <w:pgMar w:left="560" w:top="264" w:right="559" w:bottom="1440" w:gutter="0" w:footer="0" w:header="0"/>
        </w:sectPr>
      </w:pPr>
    </w:p>
    <w:bookmarkStart w:id="432" w:name="page433"/>
    <w:bookmarkEnd w:id="432"/>
    <w:p>
      <w:pPr>
        <w:ind w:left="430" w:right="280" w:hanging="42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5.23 Apart from registering the Equity Interest pledge with a registration authority, any third party’s consent, permission, waiver or authorization, or any government organization’s approval, permission or exemption, or registration or filing formalities handled with any government agency, which are necessary for signing and performing this contract and making the Equity Interest pledge effective hereunder, have been obtained or handled, and will continue to be effective within the term of this Agreement.</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5.24  The pledge hereunder constitutes the first lien secured Interest upon the Equity Interest under this Agreement.</w:t>
      </w:r>
    </w:p>
    <w:p>
      <w:pPr>
        <w:spacing w:after="0" w:line="124" w:lineRule="exact"/>
        <w:rPr>
          <w:sz w:val="20"/>
          <w:szCs w:val="20"/>
          <w:color w:val="auto"/>
        </w:rPr>
      </w:pPr>
    </w:p>
    <w:p>
      <w:pPr>
        <w:ind w:left="430" w:right="100" w:hanging="422"/>
        <w:spacing w:after="0" w:line="258" w:lineRule="auto"/>
        <w:rPr>
          <w:sz w:val="20"/>
          <w:szCs w:val="20"/>
          <w:color w:val="auto"/>
        </w:rPr>
      </w:pPr>
      <w:r>
        <w:rPr>
          <w:rFonts w:ascii="Times New Roman" w:cs="Times New Roman" w:eastAsia="Times New Roman" w:hAnsi="Times New Roman"/>
          <w:sz w:val="18"/>
          <w:szCs w:val="18"/>
          <w:color w:val="auto"/>
        </w:rPr>
        <w:t>5.25 Party C hereby undertakes to the Pledgee that all the above representations and warranties shall be true and correct under any circumstance at any time before all Contract Obligations are performed or the Secured Indebtedness is fully repaid, and Party C will completely abide by such representations and warranties.</w:t>
      </w:r>
    </w:p>
    <w:p>
      <w:pPr>
        <w:spacing w:after="0" w:line="322" w:lineRule="exact"/>
        <w:rPr>
          <w:sz w:val="20"/>
          <w:szCs w:val="20"/>
          <w:color w:val="auto"/>
        </w:rPr>
      </w:pPr>
    </w:p>
    <w:p>
      <w:pPr>
        <w:ind w:left="430" w:hanging="430"/>
        <w:spacing w:after="0"/>
        <w:tabs>
          <w:tab w:leader="none" w:pos="43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Undertakings and Further Consents of the Pledgors and Party C</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Within the term of this Agreement, the Pledgors shall hereby severally and not jointly undertake to the Pledgee that:</w:t>
      </w:r>
    </w:p>
    <w:p>
      <w:pPr>
        <w:spacing w:after="0" w:line="124" w:lineRule="exact"/>
        <w:rPr>
          <w:sz w:val="20"/>
          <w:szCs w:val="20"/>
          <w:color w:val="auto"/>
        </w:rPr>
      </w:pPr>
    </w:p>
    <w:p>
      <w:pPr>
        <w:jc w:val="both"/>
        <w:ind w:left="950" w:right="60" w:hanging="528"/>
        <w:spacing w:after="0" w:line="266" w:lineRule="auto"/>
        <w:tabs>
          <w:tab w:leader="none" w:pos="929"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color w:val="auto"/>
        </w:rPr>
        <w:t>Except for performing the Exclusive Option Agreement or other Transaction Agreements, the Pledgor shall not transfer or permit others to transfer the Equity Interest in whole or in part, impose or permit others to impose any new pledge, Security Interest or other encumbrance on the Equity Interest which might affect the Pledgee and Interest in the Equity Interest without the prior written consent of the Pledgee.</w:t>
      </w:r>
    </w:p>
    <w:p>
      <w:pPr>
        <w:spacing w:after="0" w:line="2" w:lineRule="exact"/>
        <w:rPr>
          <w:sz w:val="20"/>
          <w:szCs w:val="20"/>
          <w:color w:val="auto"/>
        </w:rPr>
      </w:pPr>
    </w:p>
    <w:p>
      <w:pPr>
        <w:ind w:left="950" w:right="220"/>
        <w:spacing w:after="0" w:line="247" w:lineRule="auto"/>
        <w:rPr>
          <w:sz w:val="20"/>
          <w:szCs w:val="20"/>
          <w:color w:val="auto"/>
        </w:rPr>
      </w:pPr>
      <w:r>
        <w:rPr>
          <w:rFonts w:ascii="Times New Roman" w:cs="Times New Roman" w:eastAsia="Times New Roman" w:hAnsi="Times New Roman"/>
          <w:sz w:val="18"/>
          <w:szCs w:val="18"/>
          <w:color w:val="auto"/>
        </w:rPr>
        <w:t>For the Equity Interest transfer performed with the Pledgee’s written consent, the Pledgor shall firstly use the proceeds from such Equity Interest transfer for repaying Secured Indebtedness to the Pledgee or hold the proceeds in escrow by a third person designated by the Pledgee.</w:t>
      </w:r>
    </w:p>
    <w:p>
      <w:pPr>
        <w:spacing w:after="0" w:line="97" w:lineRule="exact"/>
        <w:rPr>
          <w:sz w:val="20"/>
          <w:szCs w:val="20"/>
          <w:color w:val="auto"/>
        </w:rPr>
      </w:pPr>
    </w:p>
    <w:p>
      <w:pPr>
        <w:ind w:left="950" w:hanging="528"/>
        <w:spacing w:after="0" w:line="253" w:lineRule="auto"/>
        <w:tabs>
          <w:tab w:leader="none" w:pos="929" w:val="left"/>
        </w:tabs>
        <w:rPr>
          <w:sz w:val="20"/>
          <w:szCs w:val="20"/>
          <w:color w:val="auto"/>
        </w:rPr>
      </w:pPr>
      <w:r>
        <w:rPr>
          <w:rFonts w:ascii="Times New Roman" w:cs="Times New Roman" w:eastAsia="Times New Roman" w:hAnsi="Times New Roman"/>
          <w:sz w:val="18"/>
          <w:szCs w:val="18"/>
          <w:color w:val="auto"/>
        </w:rPr>
        <w:t>6.1.2</w:t>
        <w:tab/>
        <w:t>The Pledgor must obey and exercise all laws, rules and regulations applicable to the Pledge. Within five(5) days after receiving any notice, order or suggestion on the Pledge from related competent authorities (or any other related departments), the Pledgor shall show the Pledgee such notices, orders or suggestions, or bring forth objections or statements regarding them according to the Pledgee’s reasonable requirements or with the Pledgee’s consent.</w:t>
      </w:r>
    </w:p>
    <w:p>
      <w:pPr>
        <w:spacing w:after="0" w:line="92" w:lineRule="exact"/>
        <w:rPr>
          <w:sz w:val="20"/>
          <w:szCs w:val="20"/>
          <w:color w:val="auto"/>
        </w:rPr>
      </w:pPr>
    </w:p>
    <w:p>
      <w:pPr>
        <w:ind w:left="950" w:hanging="528"/>
        <w:spacing w:after="0" w:line="248" w:lineRule="auto"/>
        <w:tabs>
          <w:tab w:leader="none" w:pos="929" w:val="left"/>
        </w:tabs>
        <w:rPr>
          <w:sz w:val="20"/>
          <w:szCs w:val="20"/>
          <w:color w:val="auto"/>
        </w:rPr>
      </w:pPr>
      <w:r>
        <w:rPr>
          <w:rFonts w:ascii="Times New Roman" w:cs="Times New Roman" w:eastAsia="Times New Roman" w:hAnsi="Times New Roman"/>
          <w:sz w:val="18"/>
          <w:szCs w:val="18"/>
          <w:color w:val="auto"/>
        </w:rPr>
        <w:t>6.1.3</w:t>
        <w:tab/>
        <w:t>The Pledgor shall immediately notify the Pledgee of all events which might affect the Pledgee, the Equity Interest, or any rights of it, or any events affecting the Interest under the Transaction Agreement and this Agreement (including but not limited to any lawsuit, arbitration, other requests, any third party’s dispute over the Equity Interest title, any civil or criminal/administrative proceedings, arbitrations or any other legal proceedings filed against the Pledgor or Equity Interest when the Pledgee’s Pledge is or might be subject to any third party’s adverse impacts, or potential threats of confronting any aforementioned lawsuit, arbitration or legal proceeding judged by the Pledgor), notices received by the Pledgor, and any event which might affect any warranties or obligations of the Pledgor under this Agreement, and take all necessary measures to protect the Pledgee’s Rights and Interest in the pledged Equity Interest according to the Pledgee’s reasonable requirements.</w:t>
      </w:r>
    </w:p>
    <w:p>
      <w:pPr>
        <w:spacing w:after="0" w:line="1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90"/>
          </w:cols>
          <w:pgMar w:left="550" w:top="266" w:right="559" w:bottom="1440" w:gutter="0" w:footer="0" w:header="0"/>
        </w:sectPr>
      </w:pPr>
    </w:p>
    <w:bookmarkStart w:id="433" w:name="page434"/>
    <w:bookmarkEnd w:id="433"/>
    <w:p>
      <w:pPr>
        <w:ind w:left="380" w:right="360" w:hanging="422"/>
        <w:spacing w:after="0" w:line="270" w:lineRule="auto"/>
        <w:tabs>
          <w:tab w:leader="none" w:pos="3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6.2</w:t>
        <w:tab/>
        <w:t>The Pledgors severally and not jointly agree that the Pledgee’s exercise of the Pledge hereunder shall not be interrupted by the Pledgor or any successor or representative of the Pledgor or any others through legal proceedings.</w:t>
      </w:r>
    </w:p>
    <w:p>
      <w:pPr>
        <w:spacing w:after="0" w:line="76" w:lineRule="exact"/>
        <w:rPr>
          <w:sz w:val="20"/>
          <w:szCs w:val="20"/>
          <w:color w:val="auto"/>
        </w:rPr>
      </w:pPr>
    </w:p>
    <w:p>
      <w:pPr>
        <w:ind w:left="380" w:hanging="422"/>
        <w:spacing w:after="0" w:line="248" w:lineRule="auto"/>
        <w:tabs>
          <w:tab w:leader="none" w:pos="360" w:val="left"/>
        </w:tabs>
        <w:rPr>
          <w:sz w:val="20"/>
          <w:szCs w:val="20"/>
          <w:color w:val="auto"/>
        </w:rPr>
      </w:pPr>
      <w:r>
        <w:rPr>
          <w:rFonts w:ascii="Times New Roman" w:cs="Times New Roman" w:eastAsia="Times New Roman" w:hAnsi="Times New Roman"/>
          <w:sz w:val="18"/>
          <w:szCs w:val="18"/>
          <w:color w:val="auto"/>
        </w:rPr>
        <w:t>6.3</w:t>
        <w:tab/>
        <w:t>To protect or improve the Security Interest granted for repaying Secured Indebtedness and performing Contract Obligations, and ensure the Pledgee’s exercise of the Security Interest over the pledged Equity Interest and such rights, Party C shall immediately and the Pledgors shall cause Party C to register the Equity Interest pledge hereunder with related registration authority within thirty (30) days after signing this Agreement or within a longer period agreed by the Pledgee. Besides, the Pledgors shall appropriately sign and cause other Parties concerned in the Equity Interest pledge to sign all documents designated by the Pledgee (including but not limited to the supplemental agreement of this agreement), certificates, agreements, deeds and/or undertakings. The Pledgors also undertake to take and cause other Parties concerned in the Equity Interest pledge to take actions required by the Pledgee, assist the Pledgee in exercising its rights and authorities hereunder, and sign all related documents regarding the Equity Interest title with the Pledgee or the party designated by the Pledgee. The Pledgors undertake to provide the Pledgee with all notices, orders and decisions on the Pledge within reasonable deadlines at the Pledgee’s request.</w:t>
      </w:r>
    </w:p>
    <w:p>
      <w:pPr>
        <w:spacing w:after="0" w:line="98" w:lineRule="exact"/>
        <w:rPr>
          <w:sz w:val="20"/>
          <w:szCs w:val="20"/>
          <w:color w:val="auto"/>
        </w:rPr>
      </w:pPr>
    </w:p>
    <w:p>
      <w:pPr>
        <w:ind w:left="380" w:right="140" w:hanging="422"/>
        <w:spacing w:after="0" w:line="253" w:lineRule="auto"/>
        <w:tabs>
          <w:tab w:leader="none" w:pos="360" w:val="left"/>
        </w:tabs>
        <w:rPr>
          <w:sz w:val="20"/>
          <w:szCs w:val="20"/>
          <w:color w:val="auto"/>
        </w:rPr>
      </w:pPr>
      <w:r>
        <w:rPr>
          <w:rFonts w:ascii="Times New Roman" w:cs="Times New Roman" w:eastAsia="Times New Roman" w:hAnsi="Times New Roman"/>
          <w:sz w:val="18"/>
          <w:szCs w:val="18"/>
          <w:color w:val="auto"/>
        </w:rPr>
        <w:t>6.4</w:t>
        <w:tab/>
        <w:t>The Pledgors hereby severally and not jointly undertake to the Pledgee to obey and perform all warranties, undertakings, agreements, statements and requirements under this Agreement. Subject to other terms of this Agreement (including but not limited to Article 19.2), the Pledgors shall compensate the Pledgee all losses thereby incurred if the Pledgors fail to perform or only partially perform their warranties, undertakings, agreements, statements and requirements hereunder.</w:t>
      </w:r>
    </w:p>
    <w:p>
      <w:pPr>
        <w:spacing w:after="0" w:line="92" w:lineRule="exact"/>
        <w:rPr>
          <w:sz w:val="20"/>
          <w:szCs w:val="20"/>
          <w:color w:val="auto"/>
        </w:rPr>
      </w:pPr>
    </w:p>
    <w:p>
      <w:pPr>
        <w:ind w:left="380" w:right="220" w:hanging="422"/>
        <w:spacing w:after="0" w:line="258" w:lineRule="auto"/>
        <w:tabs>
          <w:tab w:leader="none" w:pos="360" w:val="left"/>
        </w:tabs>
        <w:rPr>
          <w:sz w:val="20"/>
          <w:szCs w:val="20"/>
          <w:color w:val="auto"/>
        </w:rPr>
      </w:pPr>
      <w:r>
        <w:rPr>
          <w:rFonts w:ascii="Times New Roman" w:cs="Times New Roman" w:eastAsia="Times New Roman" w:hAnsi="Times New Roman"/>
          <w:sz w:val="18"/>
          <w:szCs w:val="18"/>
          <w:color w:val="auto"/>
        </w:rPr>
        <w:t>6.5</w:t>
        <w:tab/>
        <w:t>The Pledgors (severally and not jointly) shall make every effort (including offering other guarantees to the court or taking other measures to rescind the court’s or other departments’ coercive measures against the Equity Interest) in case that any court or other government agency takes any compulsory measures against the Equity Interest pledged hereunder.</w:t>
      </w:r>
    </w:p>
    <w:p>
      <w:pPr>
        <w:spacing w:after="0" w:line="86" w:lineRule="exact"/>
        <w:rPr>
          <w:sz w:val="20"/>
          <w:szCs w:val="20"/>
          <w:color w:val="auto"/>
        </w:rPr>
      </w:pPr>
    </w:p>
    <w:p>
      <w:pPr>
        <w:ind w:left="380" w:right="60" w:hanging="422"/>
        <w:spacing w:after="0" w:line="251" w:lineRule="auto"/>
        <w:tabs>
          <w:tab w:leader="none" w:pos="360" w:val="left"/>
        </w:tabs>
        <w:rPr>
          <w:sz w:val="20"/>
          <w:szCs w:val="20"/>
          <w:color w:val="auto"/>
        </w:rPr>
      </w:pPr>
      <w:r>
        <w:rPr>
          <w:rFonts w:ascii="Times New Roman" w:cs="Times New Roman" w:eastAsia="Times New Roman" w:hAnsi="Times New Roman"/>
          <w:sz w:val="18"/>
          <w:szCs w:val="18"/>
          <w:color w:val="auto"/>
        </w:rPr>
        <w:t>6.6</w:t>
        <w:tab/>
        <w:t>Subject to other terms of this Agreement (including but not limited to Articles 19.1 and 19.2), if the Equity Interest is concerned in any property preservation or compulsory enforcement, or is likely to depreciate or be loss to impair the Pledge, the Pledgors shall immediately inform the Pledgee of such circumstances in writing, and cooperatively take effective measures for protecting the Pledge and Interest together with the Pledgee. The Pledgee may auction or sell the Equity Interest anytime, and firstly use the proceeds from such auction or sales for advance Secured Indebtedness repayment or drawing. All expenses thereby incurred shall be borne by the Pledgor.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00"/>
          </w:cols>
          <w:pgMar w:left="600" w:top="266" w:right="599" w:bottom="1440" w:gutter="0" w:footer="0" w:header="0"/>
        </w:sectPr>
      </w:pPr>
    </w:p>
    <w:bookmarkStart w:id="434" w:name="page435"/>
    <w:bookmarkEnd w:id="434"/>
    <w:p>
      <w:pPr>
        <w:ind w:left="420" w:right="60" w:hanging="422"/>
        <w:spacing w:after="0" w:line="247"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6.7</w:t>
        <w:tab/>
        <w:t>Without the prior written consent of the Pledgee, the Pledgors (severally and not jointly) and/or Party C shall not by themselves (or assisting others to) increase, reduce or transfer Party C’s registered capital (or their amount of contributions to Party C), or impose any encumbrance on the registered capital (including the Equity Interest). On the premise of following this provision, Party C’s equity that the Pledgors register and obtain after the signing date of this Agreement (hereinafter referred to as the “</w:t>
      </w:r>
      <w:r>
        <w:rPr>
          <w:rFonts w:ascii="Times New Roman" w:cs="Times New Roman" w:eastAsia="Times New Roman" w:hAnsi="Times New Roman"/>
          <w:sz w:val="18"/>
          <w:szCs w:val="18"/>
          <w:b w:val="1"/>
          <w:bCs w:val="1"/>
          <w:color w:val="auto"/>
        </w:rPr>
        <w:t>Extra Equity Interest</w:t>
      </w:r>
      <w:r>
        <w:rPr>
          <w:rFonts w:ascii="Times New Roman" w:cs="Times New Roman" w:eastAsia="Times New Roman" w:hAnsi="Times New Roman"/>
          <w:sz w:val="18"/>
          <w:szCs w:val="18"/>
          <w:color w:val="auto"/>
        </w:rPr>
        <w:t>”) and corresponding capital stock of such Equity Interest in Party C’s registered capital must be also deemed the Equity Interest that the Pledgors pledge to the Pledgee in accordance with this Agreement. The Pledgors and Party C shall immediately enter into a supplementary share pledge agreement on the Extra Equity Interest with the Pledgee at the time of obtaining such extra Equity Interest, request Party C’s Board of Directors to approve the supplementary share pledge agreement. Besides, they shall offer the Pledgee all necessary documents for signing the supplementary share pledge agreement, including but not limited to the original capital contribution certificate on such extra Equity Interest issued by Party C. The Pledgor and Party C shall handle formalities for registering the pledge of such extra Equity Interest (or changes) in accordance with Article 4.1 of this Agreement, and deliver related documents to the Pledgee for safekeeping according to Article 4.2 of this Agreement.</w:t>
      </w:r>
    </w:p>
    <w:p>
      <w:pPr>
        <w:spacing w:after="0" w:line="102" w:lineRule="exact"/>
        <w:rPr>
          <w:sz w:val="20"/>
          <w:szCs w:val="20"/>
          <w:color w:val="auto"/>
        </w:rPr>
      </w:pPr>
    </w:p>
    <w:p>
      <w:pPr>
        <w:ind w:left="420" w:right="100" w:hanging="422"/>
        <w:spacing w:after="0" w:line="251" w:lineRule="auto"/>
        <w:tabs>
          <w:tab w:leader="none" w:pos="400" w:val="left"/>
        </w:tabs>
        <w:rPr>
          <w:sz w:val="20"/>
          <w:szCs w:val="20"/>
          <w:color w:val="auto"/>
        </w:rPr>
      </w:pPr>
      <w:r>
        <w:rPr>
          <w:rFonts w:ascii="Times New Roman" w:cs="Times New Roman" w:eastAsia="Times New Roman" w:hAnsi="Times New Roman"/>
          <w:sz w:val="18"/>
          <w:szCs w:val="18"/>
          <w:color w:val="auto"/>
        </w:rPr>
        <w:t>6.8</w:t>
        <w:tab/>
        <w:t>Unless otherwise instructed by the Pledgee in writing in advance, the Pledgors (severally and not jointly) and/or Party C agree that if the Equity Interest are transferred between the Pledgors and any third party (hereinafter referred to as the “</w:t>
      </w:r>
      <w:r>
        <w:rPr>
          <w:rFonts w:ascii="Times New Roman" w:cs="Times New Roman" w:eastAsia="Times New Roman" w:hAnsi="Times New Roman"/>
          <w:sz w:val="18"/>
          <w:szCs w:val="18"/>
          <w:b w:val="1"/>
          <w:bCs w:val="1"/>
          <w:color w:val="auto"/>
        </w:rPr>
        <w:t>Equity Interest Assignee</w:t>
      </w:r>
      <w:r>
        <w:rPr>
          <w:rFonts w:ascii="Times New Roman" w:cs="Times New Roman" w:eastAsia="Times New Roman" w:hAnsi="Times New Roman"/>
          <w:sz w:val="18"/>
          <w:szCs w:val="18"/>
          <w:color w:val="auto"/>
        </w:rPr>
        <w:t>”) against this Agreement in part or in whole, the Pledgee and/or Party C shall ensure that the Equity Interest Assignee unconditionally admits the Pledge and handles the necessary formalities for registering the pledge changes (including but not limited to signing related documents) in order to guarantee survival of the Pledge.</w:t>
      </w:r>
    </w:p>
    <w:p>
      <w:pPr>
        <w:spacing w:after="0" w:line="94" w:lineRule="exact"/>
        <w:rPr>
          <w:sz w:val="20"/>
          <w:szCs w:val="20"/>
          <w:color w:val="auto"/>
        </w:rPr>
      </w:pPr>
    </w:p>
    <w:p>
      <w:pPr>
        <w:jc w:val="both"/>
        <w:ind w:left="420" w:right="80" w:hanging="422"/>
        <w:spacing w:after="0" w:line="280" w:lineRule="auto"/>
        <w:tabs>
          <w:tab w:leader="none" w:pos="40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If the Pledgee provides loans to Party C, the Pledgors (severally and not jointly) and/or Party C agree to grant the Pledgee the Pledge by pledging the Equity Interest as collateral, in order to guarantee the loan, and handle related formalities as soon as possible according to laws, regulations or local practices (if any), including but not limited to signing related documents and handling formalities for registering pledge or pledge changes.</w:t>
      </w:r>
    </w:p>
    <w:p>
      <w:pPr>
        <w:spacing w:after="0" w:line="69" w:lineRule="exact"/>
        <w:rPr>
          <w:sz w:val="20"/>
          <w:szCs w:val="20"/>
          <w:color w:val="auto"/>
        </w:rPr>
      </w:pPr>
    </w:p>
    <w:p>
      <w:pPr>
        <w:ind w:left="420" w:hanging="422"/>
        <w:spacing w:after="0" w:line="300" w:lineRule="auto"/>
        <w:rPr>
          <w:sz w:val="20"/>
          <w:szCs w:val="20"/>
          <w:color w:val="auto"/>
        </w:rPr>
      </w:pPr>
      <w:r>
        <w:rPr>
          <w:rFonts w:ascii="Times New Roman" w:cs="Times New Roman" w:eastAsia="Times New Roman" w:hAnsi="Times New Roman"/>
          <w:sz w:val="17"/>
          <w:szCs w:val="17"/>
          <w:color w:val="auto"/>
        </w:rPr>
        <w:t>6.10 The Pledgors shall not or allow anyone to take any actions which might have adverse effects on the Pledge or Equity Interest under the Transaction Agreement and this Agreement. Hereby, the Pledgors irrevocably waiver the preemptive rights when the Pledgee exercises the Pledge.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560" w:top="266" w:right="579" w:bottom="1440" w:gutter="0" w:footer="0" w:header="0"/>
        </w:sectPr>
      </w:pPr>
    </w:p>
    <w:bookmarkStart w:id="435" w:name="page436"/>
    <w:bookmarkEnd w:id="435"/>
    <w:p>
      <w:pPr>
        <w:ind w:left="420" w:right="80" w:hanging="422"/>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6.11 When it is necessary to transfer any Equity Interest for exercising the Pledge hereunder, the Pledgors undertake to make such transfer possible by taking all measures to the extent permitted by the PRC laws.</w:t>
      </w:r>
    </w:p>
    <w:p>
      <w:pPr>
        <w:spacing w:after="0" w:line="76" w:lineRule="exact"/>
        <w:rPr>
          <w:sz w:val="20"/>
          <w:szCs w:val="20"/>
          <w:color w:val="auto"/>
        </w:rPr>
      </w:pPr>
    </w:p>
    <w:p>
      <w:pPr>
        <w:ind w:left="420" w:right="380" w:hanging="422"/>
        <w:spacing w:after="0" w:line="270" w:lineRule="auto"/>
        <w:rPr>
          <w:sz w:val="20"/>
          <w:szCs w:val="20"/>
          <w:color w:val="auto"/>
        </w:rPr>
      </w:pPr>
      <w:r>
        <w:rPr>
          <w:rFonts w:ascii="Times New Roman" w:cs="Times New Roman" w:eastAsia="Times New Roman" w:hAnsi="Times New Roman"/>
          <w:sz w:val="18"/>
          <w:szCs w:val="18"/>
          <w:color w:val="auto"/>
        </w:rPr>
        <w:t>6.12 The Pledgors ensure that Party C shall not provide a loan or obtain a loan, or provide guarantees in any forms, or be liable for any substantial obligations except in the ordinary business and operation;</w:t>
      </w:r>
    </w:p>
    <w:p>
      <w:pPr>
        <w:spacing w:after="0" w:line="76" w:lineRule="exact"/>
        <w:rPr>
          <w:sz w:val="20"/>
          <w:szCs w:val="20"/>
          <w:color w:val="auto"/>
        </w:rPr>
      </w:pPr>
    </w:p>
    <w:p>
      <w:pPr>
        <w:jc w:val="both"/>
        <w:ind w:left="420" w:right="40" w:hanging="422"/>
        <w:spacing w:after="0" w:line="258" w:lineRule="auto"/>
        <w:rPr>
          <w:sz w:val="20"/>
          <w:szCs w:val="20"/>
          <w:color w:val="auto"/>
        </w:rPr>
      </w:pPr>
      <w:r>
        <w:rPr>
          <w:rFonts w:ascii="Times New Roman" w:cs="Times New Roman" w:eastAsia="Times New Roman" w:hAnsi="Times New Roman"/>
          <w:sz w:val="18"/>
          <w:szCs w:val="18"/>
          <w:color w:val="auto"/>
        </w:rPr>
        <w:t>6.13 The Pledgors shall ensure that the procedures for convening meetings and ways for voting/making decisions by the Board of Directors for signing this Agreement, imposing the Pledge and exercising the Pledge do not violate laws, administrative regulations or Party C’s articles of associations and joint venture contract.</w:t>
      </w:r>
    </w:p>
    <w:p>
      <w:pPr>
        <w:spacing w:after="0" w:line="86" w:lineRule="exact"/>
        <w:rPr>
          <w:sz w:val="20"/>
          <w:szCs w:val="20"/>
          <w:color w:val="auto"/>
        </w:rPr>
      </w:pPr>
    </w:p>
    <w:p>
      <w:pPr>
        <w:jc w:val="right"/>
        <w:ind w:right="440"/>
        <w:spacing w:after="0" w:line="300" w:lineRule="auto"/>
        <w:rPr>
          <w:sz w:val="20"/>
          <w:szCs w:val="20"/>
          <w:color w:val="auto"/>
        </w:rPr>
      </w:pPr>
      <w:r>
        <w:rPr>
          <w:rFonts w:ascii="Times New Roman" w:cs="Times New Roman" w:eastAsia="Times New Roman" w:hAnsi="Times New Roman"/>
          <w:sz w:val="17"/>
          <w:szCs w:val="17"/>
          <w:color w:val="auto"/>
        </w:rPr>
        <w:t>6.14  Before the Contract Obligations are fulfilled and the Secured Indebtedness is fully repaid, the Pledgors shall not abandon the Equity Interest pledged to the Pledgee herein, and/or abandon the fructus generated for holding such Equity Interest, including but not limited to dividends.</w:t>
      </w:r>
    </w:p>
    <w:p>
      <w:pPr>
        <w:spacing w:after="0" w:line="53" w:lineRule="exact"/>
        <w:rPr>
          <w:sz w:val="20"/>
          <w:szCs w:val="20"/>
          <w:color w:val="auto"/>
        </w:rPr>
      </w:pPr>
    </w:p>
    <w:p>
      <w:pPr>
        <w:ind w:left="420" w:right="180" w:hanging="422"/>
        <w:spacing w:after="0" w:line="270" w:lineRule="auto"/>
        <w:rPr>
          <w:sz w:val="20"/>
          <w:szCs w:val="20"/>
          <w:color w:val="auto"/>
        </w:rPr>
      </w:pPr>
      <w:r>
        <w:rPr>
          <w:rFonts w:ascii="Times New Roman" w:cs="Times New Roman" w:eastAsia="Times New Roman" w:hAnsi="Times New Roman"/>
          <w:sz w:val="18"/>
          <w:szCs w:val="18"/>
          <w:color w:val="auto"/>
        </w:rPr>
        <w:t>6.15 Before all Contract Obligations are fulfilled and the Secured Indebtedness is fully repaid, the Pledgors shall not allow Party C to transfer, sell or dispose of any of its assets in any other way through any resolution without the Pledgee’s prior written consent.</w:t>
      </w:r>
    </w:p>
    <w:p>
      <w:pPr>
        <w:spacing w:after="0" w:line="76" w:lineRule="exact"/>
        <w:rPr>
          <w:sz w:val="20"/>
          <w:szCs w:val="20"/>
          <w:color w:val="auto"/>
        </w:rPr>
      </w:pPr>
    </w:p>
    <w:p>
      <w:pPr>
        <w:ind w:left="420" w:right="180" w:hanging="422"/>
        <w:spacing w:after="0" w:line="270" w:lineRule="auto"/>
        <w:rPr>
          <w:sz w:val="20"/>
          <w:szCs w:val="20"/>
          <w:color w:val="auto"/>
        </w:rPr>
      </w:pPr>
      <w:r>
        <w:rPr>
          <w:rFonts w:ascii="Times New Roman" w:cs="Times New Roman" w:eastAsia="Times New Roman" w:hAnsi="Times New Roman"/>
          <w:sz w:val="18"/>
          <w:szCs w:val="18"/>
          <w:color w:val="auto"/>
        </w:rPr>
        <w:t>6.16 The Pledgors as shareholders of Party C shall not abuse their shareholder rights to damage Party C’s interests. If there is a situation in which the Pledgors abuse the shareholder rights, the Pledgee has the right to exercise the Purchase Right under the Exclusive Option Agreement.</w:t>
      </w:r>
    </w:p>
    <w:p>
      <w:pPr>
        <w:spacing w:after="0" w:line="76" w:lineRule="exact"/>
        <w:rPr>
          <w:sz w:val="20"/>
          <w:szCs w:val="20"/>
          <w:color w:val="auto"/>
        </w:rPr>
      </w:pPr>
    </w:p>
    <w:p>
      <w:pPr>
        <w:ind w:left="420" w:hanging="422"/>
        <w:spacing w:after="0" w:line="253" w:lineRule="auto"/>
        <w:rPr>
          <w:sz w:val="20"/>
          <w:szCs w:val="20"/>
          <w:color w:val="auto"/>
        </w:rPr>
      </w:pPr>
      <w:r>
        <w:rPr>
          <w:rFonts w:ascii="Times New Roman" w:cs="Times New Roman" w:eastAsia="Times New Roman" w:hAnsi="Times New Roman"/>
          <w:sz w:val="18"/>
          <w:szCs w:val="18"/>
          <w:color w:val="auto"/>
        </w:rPr>
        <w:t>6.17 If any revision, supplementation or update of this Agreement cannot take effect until the corresponding procedures for examination/approval and/or registration of pledge changes are completed as stipulated by applicable laws, Party C shall, and Party B shall take all necessary measures to cooperate with Party C to register such changes with the relevant registration authorities within five (5) days of the revision, supplementation or update.</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Party C undertakes and further agrees that:</w:t>
      </w:r>
    </w:p>
    <w:p>
      <w:pPr>
        <w:spacing w:after="0" w:line="126" w:lineRule="exact"/>
        <w:rPr>
          <w:sz w:val="20"/>
          <w:szCs w:val="20"/>
          <w:color w:val="auto"/>
        </w:rPr>
      </w:pPr>
    </w:p>
    <w:p>
      <w:pPr>
        <w:ind w:left="420" w:right="60" w:hanging="422"/>
        <w:spacing w:after="0" w:line="251" w:lineRule="auto"/>
        <w:rPr>
          <w:sz w:val="20"/>
          <w:szCs w:val="20"/>
          <w:color w:val="auto"/>
        </w:rPr>
      </w:pPr>
      <w:r>
        <w:rPr>
          <w:rFonts w:ascii="Times New Roman" w:cs="Times New Roman" w:eastAsia="Times New Roman" w:hAnsi="Times New Roman"/>
          <w:sz w:val="18"/>
          <w:szCs w:val="18"/>
          <w:color w:val="auto"/>
        </w:rPr>
        <w:t>6.18 If any third party’s consent, permission, waiver or authorization or any government organization’s approval, permission or exemption or registration or filing with any government organizations are necessary for signing/performing this Agreement and pledging the Equity Interest hereunder, Party C shall try its best to assist in handling such formalities and keep them fully effective within the term of this Agreement. Party C shall handle registration formalities for extending its business term if it expires within the term of this Agreement, in order to maintain effectiveness of this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40"/>
          </w:cols>
          <w:pgMar w:left="560" w:top="267" w:right="599" w:bottom="1440" w:gutter="0" w:footer="0" w:header="0"/>
        </w:sectPr>
      </w:pPr>
    </w:p>
    <w:bookmarkStart w:id="436" w:name="page437"/>
    <w:bookmarkEnd w:id="436"/>
    <w:p>
      <w:pPr>
        <w:ind w:left="420" w:hanging="422"/>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6.19 Without the Pledgee’s prior written consent, Party C shall not help or allow the Pledgors to impose any new pledge on Equity Interest, or authorize any other Security Interest or encumbrances, or help or permit the Pledgors to transfer the Equity Interest.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Party C agrees to strictly perform the obligations under articles 6.3, 6.7, 6.8, 6.9, 6.11, 6.12, 6.14 and 6.15 under this Agreement.</w:t>
      </w:r>
    </w:p>
    <w:p>
      <w:pPr>
        <w:spacing w:after="0" w:line="124" w:lineRule="exact"/>
        <w:rPr>
          <w:sz w:val="20"/>
          <w:szCs w:val="20"/>
          <w:color w:val="auto"/>
        </w:rPr>
      </w:pPr>
    </w:p>
    <w:p>
      <w:pPr>
        <w:ind w:left="420" w:hanging="422"/>
        <w:spacing w:after="0" w:line="253" w:lineRule="auto"/>
        <w:rPr>
          <w:sz w:val="20"/>
          <w:szCs w:val="20"/>
          <w:color w:val="auto"/>
        </w:rPr>
      </w:pPr>
      <w:r>
        <w:rPr>
          <w:rFonts w:ascii="Times New Roman" w:cs="Times New Roman" w:eastAsia="Times New Roman" w:hAnsi="Times New Roman"/>
          <w:sz w:val="18"/>
          <w:szCs w:val="18"/>
          <w:color w:val="auto"/>
        </w:rPr>
        <w:t>6.21 Without the Pledgee’s prior written consent, Party C shall not transfer or sell Party C’s assets or impose or allow others to impose any Security Interest or other encumbrances which might impact the Pledgee’s Equity Interest rights and interests, including but not limited to transfer of any of Party C’s intellectual property or any assets with a worth of no less than RMB500,000 (or any other amount separately agreed by the Pledgee and the Pledgors) or any encumbrance in property or rights to use such assets.</w:t>
      </w:r>
    </w:p>
    <w:p>
      <w:pPr>
        <w:spacing w:after="0" w:line="92" w:lineRule="exact"/>
        <w:rPr>
          <w:sz w:val="20"/>
          <w:szCs w:val="20"/>
          <w:color w:val="auto"/>
        </w:rPr>
      </w:pPr>
    </w:p>
    <w:p>
      <w:pPr>
        <w:ind w:left="420" w:right="80" w:hanging="422"/>
        <w:spacing w:after="0" w:line="258" w:lineRule="auto"/>
        <w:rPr>
          <w:sz w:val="20"/>
          <w:szCs w:val="20"/>
          <w:color w:val="auto"/>
        </w:rPr>
      </w:pPr>
      <w:r>
        <w:rPr>
          <w:rFonts w:ascii="Times New Roman" w:cs="Times New Roman" w:eastAsia="Times New Roman" w:hAnsi="Times New Roman"/>
          <w:sz w:val="18"/>
          <w:szCs w:val="18"/>
          <w:color w:val="auto"/>
        </w:rPr>
        <w:t>6.22 When there is any lawsuit, arbitration or other request which might have adverse impacts upon interests of Party C, Equity Interest or the Pledgee under the Transaction Agreement and this Agreement, Party C undertakes to promptly notify the Pledgee in writing, and take all necessary measures for protecting the Pledgee’s pledge rights over the pledged Equity Interest according to the Pledgee’s reasonable requests.</w:t>
      </w:r>
    </w:p>
    <w:p>
      <w:pPr>
        <w:spacing w:after="0" w:line="86" w:lineRule="exact"/>
        <w:rPr>
          <w:sz w:val="20"/>
          <w:szCs w:val="20"/>
          <w:color w:val="auto"/>
        </w:rPr>
      </w:pPr>
    </w:p>
    <w:p>
      <w:pPr>
        <w:ind w:left="420" w:right="160" w:hanging="422"/>
        <w:spacing w:after="0" w:line="270" w:lineRule="auto"/>
        <w:rPr>
          <w:sz w:val="20"/>
          <w:szCs w:val="20"/>
          <w:color w:val="auto"/>
        </w:rPr>
      </w:pPr>
      <w:r>
        <w:rPr>
          <w:rFonts w:ascii="Times New Roman" w:cs="Times New Roman" w:eastAsia="Times New Roman" w:hAnsi="Times New Roman"/>
          <w:sz w:val="18"/>
          <w:szCs w:val="18"/>
          <w:color w:val="auto"/>
        </w:rPr>
        <w:t>6.23 Party C shall not or allow anyone to take any actions which might have adverse impacts upon the Pledgee’s interests or Equity Interest under the Transaction Agreement and this Agreement.</w:t>
      </w:r>
    </w:p>
    <w:p>
      <w:pPr>
        <w:spacing w:after="0" w:line="76" w:lineRule="exact"/>
        <w:rPr>
          <w:sz w:val="20"/>
          <w:szCs w:val="20"/>
          <w:color w:val="auto"/>
        </w:rPr>
      </w:pPr>
    </w:p>
    <w:p>
      <w:pPr>
        <w:ind w:left="420" w:right="320" w:hanging="422"/>
        <w:spacing w:after="0" w:line="270" w:lineRule="auto"/>
        <w:rPr>
          <w:sz w:val="20"/>
          <w:szCs w:val="20"/>
          <w:color w:val="auto"/>
        </w:rPr>
      </w:pPr>
      <w:r>
        <w:rPr>
          <w:rFonts w:ascii="Times New Roman" w:cs="Times New Roman" w:eastAsia="Times New Roman" w:hAnsi="Times New Roman"/>
          <w:sz w:val="18"/>
          <w:szCs w:val="18"/>
          <w:color w:val="auto"/>
        </w:rPr>
        <w:t>6.24 Party C shall provide the Pledgee with financial statements of the preceding quarter of the Gregorian calendar (including but not limited to the balance sheet, income statement and cash flow statement) within the first month of each quarter of the Gregorian calendar.</w:t>
      </w:r>
    </w:p>
    <w:p>
      <w:pPr>
        <w:spacing w:after="0" w:line="76" w:lineRule="exact"/>
        <w:rPr>
          <w:sz w:val="20"/>
          <w:szCs w:val="20"/>
          <w:color w:val="auto"/>
        </w:rPr>
      </w:pPr>
    </w:p>
    <w:p>
      <w:pPr>
        <w:ind w:left="420" w:hanging="422"/>
        <w:spacing w:after="0" w:line="270" w:lineRule="auto"/>
        <w:rPr>
          <w:sz w:val="20"/>
          <w:szCs w:val="20"/>
          <w:color w:val="auto"/>
        </w:rPr>
      </w:pPr>
      <w:r>
        <w:rPr>
          <w:rFonts w:ascii="Times New Roman" w:cs="Times New Roman" w:eastAsia="Times New Roman" w:hAnsi="Times New Roman"/>
          <w:sz w:val="18"/>
          <w:szCs w:val="18"/>
          <w:color w:val="auto"/>
        </w:rPr>
        <w:t>6.25 Party C undertakes to take all necessary measures and sign all necessary documents in accordance with the reasonable requirements of the Pledgee so as to protect the Pledgee’s pledge rights and interests in the pledged Equity Interest, exercise and realize such rights and interests.</w:t>
      </w:r>
    </w:p>
    <w:p>
      <w:pPr>
        <w:spacing w:after="0" w:line="76" w:lineRule="exact"/>
        <w:rPr>
          <w:sz w:val="20"/>
          <w:szCs w:val="20"/>
          <w:color w:val="auto"/>
        </w:rPr>
      </w:pPr>
    </w:p>
    <w:p>
      <w:pPr>
        <w:ind w:left="420" w:right="180" w:hanging="422"/>
        <w:spacing w:after="0" w:line="270" w:lineRule="auto"/>
        <w:rPr>
          <w:sz w:val="20"/>
          <w:szCs w:val="20"/>
          <w:color w:val="auto"/>
        </w:rPr>
      </w:pPr>
      <w:r>
        <w:rPr>
          <w:rFonts w:ascii="Times New Roman" w:cs="Times New Roman" w:eastAsia="Times New Roman" w:hAnsi="Times New Roman"/>
          <w:sz w:val="18"/>
          <w:szCs w:val="18"/>
          <w:color w:val="auto"/>
        </w:rPr>
        <w:t>6.26 When it is necessary to transfer any Equity Interest for exercising of the Pledge hereunder, Party C undertakes to make such transfer possible by taking all measures.</w:t>
      </w:r>
    </w:p>
    <w:p>
      <w:pPr>
        <w:spacing w:after="0" w:line="76" w:lineRule="exact"/>
        <w:rPr>
          <w:sz w:val="20"/>
          <w:szCs w:val="20"/>
          <w:color w:val="auto"/>
        </w:rPr>
      </w:pPr>
    </w:p>
    <w:p>
      <w:pPr>
        <w:ind w:left="420" w:right="120" w:hanging="422"/>
        <w:spacing w:after="0" w:line="258" w:lineRule="auto"/>
        <w:rPr>
          <w:sz w:val="20"/>
          <w:szCs w:val="20"/>
          <w:color w:val="auto"/>
        </w:rPr>
      </w:pPr>
      <w:r>
        <w:rPr>
          <w:rFonts w:ascii="Times New Roman" w:cs="Times New Roman" w:eastAsia="Times New Roman" w:hAnsi="Times New Roman"/>
          <w:sz w:val="18"/>
          <w:szCs w:val="18"/>
          <w:color w:val="auto"/>
        </w:rPr>
        <w:t>6.27 In the event of the pledgor’s death, incapacity, marriage, divorce, bankruptcy, liquidation, dissolution or other circumstances which might impact its exercising of Party C’s Equity Interest, the Pledgor’s successor, or Party C’s current shareholder or assignee shall be deemed as party of this Agreement to inherit/bear all of the Pledgor’s rights and obligations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60"/>
          </w:cols>
          <w:pgMar w:left="560" w:top="266" w:right="579" w:bottom="1440" w:gutter="0" w:footer="0" w:header="0"/>
        </w:sectPr>
      </w:pPr>
    </w:p>
    <w:bookmarkStart w:id="437" w:name="page438"/>
    <w:bookmarkEnd w:id="437"/>
    <w:p>
      <w:pPr>
        <w:ind w:left="430" w:right="180" w:hanging="42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6.28 This Agreement shall be terminated if Party C is required to be dissolved or liquidated by the PRC laws; Party C shall (and Party B shall allow Party C) shall transfer all its assets including the Equity Interest to Party A without charge or at the minimum prices and within the limits permitted by the current PRC laws, or the current liquidator shall dispose of all Party C’s assets including the Equity Interest at its discretion for the purpose of protecting interests of shareholders and/or creditors of Party A’s direct or indirect parents overseas.</w:t>
      </w:r>
    </w:p>
    <w:p>
      <w:pPr>
        <w:spacing w:after="0" w:line="92" w:lineRule="exact"/>
        <w:rPr>
          <w:sz w:val="20"/>
          <w:szCs w:val="20"/>
          <w:color w:val="auto"/>
        </w:rPr>
      </w:pPr>
    </w:p>
    <w:p>
      <w:pPr>
        <w:ind w:left="430" w:right="200" w:hanging="422"/>
        <w:spacing w:after="0" w:line="270" w:lineRule="auto"/>
        <w:rPr>
          <w:sz w:val="20"/>
          <w:szCs w:val="20"/>
          <w:color w:val="auto"/>
        </w:rPr>
      </w:pPr>
      <w:r>
        <w:rPr>
          <w:rFonts w:ascii="Times New Roman" w:cs="Times New Roman" w:eastAsia="Times New Roman" w:hAnsi="Times New Roman"/>
          <w:sz w:val="18"/>
          <w:szCs w:val="18"/>
          <w:color w:val="auto"/>
        </w:rPr>
        <w:t>6.29 All Parties undertake to each other that they shall terminate this Agreement immediately once the Pledgee is permitted by the PRC laws and the Pledgee decides to purchase all of Party C’s Equity Interest from the Pledgors in accordance with the Exclusive Option Agreement.</w:t>
      </w:r>
    </w:p>
    <w:p>
      <w:pPr>
        <w:spacing w:after="0" w:line="312" w:lineRule="exact"/>
        <w:rPr>
          <w:sz w:val="20"/>
          <w:szCs w:val="20"/>
          <w:color w:val="auto"/>
        </w:rPr>
      </w:pPr>
    </w:p>
    <w:p>
      <w:pPr>
        <w:ind w:left="430" w:hanging="430"/>
        <w:spacing w:after="0"/>
        <w:tabs>
          <w:tab w:leader="none" w:pos="43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of Default</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All of following circumstances shall be deemed Event of Default:</w:t>
      </w:r>
    </w:p>
    <w:p>
      <w:pPr>
        <w:spacing w:after="0" w:line="124" w:lineRule="exact"/>
        <w:rPr>
          <w:sz w:val="20"/>
          <w:szCs w:val="20"/>
          <w:color w:val="auto"/>
        </w:rPr>
      </w:pPr>
    </w:p>
    <w:p>
      <w:pPr>
        <w:ind w:left="950" w:right="14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t>7.1.1</w:t>
        <w:tab/>
        <w:t>The Pledgors violate or fail to perform any Contract Obligations under the Exclusive Option Agreement, the Shareholder Voting Rights Entrustment Agreement, the Loan Agreement and/or this Agreement; Party C violates or fails to perform any Contract Obligations under the Transaction Agreement and/or this Agreement;</w:t>
      </w:r>
    </w:p>
    <w:p>
      <w:pPr>
        <w:spacing w:after="0" w:line="86" w:lineRule="exact"/>
        <w:rPr>
          <w:sz w:val="20"/>
          <w:szCs w:val="20"/>
          <w:color w:val="auto"/>
        </w:rPr>
      </w:pPr>
    </w:p>
    <w:p>
      <w:pPr>
        <w:jc w:val="center"/>
        <w:ind w:left="800" w:right="180"/>
        <w:spacing w:after="0" w:line="270" w:lineRule="auto"/>
        <w:rPr>
          <w:sz w:val="20"/>
          <w:szCs w:val="20"/>
          <w:color w:val="auto"/>
        </w:rPr>
      </w:pPr>
      <w:r>
        <w:rPr>
          <w:rFonts w:ascii="Times New Roman" w:cs="Times New Roman" w:eastAsia="Times New Roman" w:hAnsi="Times New Roman"/>
          <w:sz w:val="18"/>
          <w:szCs w:val="18"/>
          <w:color w:val="auto"/>
        </w:rPr>
        <w:t>7.1.2  Any representation or warranty made by the Pledgors under Article 5 of this Agreement contain material misstatements or errors, and/or the Pledgors violate any warranty under Article 5 of this Agreement, and/or any undertakings under Article 6 of this Agreement;</w:t>
      </w:r>
    </w:p>
    <w:p>
      <w:pPr>
        <w:spacing w:after="0" w:line="7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Party C fails or Party B fails to assist Party C to register Equity Interest pledge with related registration authority according to Article 4.1;</w:t>
      </w:r>
    </w:p>
    <w:p>
      <w:pPr>
        <w:spacing w:after="0" w:line="124"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The Pledgors and Party C violate any rules or articles of this Agreement;</w:t>
      </w:r>
    </w:p>
    <w:p>
      <w:pPr>
        <w:spacing w:after="0" w:line="124" w:lineRule="exact"/>
        <w:rPr>
          <w:sz w:val="20"/>
          <w:szCs w:val="20"/>
          <w:color w:val="auto"/>
        </w:rPr>
      </w:pPr>
    </w:p>
    <w:p>
      <w:pPr>
        <w:ind w:left="95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7.1.5</w:t>
        <w:tab/>
        <w:t>Unless otherwise clearly specified in Article 6.1.1, the Pledgors transfer or intend to transfer or abandon pledged Equity Interest or transfer pledged Equity Interest without the Pledgee’s written consent;</w:t>
      </w:r>
    </w:p>
    <w:p>
      <w:pPr>
        <w:spacing w:after="0" w:line="76" w:lineRule="exact"/>
        <w:rPr>
          <w:sz w:val="20"/>
          <w:szCs w:val="20"/>
          <w:color w:val="auto"/>
        </w:rPr>
      </w:pPr>
    </w:p>
    <w:p>
      <w:pPr>
        <w:jc w:val="both"/>
        <w:ind w:left="950" w:right="140" w:hanging="528"/>
        <w:spacing w:after="0" w:line="258" w:lineRule="auto"/>
        <w:tabs>
          <w:tab w:leader="none" w:pos="929" w:val="left"/>
        </w:tabs>
        <w:rPr>
          <w:sz w:val="20"/>
          <w:szCs w:val="20"/>
          <w:color w:val="auto"/>
        </w:rPr>
      </w:pPr>
      <w:r>
        <w:rPr>
          <w:rFonts w:ascii="Times New Roman" w:cs="Times New Roman" w:eastAsia="Times New Roman" w:hAnsi="Times New Roman"/>
          <w:sz w:val="18"/>
          <w:szCs w:val="18"/>
          <w:color w:val="auto"/>
        </w:rPr>
        <w:t>7.1.6</w:t>
        <w:tab/>
        <w:t>The Pledgors’ loans, undertakings, compensations, commitments or other debts to a third party (a) are required to be repaid or performed ahead of time due to the Pledgors’ breach of the relevant agreement with the third party; or (b) have become due, but cannot be repaid or performed on time;</w:t>
      </w:r>
    </w:p>
    <w:p>
      <w:pPr>
        <w:spacing w:after="0" w:line="86" w:lineRule="exact"/>
        <w:rPr>
          <w:sz w:val="20"/>
          <w:szCs w:val="20"/>
          <w:color w:val="auto"/>
        </w:rPr>
      </w:pPr>
    </w:p>
    <w:p>
      <w:pPr>
        <w:ind w:left="430"/>
        <w:spacing w:after="0"/>
        <w:tabs>
          <w:tab w:leader="none" w:pos="929"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7"/>
          <w:szCs w:val="17"/>
          <w:color w:val="auto"/>
        </w:rPr>
        <w:t>The Pledgors cannot repay general debts or other debts;</w:t>
      </w:r>
    </w:p>
    <w:p>
      <w:pPr>
        <w:spacing w:after="0" w:line="124" w:lineRule="exact"/>
        <w:rPr>
          <w:sz w:val="20"/>
          <w:szCs w:val="20"/>
          <w:color w:val="auto"/>
        </w:rPr>
      </w:pPr>
    </w:p>
    <w:p>
      <w:pPr>
        <w:ind w:left="950" w:right="680" w:hanging="528"/>
        <w:spacing w:after="0" w:line="270" w:lineRule="auto"/>
        <w:tabs>
          <w:tab w:leader="none" w:pos="929" w:val="left"/>
        </w:tabs>
        <w:rPr>
          <w:sz w:val="20"/>
          <w:szCs w:val="20"/>
          <w:color w:val="auto"/>
        </w:rPr>
      </w:pPr>
      <w:r>
        <w:rPr>
          <w:rFonts w:ascii="Times New Roman" w:cs="Times New Roman" w:eastAsia="Times New Roman" w:hAnsi="Times New Roman"/>
          <w:sz w:val="18"/>
          <w:szCs w:val="18"/>
          <w:color w:val="auto"/>
        </w:rPr>
        <w:t>7.1.8</w:t>
        <w:tab/>
        <w:t>Any approval, license, consent, permission or authorization from government organizations making this Agreement compulsorily enforceable, legitimate and effective is revoked, terminated, nullified or changes substantively;</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50"/>
          </w:cols>
          <w:pgMar w:left="550" w:top="266" w:right="599" w:bottom="1440" w:gutter="0" w:footer="0" w:header="0"/>
        </w:sectPr>
      </w:pPr>
    </w:p>
    <w:bookmarkStart w:id="438" w:name="page439"/>
    <w:bookmarkEnd w:id="438"/>
    <w:p>
      <w:pPr>
        <w:ind w:left="840" w:right="360" w:hanging="528"/>
        <w:spacing w:after="0" w:line="270" w:lineRule="auto"/>
        <w:tabs>
          <w:tab w:leader="none" w:pos="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7.1.9</w:t>
        <w:tab/>
        <w:t>The promulgation of applicable laws makes this Agreement illegal or makes it impossible for the Pledgors to continue to perform the obligations under this Agreement;</w:t>
      </w:r>
    </w:p>
    <w:p>
      <w:pPr>
        <w:spacing w:after="0" w:line="76" w:lineRule="exact"/>
        <w:rPr>
          <w:sz w:val="20"/>
          <w:szCs w:val="20"/>
          <w:color w:val="auto"/>
        </w:rPr>
      </w:pPr>
    </w:p>
    <w:p>
      <w:pPr>
        <w:ind w:left="840" w:right="460" w:hanging="528"/>
        <w:spacing w:after="0" w:line="270" w:lineRule="auto"/>
        <w:rPr>
          <w:sz w:val="20"/>
          <w:szCs w:val="20"/>
          <w:color w:val="auto"/>
        </w:rPr>
      </w:pPr>
      <w:r>
        <w:rPr>
          <w:rFonts w:ascii="Times New Roman" w:cs="Times New Roman" w:eastAsia="Times New Roman" w:hAnsi="Times New Roman"/>
          <w:sz w:val="18"/>
          <w:szCs w:val="18"/>
          <w:color w:val="auto"/>
        </w:rPr>
        <w:t>7.1.10 The Pledgee believes that the Pledgors’ abilities to fulfill its obligations under this Agreement have been affected in case of adverse changes to the Pledgors’ property.</w:t>
      </w:r>
    </w:p>
    <w:p>
      <w:pPr>
        <w:spacing w:after="0" w:line="76" w:lineRule="exact"/>
        <w:rPr>
          <w:sz w:val="20"/>
          <w:szCs w:val="20"/>
          <w:color w:val="auto"/>
        </w:rPr>
      </w:pPr>
    </w:p>
    <w:p>
      <w:pPr>
        <w:ind w:left="840" w:right="100" w:hanging="528"/>
        <w:spacing w:after="0" w:line="270" w:lineRule="auto"/>
        <w:rPr>
          <w:sz w:val="20"/>
          <w:szCs w:val="20"/>
          <w:color w:val="auto"/>
        </w:rPr>
      </w:pPr>
      <w:r>
        <w:rPr>
          <w:rFonts w:ascii="Times New Roman" w:cs="Times New Roman" w:eastAsia="Times New Roman" w:hAnsi="Times New Roman"/>
          <w:sz w:val="18"/>
          <w:szCs w:val="18"/>
          <w:color w:val="auto"/>
        </w:rPr>
        <w:t>7.1.11 Party C or its heir or trustee can only partially perform or refuses to perform its payment responsibilities under the Business Cooperation Agreement, and/or Party C can only partially repay or refuse to repay the Secured Indebtedness; and</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7.1.12 Any other circumstances under which the Pledgee can’t or might not exercise its rights of Pledge.</w:t>
      </w:r>
    </w:p>
    <w:p>
      <w:pPr>
        <w:spacing w:after="0" w:line="124" w:lineRule="exact"/>
        <w:rPr>
          <w:sz w:val="20"/>
          <w:szCs w:val="20"/>
          <w:color w:val="auto"/>
        </w:rPr>
      </w:pPr>
    </w:p>
    <w:p>
      <w:pPr>
        <w:ind w:left="320" w:right="640" w:hanging="422"/>
        <w:spacing w:after="0" w:line="270" w:lineRule="auto"/>
        <w:tabs>
          <w:tab w:leader="none" w:pos="300" w:val="left"/>
        </w:tabs>
        <w:rPr>
          <w:sz w:val="20"/>
          <w:szCs w:val="20"/>
          <w:color w:val="auto"/>
        </w:rPr>
      </w:pPr>
      <w:r>
        <w:rPr>
          <w:rFonts w:ascii="Times New Roman" w:cs="Times New Roman" w:eastAsia="Times New Roman" w:hAnsi="Times New Roman"/>
          <w:sz w:val="18"/>
          <w:szCs w:val="18"/>
          <w:color w:val="auto"/>
        </w:rPr>
        <w:t>7.2</w:t>
        <w:tab/>
        <w:t>The Pledgors and Party C shall immediately notify the Pledgee in writing once any circumstances mentioned in Article 7.1 are known or discovered, or any events leading to above circumstances have occurred.</w:t>
      </w:r>
    </w:p>
    <w:p>
      <w:pPr>
        <w:spacing w:after="0" w:line="76" w:lineRule="exact"/>
        <w:rPr>
          <w:sz w:val="20"/>
          <w:szCs w:val="20"/>
          <w:color w:val="auto"/>
        </w:rPr>
      </w:pPr>
    </w:p>
    <w:p>
      <w:pPr>
        <w:ind w:left="320" w:right="60" w:hanging="422"/>
        <w:spacing w:after="0" w:line="253" w:lineRule="auto"/>
        <w:tabs>
          <w:tab w:leader="none" w:pos="300" w:val="left"/>
        </w:tabs>
        <w:rPr>
          <w:sz w:val="20"/>
          <w:szCs w:val="20"/>
          <w:color w:val="auto"/>
        </w:rPr>
      </w:pPr>
      <w:r>
        <w:rPr>
          <w:rFonts w:ascii="Times New Roman" w:cs="Times New Roman" w:eastAsia="Times New Roman" w:hAnsi="Times New Roman"/>
          <w:sz w:val="18"/>
          <w:szCs w:val="18"/>
          <w:color w:val="auto"/>
        </w:rPr>
        <w:t>7.3</w:t>
        <w:tab/>
        <w:t>Subject to other terms of this Agreement (including but not limited to Article 19.1 and 19.2), unless the Event of Default listed in Article 7.1 has been solved to the Pledgee’s satisfaction within thirty (30) days after receiving the Pledgee’s notice, the Pledgee may issue a Notice of Default to the Pledgors when such Event of Default occurs or any time after the occurrence, and exercise all its remedial rights and power against the defaults under the PRC laws, Transaction Agreement and this Agreement, including but not limited to:</w:t>
      </w:r>
    </w:p>
    <w:p>
      <w:pPr>
        <w:spacing w:after="0" w:line="92" w:lineRule="exact"/>
        <w:rPr>
          <w:sz w:val="20"/>
          <w:szCs w:val="20"/>
          <w:color w:val="auto"/>
        </w:rPr>
      </w:pPr>
    </w:p>
    <w:p>
      <w:pPr>
        <w:ind w:left="840" w:right="80" w:hanging="526"/>
        <w:spacing w:after="0" w:line="270" w:lineRule="auto"/>
        <w:tabs>
          <w:tab w:leader="none" w:pos="8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asking Party C to immediately make all outstanding payments due under the Business Cooperation Agreement, repay all debts due under the Transaction Agreement, make all other payables due to the Pledgee, and/or repay the loan; and/or</w:t>
      </w:r>
    </w:p>
    <w:p>
      <w:pPr>
        <w:spacing w:after="0" w:line="76" w:lineRule="exact"/>
        <w:rPr>
          <w:rFonts w:ascii="Times New Roman" w:cs="Times New Roman" w:eastAsia="Times New Roman" w:hAnsi="Times New Roman"/>
          <w:sz w:val="18"/>
          <w:szCs w:val="18"/>
          <w:color w:val="auto"/>
        </w:rPr>
      </w:pPr>
    </w:p>
    <w:p>
      <w:pPr>
        <w:jc w:val="both"/>
        <w:ind w:left="840" w:right="20" w:hanging="526"/>
        <w:spacing w:after="0" w:line="258" w:lineRule="auto"/>
        <w:tabs>
          <w:tab w:leader="none" w:pos="84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the Pledge according to Article 8 of this Agreement; and/or disposing of the pledged Equity Interest in other ways (including but not limited to giving discounts to the Equity Interest in whole or in part, and enjoying the priority of compensation from the proceeds of the Equity Interest auction and sales).</w:t>
      </w:r>
    </w:p>
    <w:p>
      <w:pPr>
        <w:spacing w:after="0" w:line="73" w:lineRule="exact"/>
        <w:rPr>
          <w:sz w:val="20"/>
          <w:szCs w:val="20"/>
          <w:color w:val="auto"/>
        </w:rPr>
      </w:pPr>
    </w:p>
    <w:p>
      <w:pPr>
        <w:ind w:left="320"/>
        <w:spacing w:after="0" w:line="280" w:lineRule="auto"/>
        <w:rPr>
          <w:sz w:val="20"/>
          <w:szCs w:val="20"/>
          <w:color w:val="auto"/>
        </w:rPr>
      </w:pPr>
      <w:r>
        <w:rPr>
          <w:rFonts w:ascii="Times New Roman" w:cs="Times New Roman" w:eastAsia="Times New Roman" w:hAnsi="Times New Roman"/>
          <w:sz w:val="17"/>
          <w:szCs w:val="17"/>
          <w:color w:val="auto"/>
        </w:rPr>
        <w:t>Subject to other terms of this Agreement (including but not limited to Article 19.1 and 19.2), the Pledgee shall have rights to exercise any of such rights based on its independent judgments and choices. Under this situation, all other Parties of this Agreement shall unconditionally agree and fully collaborate. The Pledgee shall not assume any responsibility for any loss resulting from its appropriate exercise of such rights and power.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660" w:top="266" w:right="659" w:bottom="1440" w:gutter="0" w:footer="0" w:header="0"/>
        </w:sectPr>
      </w:pPr>
    </w:p>
    <w:bookmarkStart w:id="439" w:name="page440"/>
    <w:bookmarkEnd w:id="439"/>
    <w:p>
      <w:pPr>
        <w:jc w:val="both"/>
        <w:ind w:left="430" w:right="6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7.4</w:t>
        <w:tab/>
        <w:t>The Pledgee shall be authorized to appoint its lawyer or other agent in writing to exercise any and all such rights and power, while the Pledgors or Party C shall not raise any objection to such appointment.</w:t>
      </w:r>
    </w:p>
    <w:p>
      <w:pPr>
        <w:spacing w:after="0" w:line="76" w:lineRule="exact"/>
        <w:rPr>
          <w:sz w:val="20"/>
          <w:szCs w:val="20"/>
          <w:color w:val="auto"/>
        </w:rPr>
      </w:pPr>
    </w:p>
    <w:p>
      <w:pPr>
        <w:jc w:val="both"/>
        <w:ind w:left="430" w:right="6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7.5</w:t>
        <w:tab/>
        <w:t>Subject to other terms of this Agreement (including but not limited to Article 19.1 and 19.2), the Pledgee shall be authorized to simultaneously or successively exercise any of its remedies. Before exercising its rights to auction or sell the Equity Interest under this Agreement, the Pledgee need not exercise other remedies in advance.</w:t>
      </w:r>
    </w:p>
    <w:p>
      <w:pPr>
        <w:spacing w:after="0" w:line="322" w:lineRule="exact"/>
        <w:rPr>
          <w:sz w:val="20"/>
          <w:szCs w:val="20"/>
          <w:color w:val="auto"/>
        </w:rPr>
      </w:pPr>
    </w:p>
    <w:p>
      <w:pPr>
        <w:ind w:left="430" w:hanging="430"/>
        <w:spacing w:after="0"/>
        <w:tabs>
          <w:tab w:leader="none" w:pos="43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the Pledge</w:t>
      </w:r>
    </w:p>
    <w:p>
      <w:pPr>
        <w:spacing w:after="0" w:line="126" w:lineRule="exact"/>
        <w:rPr>
          <w:sz w:val="20"/>
          <w:szCs w:val="20"/>
          <w:color w:val="auto"/>
        </w:rPr>
      </w:pPr>
    </w:p>
    <w:p>
      <w:pPr>
        <w:ind w:left="430" w:right="26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8.1</w:t>
        <w:tab/>
        <w:t>Except for fulfilling the Exclusive Option Agreement or other Transaction Agreement, before all Contract Obligations are performed and the Secured Indebtedness is fully repaid, the Pledgors shall not transfer their rights or Equity Interest in Party C without the Pledgee’s prior written consent.</w:t>
      </w:r>
    </w:p>
    <w:p>
      <w:pPr>
        <w:spacing w:after="0" w:line="8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Pledgee may issue a Notice of Default to the Pledgors according to Article 7.3 in exercising the Pledge.</w:t>
      </w:r>
    </w:p>
    <w:p>
      <w:pPr>
        <w:spacing w:after="0" w:line="124" w:lineRule="exact"/>
        <w:rPr>
          <w:sz w:val="20"/>
          <w:szCs w:val="20"/>
          <w:color w:val="auto"/>
        </w:rPr>
      </w:pPr>
    </w:p>
    <w:p>
      <w:pPr>
        <w:jc w:val="both"/>
        <w:ind w:left="430" w:right="18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8.3</w:t>
        <w:tab/>
        <w:t>Subject to the provisions of Article 7.3, the Pledgee may compulsorily enforce the Pledge while issuing a Notice of Default according to Article 7.3 or any time after issuing such notice. The Pledgors shall cease to own any Equity Interest-related rights or interests once the Pledgee decides on the compulsory enforcement of the Pledge.</w:t>
      </w:r>
    </w:p>
    <w:p>
      <w:pPr>
        <w:spacing w:after="0" w:line="86" w:lineRule="exact"/>
        <w:rPr>
          <w:sz w:val="20"/>
          <w:szCs w:val="20"/>
          <w:color w:val="auto"/>
        </w:rPr>
      </w:pPr>
    </w:p>
    <w:p>
      <w:pPr>
        <w:ind w:left="430" w:right="80" w:hanging="422"/>
        <w:spacing w:after="0" w:line="300" w:lineRule="auto"/>
        <w:tabs>
          <w:tab w:leader="none" w:pos="409"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When the Pledgee exercises the Pledge, within the scope of the license and in accordance with applicable laws, the Pledgee shall have disposition rights of the pledged Equity Interest, all payments received from the Pledge in exercising the Pledge shall be disposed of in the following order:</w:t>
      </w:r>
    </w:p>
    <w:p>
      <w:pPr>
        <w:spacing w:after="0" w:line="53" w:lineRule="exact"/>
        <w:rPr>
          <w:sz w:val="20"/>
          <w:szCs w:val="20"/>
          <w:color w:val="auto"/>
        </w:rPr>
      </w:pPr>
    </w:p>
    <w:p>
      <w:pPr>
        <w:ind w:left="950" w:right="240" w:hanging="526"/>
        <w:spacing w:after="0" w:line="270" w:lineRule="auto"/>
        <w:tabs>
          <w:tab w:leader="none" w:pos="95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all fees incurred for disposition of the Equity Interest and the Pledgee’s exercising of its rights and power, including the lawyer fees and agent’s fees;</w:t>
      </w:r>
    </w:p>
    <w:p>
      <w:pPr>
        <w:spacing w:after="0" w:line="76" w:lineRule="exact"/>
        <w:rPr>
          <w:rFonts w:ascii="Times New Roman" w:cs="Times New Roman" w:eastAsia="Times New Roman" w:hAnsi="Times New Roman"/>
          <w:sz w:val="18"/>
          <w:szCs w:val="18"/>
          <w:color w:val="auto"/>
        </w:rPr>
      </w:pPr>
    </w:p>
    <w:p>
      <w:pPr>
        <w:ind w:left="950" w:hanging="526"/>
        <w:spacing w:after="0"/>
        <w:tabs>
          <w:tab w:leader="none" w:pos="95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taxes for disposing of the Equity Interest;</w:t>
      </w:r>
    </w:p>
    <w:p>
      <w:pPr>
        <w:spacing w:after="0" w:line="123" w:lineRule="exact"/>
        <w:rPr>
          <w:rFonts w:ascii="Times New Roman" w:cs="Times New Roman" w:eastAsia="Times New Roman" w:hAnsi="Times New Roman"/>
          <w:sz w:val="18"/>
          <w:szCs w:val="18"/>
          <w:color w:val="auto"/>
        </w:rPr>
      </w:pPr>
    </w:p>
    <w:p>
      <w:pPr>
        <w:ind w:left="950" w:right="40" w:hanging="526"/>
        <w:spacing w:after="0" w:line="258" w:lineRule="auto"/>
        <w:tabs>
          <w:tab w:leader="none" w:pos="95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surplus after the above payments are deducted, the balance (excluding interests) shall be paid to the Pledgors or held in escrow by a third party authorized to receive such money according to the relevant PRC laws or a local notary office of the place where the Pledgee is based (all expenses thereby incurred shall be deducted from such balance).</w:t>
      </w:r>
    </w:p>
    <w:p>
      <w:pPr>
        <w:spacing w:after="0" w:line="86" w:lineRule="exact"/>
        <w:rPr>
          <w:sz w:val="20"/>
          <w:szCs w:val="20"/>
          <w:color w:val="auto"/>
        </w:rPr>
      </w:pPr>
    </w:p>
    <w:p>
      <w:pPr>
        <w:ind w:left="43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8.5</w:t>
        <w:tab/>
        <w:t>The Pledgors and Party C shall provide necessary assistance when the Pledgee disposes of the Pledge according to this Agreement, in order for the Pledgee to compulsorily enforce the Pledge according to this Agreement.</w:t>
      </w:r>
    </w:p>
    <w:p>
      <w:pPr>
        <w:spacing w:after="0" w:line="76" w:lineRule="exact"/>
        <w:rPr>
          <w:sz w:val="20"/>
          <w:szCs w:val="20"/>
          <w:color w:val="auto"/>
        </w:rPr>
      </w:pPr>
    </w:p>
    <w:p>
      <w:pPr>
        <w:ind w:left="430" w:right="2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8.6</w:t>
        <w:tab/>
        <w:t>All actual outlays, taxes and legal fees related to the Equity Interest pledge and the Pledgee’s exercising of rights under this Agreement shall be assumed by Party C, except for those borne by the Pledgee as specified by laws. The Pledgee shall be authorized to deduct such expenses from the money earned from its exercising of rights and power on an accrual basis.</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70"/>
          </w:cols>
          <w:pgMar w:left="550" w:top="266" w:right="579" w:bottom="1440" w:gutter="0" w:footer="0" w:header="0"/>
        </w:sectPr>
      </w:pPr>
    </w:p>
    <w:bookmarkStart w:id="440" w:name="page441"/>
    <w:bookmarkEnd w:id="440"/>
    <w:p>
      <w:pPr>
        <w:ind w:left="430" w:right="20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8.7</w:t>
        <w:tab/>
        <w:t>The amount of the Secured Indebtedness independently confirmed by the Pledgee in exercising the Pledge over the Equity Interest according to this Agreement shall be deemed as conclusive evidence of Secured Indebtedness under this Agreement.</w:t>
      </w:r>
    </w:p>
    <w:p>
      <w:pPr>
        <w:spacing w:after="0" w:line="312" w:lineRule="exact"/>
        <w:rPr>
          <w:sz w:val="20"/>
          <w:szCs w:val="20"/>
          <w:color w:val="auto"/>
        </w:rPr>
      </w:pPr>
    </w:p>
    <w:p>
      <w:pPr>
        <w:ind w:left="430" w:hanging="430"/>
        <w:spacing w:after="0"/>
        <w:tabs>
          <w:tab w:leader="none" w:pos="43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Pledgors shall not transfer their rights and obligations under this Agreement without the Pledgee’s prior written consent.</w:t>
      </w:r>
    </w:p>
    <w:p>
      <w:pPr>
        <w:spacing w:after="0" w:line="124" w:lineRule="exact"/>
        <w:rPr>
          <w:sz w:val="20"/>
          <w:szCs w:val="20"/>
          <w:color w:val="auto"/>
        </w:rPr>
      </w:pPr>
    </w:p>
    <w:p>
      <w:pPr>
        <w:ind w:left="430" w:right="14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9.2</w:t>
        <w:tab/>
        <w:t>The Pledgors and Party C agree that, on the premise of not violating the current PRC laws, the Pledgee may assign or transfer any of its rights exercisable under this Agreement, Transaction Agreement and other security documents to a third party in any way and according to articles and requirements that it deems appropriate (including the rights to reassign) after notifying the Pledgors and Party C.</w:t>
      </w:r>
    </w:p>
    <w:p>
      <w:pPr>
        <w:spacing w:after="0" w:line="86" w:lineRule="exact"/>
        <w:rPr>
          <w:sz w:val="20"/>
          <w:szCs w:val="20"/>
          <w:color w:val="auto"/>
        </w:rPr>
      </w:pPr>
    </w:p>
    <w:p>
      <w:pPr>
        <w:ind w:left="430" w:right="12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9.3</w:t>
        <w:tab/>
        <w:t>This Agreement shall be binding upon the Pledgors, Party C and their respective heirs and authorized assignees (if any) and shall be effective for the Pledgee, its heirs and assignees.</w:t>
      </w:r>
    </w:p>
    <w:p>
      <w:pPr>
        <w:spacing w:after="0" w:line="76" w:lineRule="exact"/>
        <w:rPr>
          <w:sz w:val="20"/>
          <w:szCs w:val="20"/>
          <w:color w:val="auto"/>
        </w:rPr>
      </w:pPr>
    </w:p>
    <w:p>
      <w:pPr>
        <w:ind w:left="43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9.4</w:t>
        <w:tab/>
        <w:t>When the Pledgee transfers any or all of its rights and obligations under Transaction Agreement to its designated party anytime, the assignee shall enjoy and perform the Pledgee’s rights and obligations under this Agreement as if it were an original party of this Agreement. The Pledgors and/or Party C shall sign pertinent agreements or other documents related to such transfer at the Pledgee’s request when the Pledgee transfers its rights and obligations under the Transaction Agreement.</w:t>
      </w:r>
    </w:p>
    <w:p>
      <w:pPr>
        <w:spacing w:after="0" w:line="92" w:lineRule="exact"/>
        <w:rPr>
          <w:sz w:val="20"/>
          <w:szCs w:val="20"/>
          <w:color w:val="auto"/>
        </w:rPr>
      </w:pPr>
    </w:p>
    <w:p>
      <w:pPr>
        <w:ind w:left="430" w:right="18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9.5</w:t>
        <w:tab/>
        <w:t>If the Pledgee changes according to the Transaction Agreement or this Agreement, the Pledgors and Party C shall enter into a new Share Pledge Agreement with the new Pledgee according to the same articles and requirements of this Agreement, and handle corresponding formalities for pledge registration.</w:t>
      </w:r>
    </w:p>
    <w:p>
      <w:pPr>
        <w:spacing w:after="0" w:line="86" w:lineRule="exact"/>
        <w:rPr>
          <w:sz w:val="20"/>
          <w:szCs w:val="20"/>
          <w:color w:val="auto"/>
        </w:rPr>
      </w:pPr>
    </w:p>
    <w:p>
      <w:pPr>
        <w:jc w:val="both"/>
        <w:ind w:left="430" w:right="48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9.6</w:t>
        <w:tab/>
        <w:t>The Pledgors shall strictly comply with provisions of this Agreement and other agreements executed by the Pledgors, including Transaction Agreement, and perform the obligations under this Agreement and other agreements (including Transaction Agreement) without any act or omission which might affect effectiveness and enforceability of such obligations. Unless otherwise instructed by the Pledgee in writing, the Pledgors shall not exercise any remaining rights in the Equity Interest pledged under this Agreement.</w:t>
      </w:r>
    </w:p>
    <w:p>
      <w:pPr>
        <w:spacing w:after="0" w:line="11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50"/>
          </w:cols>
          <w:pgMar w:left="550" w:top="266" w:right="599" w:bottom="1440" w:gutter="0" w:footer="0" w:header="0"/>
        </w:sectPr>
      </w:pPr>
    </w:p>
    <w:bookmarkStart w:id="441" w:name="page442"/>
    <w:bookmarkEnd w:id="441"/>
    <w:p>
      <w:pPr>
        <w:ind w:left="430" w:hanging="430"/>
        <w:spacing w:after="0"/>
        <w:tabs>
          <w:tab w:leader="none" w:pos="43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Termination</w:t>
      </w:r>
    </w:p>
    <w:p>
      <w:pPr>
        <w:spacing w:after="0" w:line="112" w:lineRule="exact"/>
        <w:rPr>
          <w:rFonts w:ascii="Times New Roman" w:cs="Times New Roman" w:eastAsia="Times New Roman" w:hAnsi="Times New Roman"/>
          <w:sz w:val="18"/>
          <w:szCs w:val="18"/>
          <w:b w:val="1"/>
          <w:bCs w:val="1"/>
          <w:color w:val="auto"/>
        </w:rPr>
      </w:pPr>
    </w:p>
    <w:p>
      <w:pPr>
        <w:ind w:left="43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Term of the Pledge expires, this Agreement terminates, and the Pledgee shall cancel or terminate this Agreement as soon as possible to the extent feasible and practicable, and rescind the Equity Interest pledge under this Agreement. Besides, the Pledgors and Party C shall document the release of the Equity Interest pledge on Party C’s Register of Shareholders and register such cancellation with the relevant registration authority. The reasonable expenses incurred for releasing the Equity Interest pledge shall be borne by Party C. Article 12, Article 13, Article 19.1 and Article 19.2 shall survive the termination of this Agreement.</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Commissions and Other Expenses</w:t>
      </w:r>
    </w:p>
    <w:p>
      <w:pPr>
        <w:spacing w:after="0" w:line="112" w:lineRule="exact"/>
        <w:rPr>
          <w:rFonts w:ascii="Times New Roman" w:cs="Times New Roman" w:eastAsia="Times New Roman" w:hAnsi="Times New Roman"/>
          <w:sz w:val="18"/>
          <w:szCs w:val="18"/>
          <w:b w:val="1"/>
          <w:bCs w:val="1"/>
          <w:color w:val="auto"/>
        </w:rPr>
      </w:pPr>
    </w:p>
    <w:p>
      <w:pPr>
        <w:ind w:left="43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expenses and actual outlays related to this Agreement, including but not limited to lawyers’ fees, flat costs, stamp duties, any other taxes and fees, shall be borne by Party C. Party C shall fully reimburse the Pledgee for such paid taxes and fees if the Pledgee is required to bear some related taxes and fees as stipulated by applicable laws.</w:t>
      </w:r>
    </w:p>
    <w:p>
      <w:pPr>
        <w:spacing w:after="0" w:line="32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12" w:lineRule="exact"/>
        <w:rPr>
          <w:rFonts w:ascii="Times New Roman" w:cs="Times New Roman" w:eastAsia="Times New Roman" w:hAnsi="Times New Roman"/>
          <w:sz w:val="18"/>
          <w:szCs w:val="18"/>
          <w:b w:val="1"/>
          <w:bCs w:val="1"/>
          <w:color w:val="auto"/>
        </w:rPr>
      </w:pPr>
    </w:p>
    <w:p>
      <w:pPr>
        <w:ind w:left="430" w:right="6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Parties admit that all oral or written materials exchanged with respect to this Agreement are confidential. All Parties are required to keep such materials confidential. Without the prior written consent of all other Parties, no party is allowed to disclose any related materials to a third party unless in following cases: (a) such materials have been known to the public (but not disclosed by the party receiving such materials); (b) the materials are required to be disclosed by applicable laws or rules of any securities exchange; or (c) any Party of this Agreement discloses the materials to its legal adviser or financial adviser regarding the transactions specified hereunder, and such legal adviser or financial adviser is bound by the same confidentiality obligations as those under this article; or (d) any Party that is a limited partnership (or a direct or indirect affiliate or subsidiary of the limited partnership) discloses the above confidential information to the general partner, manager and existing or potential limited partners of the limited partnership. The disclosure of any confidential information by staff or organizations hired by any Party shall be deemed as such party’s disclosure of such confidential materials, and such party shall assume legal responsibilities for violating this Agreement. This article shall survive the termination of this Agreement, notwithstanding the reason of termination.</w:t>
      </w:r>
    </w:p>
    <w:p>
      <w:pPr>
        <w:spacing w:after="0" w:line="31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Laws and Dispute Resolution</w:t>
      </w:r>
    </w:p>
    <w:p>
      <w:pPr>
        <w:spacing w:after="0" w:line="126" w:lineRule="exact"/>
        <w:rPr>
          <w:sz w:val="20"/>
          <w:szCs w:val="20"/>
          <w:color w:val="auto"/>
        </w:rPr>
      </w:pPr>
    </w:p>
    <w:p>
      <w:pPr>
        <w:ind w:left="430" w:right="240" w:hanging="422"/>
        <w:spacing w:after="0" w:line="270" w:lineRule="auto"/>
        <w:rPr>
          <w:sz w:val="20"/>
          <w:szCs w:val="20"/>
          <w:color w:val="auto"/>
        </w:rPr>
      </w:pPr>
      <w:r>
        <w:rPr>
          <w:rFonts w:ascii="Times New Roman" w:cs="Times New Roman" w:eastAsia="Times New Roman" w:hAnsi="Times New Roman"/>
          <w:sz w:val="18"/>
          <w:szCs w:val="18"/>
          <w:color w:val="auto"/>
        </w:rPr>
        <w:t>13.1 The signing, effectiveness, interpretation, performance, modification and termination of this Agreement as well as dispute resolution hereunder shall be governed by the PRC laws.</w:t>
      </w:r>
    </w:p>
    <w:p>
      <w:pPr>
        <w:spacing w:after="0" w:line="10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50"/>
          </w:cols>
          <w:pgMar w:left="550" w:top="264" w:right="599" w:bottom="1440" w:gutter="0" w:footer="0" w:header="0"/>
        </w:sectPr>
      </w:pPr>
    </w:p>
    <w:bookmarkStart w:id="442" w:name="page443"/>
    <w:bookmarkEnd w:id="442"/>
    <w:p>
      <w:pPr>
        <w:ind w:left="420" w:right="40" w:hanging="422"/>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13.2 In case that any dispute occurs in interpreting and performing this agreement, the Parties of this agreement shall firstly try to resolve it through negotiation in good faith. If the Parties fail to reach a consensus on such dispute resolution through negotiation within thirty (30) days as required by any Party, any Party may submit such dispute to the Beijing Arbitration Commission, which will resolve the dispute through arbitration according to current effective arbitration rules. The arbitration shall be performed in Beijing in Chinese. The arbitration awards shall be final and binding upon all Parties. The arbitration tribunal may decide upon compensation with respect to Party C’s rights in the Equity Interest, assets or property, or compensate the Pledgee for the losses resulting from other Parties’ breach of this agreement, adjudicate compulsory remedies or order Party C to go bankrupt regarding related businesses or compulsory asset transfer. After arbitration awards take effects, any Party shall be authorized to apply to a competent court for enforcing arbitration awards. If necessary, arbitration organizations shall have rights to firstly ask the breaching party to immediately stop its defaults before giving the final awards on disputes of all Parties concerned, or prohibit the breaching party from conducting acts which might aggravate the Pledgee’s losses. Courts of Hong Kong, Cayman Islands or other competent courts (including courts of the place where Party C lives, or courts of the place where Party C’s or the Pledgee’s main assets are) shall have rights to grant or execute awards of an arbitration tribunal. They shall have rights to adjudicate or enforce temporary relief with respect to Party C’s rights and interests in the Equity Interest or property. They shall also have rights to offer temporary relief to the party making a request for arbitration by giving awards or judgments before the tribunal court forms. For instance, the breaching party may be ordered by way of court judgment or arbitrated award to immediately suspend their breaches or conduct which might further aggravate the Pledgee’s losses.</w:t>
      </w:r>
    </w:p>
    <w:p>
      <w:pPr>
        <w:spacing w:after="0" w:line="91" w:lineRule="exact"/>
        <w:rPr>
          <w:sz w:val="20"/>
          <w:szCs w:val="20"/>
          <w:color w:val="auto"/>
        </w:rPr>
      </w:pPr>
    </w:p>
    <w:p>
      <w:pPr>
        <w:ind w:left="420" w:hanging="422"/>
        <w:spacing w:after="0" w:line="270" w:lineRule="auto"/>
        <w:rPr>
          <w:sz w:val="20"/>
          <w:szCs w:val="20"/>
          <w:color w:val="auto"/>
        </w:rPr>
      </w:pPr>
      <w:r>
        <w:rPr>
          <w:rFonts w:ascii="Times New Roman" w:cs="Times New Roman" w:eastAsia="Times New Roman" w:hAnsi="Times New Roman"/>
          <w:sz w:val="18"/>
          <w:szCs w:val="18"/>
          <w:color w:val="auto"/>
        </w:rPr>
        <w:t>13.3 When any dispute occurs in interpreting or performing this Agreement, or any dispute is under arbitration, Parties of this Agreement shall continue to exercise their rights and performing their respective obligations under this Agreement except for disputed matters.</w:t>
      </w:r>
    </w:p>
    <w:p>
      <w:pPr>
        <w:spacing w:after="0" w:line="76" w:lineRule="exact"/>
        <w:rPr>
          <w:sz w:val="20"/>
          <w:szCs w:val="20"/>
          <w:color w:val="auto"/>
        </w:rPr>
      </w:pPr>
    </w:p>
    <w:p>
      <w:pPr>
        <w:ind w:left="420" w:right="80" w:hanging="422"/>
        <w:spacing w:after="0" w:line="264" w:lineRule="auto"/>
        <w:rPr>
          <w:sz w:val="20"/>
          <w:szCs w:val="20"/>
          <w:color w:val="auto"/>
        </w:rPr>
      </w:pPr>
      <w:r>
        <w:rPr>
          <w:rFonts w:ascii="Times New Roman" w:cs="Times New Roman" w:eastAsia="Times New Roman" w:hAnsi="Times New Roman"/>
          <w:sz w:val="17"/>
          <w:szCs w:val="17"/>
          <w:color w:val="auto"/>
        </w:rPr>
        <w:t>13.4 If any law of the PRC, rule or regulation is promulgated or revised after the date of signing this agreement, or the interpretation or applicability of such law, rule or regulation changes, the following provisions shall apply: In the case of PRC laws (a) if the revised laws or newly promulgated rules are more preferential for any Party as compared to laws, rules or regulations in effect at the time this Agreement was executed without imposing material adverse impacts upon other Parties, the Parties of this Agreement shall promptly apply for obtaining benefits from such modifications or new rules and try their best to have the application approved; or (b) the original articles of this Agreement shall prevail if such revised laws or newly enacted rules directly or indirectly impose material adverse impacts upon any Party’s economic interests under this Agreement. The Parties shall seek to be exempted from these revised laws or new rules by all lawful means. If the adverse impacts on any Party’s economic benefits cannot be alleviated according to this Agreement, all Parties shall promptly negotiate with each other and make all necessary revisions to this Agreement after the affected party notifies all other Parties and protect the affected party’s economic interests.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0"/>
          </w:cols>
          <w:pgMar w:left="560" w:top="266" w:right="559" w:bottom="1440" w:gutter="0" w:footer="0" w:header="0"/>
        </w:sectPr>
      </w:pPr>
    </w:p>
    <w:bookmarkStart w:id="443" w:name="page444"/>
    <w:bookmarkEnd w:id="443"/>
    <w:p>
      <w:pPr>
        <w:ind w:left="430" w:hanging="430"/>
        <w:spacing w:after="0"/>
        <w:tabs>
          <w:tab w:leader="none" w:pos="430" w:val="left"/>
        </w:tabs>
        <w:numPr>
          <w:ilvl w:val="0"/>
          <w:numId w:val="3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Force Majeure</w:t>
      </w:r>
    </w:p>
    <w:p>
      <w:pPr>
        <w:spacing w:after="0" w:line="124" w:lineRule="exact"/>
        <w:rPr>
          <w:sz w:val="20"/>
          <w:szCs w:val="20"/>
          <w:color w:val="auto"/>
        </w:rPr>
      </w:pPr>
    </w:p>
    <w:p>
      <w:pPr>
        <w:ind w:left="430" w:right="20" w:hanging="422"/>
        <w:spacing w:after="0" w:line="259"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means unforeseeable, unavoidable and irresistible events which make it impossible to perform this Agreement in part or in whole. Such events include but are not limited to earthquake, typhoon, flood, wars, strike, riot, government actions, or changes to laws or rules or their application.</w:t>
      </w:r>
    </w:p>
    <w:p>
      <w:pPr>
        <w:spacing w:after="0" w:line="85" w:lineRule="exact"/>
        <w:rPr>
          <w:sz w:val="20"/>
          <w:szCs w:val="20"/>
          <w:color w:val="auto"/>
        </w:rPr>
      </w:pPr>
    </w:p>
    <w:p>
      <w:pPr>
        <w:ind w:left="430" w:right="20" w:hanging="422"/>
        <w:spacing w:after="0" w:line="253" w:lineRule="auto"/>
        <w:rPr>
          <w:sz w:val="20"/>
          <w:szCs w:val="20"/>
          <w:color w:val="auto"/>
        </w:rPr>
      </w:pPr>
      <w:r>
        <w:rPr>
          <w:rFonts w:ascii="Times New Roman" w:cs="Times New Roman" w:eastAsia="Times New Roman" w:hAnsi="Times New Roman"/>
          <w:sz w:val="18"/>
          <w:szCs w:val="18"/>
          <w:color w:val="auto"/>
        </w:rPr>
        <w:t>14.2 In the event of a force majeure incident, a party’s obligations under this Agreement shall be naturally suspended for the delay caused by the incident, and the term for performing its obligations shall be extended accordingly. Such party shall not be subject to any punishment or assume any responsibility. In case of a force majeure incident, all Parties shall immediately negotiate with each other to look for a fair solution, and make every reasonable effort to minimize impacts of force majeure.</w:t>
      </w:r>
    </w:p>
    <w:p>
      <w:pPr>
        <w:spacing w:after="0" w:line="328" w:lineRule="exact"/>
        <w:rPr>
          <w:sz w:val="20"/>
          <w:szCs w:val="20"/>
          <w:color w:val="auto"/>
        </w:rPr>
      </w:pPr>
    </w:p>
    <w:p>
      <w:pPr>
        <w:ind w:left="430" w:hanging="430"/>
        <w:spacing w:after="0"/>
        <w:tabs>
          <w:tab w:leader="none" w:pos="43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6" w:lineRule="exact"/>
        <w:rPr>
          <w:sz w:val="20"/>
          <w:szCs w:val="20"/>
          <w:color w:val="auto"/>
        </w:rPr>
      </w:pPr>
    </w:p>
    <w:p>
      <w:pPr>
        <w:ind w:left="430" w:right="140" w:hanging="422"/>
        <w:spacing w:after="0" w:line="258" w:lineRule="auto"/>
        <w:rPr>
          <w:sz w:val="20"/>
          <w:szCs w:val="20"/>
          <w:color w:val="auto"/>
        </w:rPr>
      </w:pPr>
      <w:r>
        <w:rPr>
          <w:rFonts w:ascii="Times New Roman" w:cs="Times New Roman" w:eastAsia="Times New Roman" w:hAnsi="Times New Roman"/>
          <w:sz w:val="18"/>
          <w:szCs w:val="18"/>
          <w:color w:val="auto"/>
        </w:rPr>
        <w:t>15.1 All notices and other communications which are issued as required or permitted by this Agreement shall be delivered in person or sent to the Parties’ address and fax number listed in Appendix I through registered mail, postage prepaid, commercial express delivery services or fax. The date of effective delivery of such notices shall be determined as follows:</w:t>
      </w:r>
    </w:p>
    <w:p>
      <w:pPr>
        <w:spacing w:after="0" w:line="86" w:lineRule="exact"/>
        <w:rPr>
          <w:sz w:val="20"/>
          <w:szCs w:val="20"/>
          <w:color w:val="auto"/>
        </w:rPr>
      </w:pPr>
    </w:p>
    <w:p>
      <w:pPr>
        <w:ind w:left="1170" w:hanging="752"/>
        <w:spacing w:after="0" w:line="270" w:lineRule="auto"/>
        <w:tabs>
          <w:tab w:leader="none" w:pos="1149" w:val="left"/>
        </w:tabs>
        <w:rPr>
          <w:sz w:val="20"/>
          <w:szCs w:val="20"/>
          <w:color w:val="auto"/>
        </w:rPr>
      </w:pPr>
      <w:r>
        <w:rPr>
          <w:rFonts w:ascii="Times New Roman" w:cs="Times New Roman" w:eastAsia="Times New Roman" w:hAnsi="Times New Roman"/>
          <w:sz w:val="18"/>
          <w:szCs w:val="18"/>
          <w:color w:val="auto"/>
        </w:rPr>
        <w:t>15.1.1</w:t>
      </w:r>
      <w:r>
        <w:rPr>
          <w:sz w:val="20"/>
          <w:szCs w:val="20"/>
          <w:color w:val="auto"/>
        </w:rPr>
        <w:tab/>
      </w:r>
      <w:r>
        <w:rPr>
          <w:rFonts w:ascii="Times New Roman" w:cs="Times New Roman" w:eastAsia="Times New Roman" w:hAnsi="Times New Roman"/>
          <w:sz w:val="18"/>
          <w:szCs w:val="18"/>
          <w:color w:val="auto"/>
        </w:rPr>
        <w:t>The notices shall be deemed to have been delivered to the designated address on the date of sending or rejection if they are delivered in person, express delivery services or registered mail, postage prepaid.</w:t>
      </w:r>
    </w:p>
    <w:p>
      <w:pPr>
        <w:spacing w:after="0" w:line="76" w:lineRule="exact"/>
        <w:rPr>
          <w:sz w:val="20"/>
          <w:szCs w:val="20"/>
          <w:color w:val="auto"/>
        </w:rPr>
      </w:pPr>
    </w:p>
    <w:p>
      <w:pPr>
        <w:ind w:left="1170" w:right="760" w:hanging="752"/>
        <w:spacing w:after="0" w:line="270" w:lineRule="auto"/>
        <w:tabs>
          <w:tab w:leader="none" w:pos="1149" w:val="left"/>
        </w:tabs>
        <w:rPr>
          <w:sz w:val="20"/>
          <w:szCs w:val="20"/>
          <w:color w:val="auto"/>
        </w:rPr>
      </w:pPr>
      <w:r>
        <w:rPr>
          <w:rFonts w:ascii="Times New Roman" w:cs="Times New Roman" w:eastAsia="Times New Roman" w:hAnsi="Times New Roman"/>
          <w:sz w:val="18"/>
          <w:szCs w:val="18"/>
          <w:color w:val="auto"/>
        </w:rPr>
        <w:t>15.1.2</w:t>
      </w:r>
      <w:r>
        <w:rPr>
          <w:sz w:val="20"/>
          <w:szCs w:val="20"/>
          <w:color w:val="auto"/>
        </w:rPr>
        <w:tab/>
      </w:r>
      <w:r>
        <w:rPr>
          <w:rFonts w:ascii="Times New Roman" w:cs="Times New Roman" w:eastAsia="Times New Roman" w:hAnsi="Times New Roman"/>
          <w:sz w:val="18"/>
          <w:szCs w:val="18"/>
          <w:color w:val="auto"/>
        </w:rPr>
        <w:t>The notices shall be deemed to have been delivered if they are successfully sent by fax (should be confirmed by the message automatically generated upon successful delivery).</w:t>
      </w:r>
    </w:p>
    <w:p>
      <w:pPr>
        <w:spacing w:after="0" w:line="76" w:lineRule="exact"/>
        <w:rPr>
          <w:sz w:val="20"/>
          <w:szCs w:val="20"/>
          <w:color w:val="auto"/>
        </w:rPr>
      </w:pPr>
    </w:p>
    <w:p>
      <w:pPr>
        <w:ind w:left="430" w:hanging="422"/>
        <w:spacing w:after="0" w:line="270" w:lineRule="auto"/>
        <w:rPr>
          <w:sz w:val="20"/>
          <w:szCs w:val="20"/>
          <w:color w:val="auto"/>
        </w:rPr>
      </w:pPr>
      <w:r>
        <w:rPr>
          <w:rFonts w:ascii="Times New Roman" w:cs="Times New Roman" w:eastAsia="Times New Roman" w:hAnsi="Times New Roman"/>
          <w:sz w:val="18"/>
          <w:szCs w:val="18"/>
          <w:color w:val="auto"/>
        </w:rPr>
        <w:t>15.2 Any party may issue a notice to all other Parties according to this article to inform them of the address or fax number, which can be changed from time to time.</w:t>
      </w:r>
    </w:p>
    <w:p>
      <w:pPr>
        <w:spacing w:after="0" w:line="312" w:lineRule="exact"/>
        <w:rPr>
          <w:sz w:val="20"/>
          <w:szCs w:val="20"/>
          <w:color w:val="auto"/>
        </w:rPr>
      </w:pPr>
    </w:p>
    <w:p>
      <w:pPr>
        <w:ind w:left="430" w:hanging="430"/>
        <w:spacing w:after="0"/>
        <w:tabs>
          <w:tab w:leader="none" w:pos="43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one or more articles of this Agreement are adjudicated to be ineffective, illegitimate or unenforceable in any aspect according to any laws, rules or regulations, validity, legitimacy or enforceability of other articles of this Agreement shall not be affected or impaired in any aspect. All Parties shall strive to replace such ineffective, illegitimate or unenforceable articles with valid ones to the maximum extent permitted by laws and expected by Parties. The economic results from such invalid articles shall be as similar as possible to those from ineffective, illegal or unenforceable articles.</w:t>
      </w:r>
    </w:p>
    <w:p>
      <w:pPr>
        <w:spacing w:after="0" w:line="121"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10"/>
          </w:cols>
          <w:pgMar w:left="550" w:top="264" w:right="639" w:bottom="1440" w:gutter="0" w:footer="0" w:header="0"/>
        </w:sectPr>
      </w:pPr>
    </w:p>
    <w:bookmarkStart w:id="444" w:name="page445"/>
    <w:bookmarkEnd w:id="444"/>
    <w:p>
      <w:pPr>
        <w:ind w:left="430" w:hanging="430"/>
        <w:spacing w:after="0"/>
        <w:tabs>
          <w:tab w:leader="none" w:pos="43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Appendixes</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Appendixes hereunder shall be integral parts of this Agreement.</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Revision, Modification, Supplementation and Texts</w:t>
      </w:r>
    </w:p>
    <w:p>
      <w:pPr>
        <w:spacing w:after="0" w:line="126" w:lineRule="exact"/>
        <w:rPr>
          <w:sz w:val="20"/>
          <w:szCs w:val="20"/>
          <w:color w:val="auto"/>
        </w:rPr>
      </w:pPr>
    </w:p>
    <w:p>
      <w:pPr>
        <w:jc w:val="both"/>
        <w:ind w:left="430" w:right="60" w:hanging="422"/>
        <w:spacing w:after="0" w:line="258" w:lineRule="auto"/>
        <w:rPr>
          <w:sz w:val="20"/>
          <w:szCs w:val="20"/>
          <w:color w:val="auto"/>
        </w:rPr>
      </w:pPr>
      <w:r>
        <w:rPr>
          <w:rFonts w:ascii="Times New Roman" w:cs="Times New Roman" w:eastAsia="Times New Roman" w:hAnsi="Times New Roman"/>
          <w:sz w:val="18"/>
          <w:szCs w:val="18"/>
          <w:color w:val="auto"/>
        </w:rPr>
        <w:t>18.1 This Agreement shall become effective from the date of signing by the Parties, and the Equity Interest pledge under this Agreement shall become effective from the date on which the registration authority completes the relevant registration procedures. The terms of this Agreement shall end if the contractual obligations have been fully performed or the Term of the Pledge is terminated pursuant to this Article 3.</w:t>
      </w:r>
    </w:p>
    <w:p>
      <w:pPr>
        <w:spacing w:after="0" w:line="86" w:lineRule="exact"/>
        <w:rPr>
          <w:sz w:val="20"/>
          <w:szCs w:val="20"/>
          <w:color w:val="auto"/>
        </w:rPr>
      </w:pPr>
    </w:p>
    <w:p>
      <w:pPr>
        <w:ind w:left="430" w:right="100" w:hanging="422"/>
        <w:spacing w:after="0" w:line="270" w:lineRule="auto"/>
        <w:rPr>
          <w:sz w:val="20"/>
          <w:szCs w:val="20"/>
          <w:color w:val="auto"/>
        </w:rPr>
      </w:pPr>
      <w:r>
        <w:rPr>
          <w:rFonts w:ascii="Times New Roman" w:cs="Times New Roman" w:eastAsia="Times New Roman" w:hAnsi="Times New Roman"/>
          <w:sz w:val="18"/>
          <w:szCs w:val="18"/>
          <w:color w:val="auto"/>
        </w:rPr>
        <w:t>18.2 All revisions, modifications and supplementations of this agreement shall be in writing. They shall take effects after they are executed or stamped by all Parties hereunder and governmental registration procedures (if applicable) are completed.</w:t>
      </w:r>
    </w:p>
    <w:p>
      <w:pPr>
        <w:spacing w:after="0" w:line="76" w:lineRule="exact"/>
        <w:rPr>
          <w:sz w:val="20"/>
          <w:szCs w:val="20"/>
          <w:color w:val="auto"/>
        </w:rPr>
      </w:pPr>
    </w:p>
    <w:p>
      <w:pPr>
        <w:ind w:left="430" w:hanging="422"/>
        <w:spacing w:after="0" w:line="258" w:lineRule="auto"/>
        <w:rPr>
          <w:sz w:val="20"/>
          <w:szCs w:val="20"/>
          <w:color w:val="auto"/>
        </w:rPr>
      </w:pPr>
      <w:r>
        <w:rPr>
          <w:rFonts w:ascii="Times New Roman" w:cs="Times New Roman" w:eastAsia="Times New Roman" w:hAnsi="Times New Roman"/>
          <w:sz w:val="18"/>
          <w:szCs w:val="18"/>
          <w:color w:val="auto"/>
        </w:rPr>
        <w:t>18.3 If revision of this Agreement is proposed by the Stock Exchange of Hong Kong Limited or other regulatory institutions, or is required according to securities listing regulations of the Stock Exchange of Hong Kong Limited or related regulations, rules and guiding requirements, this Agreement shall be revised by the Parties reasonably.</w:t>
      </w:r>
    </w:p>
    <w:p>
      <w:pPr>
        <w:spacing w:after="0" w:line="86" w:lineRule="exact"/>
        <w:rPr>
          <w:sz w:val="20"/>
          <w:szCs w:val="20"/>
          <w:color w:val="auto"/>
        </w:rPr>
      </w:pPr>
    </w:p>
    <w:p>
      <w:pPr>
        <w:ind w:left="430" w:right="240" w:hanging="422"/>
        <w:spacing w:after="0" w:line="270" w:lineRule="auto"/>
        <w:rPr>
          <w:sz w:val="20"/>
          <w:szCs w:val="20"/>
          <w:color w:val="auto"/>
        </w:rPr>
      </w:pPr>
      <w:r>
        <w:rPr>
          <w:rFonts w:ascii="Times New Roman" w:cs="Times New Roman" w:eastAsia="Times New Roman" w:hAnsi="Times New Roman"/>
          <w:sz w:val="18"/>
          <w:szCs w:val="18"/>
          <w:color w:val="auto"/>
        </w:rPr>
        <w:t>18.4 This Agreement is made in six (6) copies. Each party shall hold one (1) copy and one (1) copy shall be reported to the registration authority. All copies shall have equal legal forces.</w:t>
      </w:r>
    </w:p>
    <w:p>
      <w:pPr>
        <w:spacing w:after="0" w:line="312" w:lineRule="exact"/>
        <w:rPr>
          <w:sz w:val="20"/>
          <w:szCs w:val="20"/>
          <w:color w:val="auto"/>
        </w:rPr>
      </w:pPr>
    </w:p>
    <w:p>
      <w:pPr>
        <w:ind w:left="430" w:hanging="430"/>
        <w:spacing w:after="0"/>
        <w:tabs>
          <w:tab w:leader="none" w:pos="43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Others</w:t>
      </w:r>
    </w:p>
    <w:p>
      <w:pPr>
        <w:spacing w:after="0" w:line="126" w:lineRule="exact"/>
        <w:rPr>
          <w:sz w:val="20"/>
          <w:szCs w:val="20"/>
          <w:color w:val="auto"/>
        </w:rPr>
      </w:pPr>
    </w:p>
    <w:p>
      <w:pPr>
        <w:ind w:left="430" w:right="740" w:hanging="422"/>
        <w:spacing w:after="0" w:line="270" w:lineRule="auto"/>
        <w:rPr>
          <w:sz w:val="20"/>
          <w:szCs w:val="20"/>
          <w:color w:val="auto"/>
        </w:rPr>
      </w:pPr>
      <w:r>
        <w:rPr>
          <w:rFonts w:ascii="Times New Roman" w:cs="Times New Roman" w:eastAsia="Times New Roman" w:hAnsi="Times New Roman"/>
          <w:sz w:val="18"/>
          <w:szCs w:val="18"/>
          <w:color w:val="auto"/>
        </w:rPr>
        <w:t>19.1 Notwithstanding any other provision of this Agreement or any other Transaction Agreement or any other document or law, the Pledgors’ obligations and liabilities under this Agreement are several and not joint.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90"/>
          </w:cols>
          <w:pgMar w:left="550" w:top="265" w:right="559" w:bottom="1440" w:gutter="0" w:footer="0" w:header="0"/>
        </w:sectPr>
      </w:pPr>
    </w:p>
    <w:bookmarkStart w:id="445" w:name="page446"/>
    <w:bookmarkEnd w:id="445"/>
    <w:p>
      <w:pPr>
        <w:ind w:left="420" w:right="20" w:hanging="422"/>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19.2 Notwithstanding any other provision of this Agreement or any other Transaction Agreement or any other document or law, (1) The Pledgee shall not exercise any of its rights to any investor Party B under this Agreement (including but not limited to exercising the Pledge), unless the Pledgee exercises the right to all Pledgors at the same time or all directors of Cayman Company agree otherwise; (2) Investor Party B’s entire and any obligations or liabilities under this Agreement and the transaction documents are limited to the respective Equity Interest of Party C held by them. Except for the Equity Interest of Party C held by Party B, no other party may make any claim to Investor Party B’s other assets in respect of all and any obligations under this Agreement and the transaction documents; and (3) if Investor Party B violates any warranties, commitments, agreements, representations or conditions of this Agreement, the Exclusive Option Agreement, the Business Cooperation Agreement or other Transaction Agreement, the sole right of the Pledgee is only to exercise the Pledge to the Equity Interest of Party C held by the Investor Party B in accordance with Article 8 of this Agreement or exercise the right to purchase the Equity Interest of Party C held by the Investor Party B in accordance with the Exclusive Option Agreement. But Investor Party B does not assume any other liability for the Pledgee or any other person. This article shall survive the termination of this Agreement.</w:t>
      </w:r>
    </w:p>
    <w:p>
      <w:pPr>
        <w:spacing w:after="0" w:line="102" w:lineRule="exact"/>
        <w:rPr>
          <w:sz w:val="20"/>
          <w:szCs w:val="20"/>
          <w:color w:val="auto"/>
        </w:rPr>
      </w:pPr>
    </w:p>
    <w:p>
      <w:pPr>
        <w:ind w:left="420" w:right="160" w:hanging="422"/>
        <w:spacing w:after="0" w:line="258" w:lineRule="auto"/>
        <w:rPr>
          <w:sz w:val="20"/>
          <w:szCs w:val="20"/>
          <w:color w:val="auto"/>
        </w:rPr>
      </w:pPr>
      <w:r>
        <w:rPr>
          <w:rFonts w:ascii="Times New Roman" w:cs="Times New Roman" w:eastAsia="Times New Roman" w:hAnsi="Times New Roman"/>
          <w:sz w:val="18"/>
          <w:szCs w:val="18"/>
          <w:color w:val="auto"/>
        </w:rPr>
        <w:t>19.3 Except for the written revisions, supplementations or modifications made after the date of signing, this Agreement shall constitute the entire agreement concluded among all Parties hereunder regarding the subject matter of this Agreement. It shall supersede all previous oral and written negotiations, statements and contracts concluded regarding the subject matter of this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  This Agreement shall be binding upon and beneficial to all Parties’ respective heirs and authorized assignees.</w:t>
      </w:r>
    </w:p>
    <w:p>
      <w:pPr>
        <w:spacing w:after="0" w:line="124" w:lineRule="exact"/>
        <w:rPr>
          <w:sz w:val="20"/>
          <w:szCs w:val="20"/>
          <w:color w:val="auto"/>
        </w:rPr>
      </w:pPr>
    </w:p>
    <w:p>
      <w:pPr>
        <w:ind w:left="420" w:hanging="422"/>
        <w:spacing w:after="0" w:line="258" w:lineRule="auto"/>
        <w:rPr>
          <w:sz w:val="20"/>
          <w:szCs w:val="20"/>
          <w:color w:val="auto"/>
        </w:rPr>
      </w:pPr>
      <w:r>
        <w:rPr>
          <w:rFonts w:ascii="Times New Roman" w:cs="Times New Roman" w:eastAsia="Times New Roman" w:hAnsi="Times New Roman"/>
          <w:sz w:val="18"/>
          <w:szCs w:val="18"/>
          <w:color w:val="auto"/>
        </w:rPr>
        <w:t>19.5 Any Party may waive its rights under this Agreement, whereas such waiver shall be in writing and approved by all Parties’ signatures. Any Party’s waiver against another party’s breach of this Agreement under certain circumstance shall not be deemed as its waiver against such party’s similar breaches under other circumstances.</w:t>
      </w:r>
    </w:p>
    <w:p>
      <w:pPr>
        <w:spacing w:after="0" w:line="86" w:lineRule="exact"/>
        <w:rPr>
          <w:sz w:val="20"/>
          <w:szCs w:val="20"/>
          <w:color w:val="auto"/>
        </w:rPr>
      </w:pPr>
    </w:p>
    <w:p>
      <w:pPr>
        <w:ind w:left="420" w:right="720" w:hanging="422"/>
        <w:spacing w:after="0" w:line="270" w:lineRule="auto"/>
        <w:rPr>
          <w:sz w:val="20"/>
          <w:szCs w:val="20"/>
          <w:color w:val="auto"/>
        </w:rPr>
      </w:pPr>
      <w:r>
        <w:rPr>
          <w:rFonts w:ascii="Times New Roman" w:cs="Times New Roman" w:eastAsia="Times New Roman" w:hAnsi="Times New Roman"/>
          <w:sz w:val="18"/>
          <w:szCs w:val="18"/>
          <w:color w:val="auto"/>
        </w:rPr>
        <w:t>19.6 The headings of this Agreement are only for the convenience of reading. They shall not be used for interpreting, describing or impacting definitions under this Agreement in other aspects.</w:t>
      </w:r>
    </w:p>
    <w:p>
      <w:pPr>
        <w:spacing w:after="0" w:line="76" w:lineRule="exact"/>
        <w:rPr>
          <w:sz w:val="20"/>
          <w:szCs w:val="20"/>
          <w:color w:val="auto"/>
        </w:rPr>
      </w:pPr>
    </w:p>
    <w:p>
      <w:pPr>
        <w:ind w:left="420" w:right="260" w:hanging="422"/>
        <w:spacing w:after="0" w:line="270" w:lineRule="auto"/>
        <w:rPr>
          <w:sz w:val="20"/>
          <w:szCs w:val="20"/>
          <w:color w:val="auto"/>
        </w:rPr>
      </w:pPr>
      <w:r>
        <w:rPr>
          <w:rFonts w:ascii="Times New Roman" w:cs="Times New Roman" w:eastAsia="Times New Roman" w:hAnsi="Times New Roman"/>
          <w:sz w:val="18"/>
          <w:szCs w:val="18"/>
          <w:color w:val="auto"/>
        </w:rPr>
        <w:t>19.7 All Parties agree to promptly sign documents and take further actions which are reasonably necessary or convenient to perform this Agreement and achieve its purposes.</w:t>
      </w:r>
    </w:p>
    <w:p>
      <w:pPr>
        <w:spacing w:after="0" w:line="76" w:lineRule="exact"/>
        <w:rPr>
          <w:sz w:val="20"/>
          <w:szCs w:val="20"/>
          <w:color w:val="auto"/>
        </w:rPr>
      </w:pPr>
    </w:p>
    <w:p>
      <w:pPr>
        <w:ind w:left="420" w:right="40" w:hanging="422"/>
        <w:spacing w:after="0" w:line="249" w:lineRule="auto"/>
        <w:rPr>
          <w:sz w:val="20"/>
          <w:szCs w:val="20"/>
          <w:color w:val="auto"/>
        </w:rPr>
      </w:pPr>
      <w:r>
        <w:rPr>
          <w:rFonts w:ascii="Times New Roman" w:cs="Times New Roman" w:eastAsia="Times New Roman" w:hAnsi="Times New Roman"/>
          <w:sz w:val="18"/>
          <w:szCs w:val="18"/>
          <w:color w:val="auto"/>
        </w:rPr>
        <w:t>19.8 To the extent there is no violation of other articles of the Transaction Agreement and this Agreement, the Pledgors and Party C shall immediately take actions according to the Pledgee’s written instructions and reasonable requirements provided that the enactment or changes of any laws, rules or regulations of the PRC, or changes to the interpretation or applicability of such laws, rules or regulations, or changes to related registration procedures make the Pledgee believe that keeping this Agreement or the Pledge under this Agreement effective and/or disposing of the Equity Interest in ways designated under this Agreement may become illegal or violate such laws, rules or regulations, in order to: (a) keep this Agreement and the Pledge hereunder effective; (b) for the convenience of disposition of the Equity Interest in ways specified by this Agreement; and/or (c) maintain the guarantees which have been or are to be established by this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60"/>
          </w:cols>
          <w:pgMar w:left="560" w:top="266" w:right="579" w:bottom="1440" w:gutter="0" w:footer="0" w:header="0"/>
        </w:sectPr>
      </w:pPr>
    </w:p>
    <w:bookmarkStart w:id="446" w:name="page447"/>
    <w:bookmarkEnd w:id="446"/>
    <w:p>
      <w:pPr>
        <w:ind w:left="320" w:hanging="422"/>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19.9 This Agreement is a legal document independent of Transaction Agreement and other security documents, the invalidity of which shall not affect all Parties’ rights or obligations under this Agreement. If Transaction Agreement or other security documents are announced to be invalid, but the Pledgors still have remaining Contract Obligations and/or Party C still owes Secured Indebtedness to the Pledgee, the Equity Interest under this Agreement shall still be used as collateral for pledging the Contract Obligations and Secured Indebtedness until the Secured Indebtedness is fully repaid and all Contract Obligations are performed.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660" w:top="266" w:right="6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 Pledge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Pledge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Jingxundi Supply Chain Technology Co., Ltd. (seal)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Xi’an Jingxundi Supply Chain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616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5">
                      <a:extLst>
                        <a:ext uri="{28A0092B-C50C-407E-A947-70E740481C1C}"/>
                      </a:extLst>
                    </a:blip>
                    <a:srcRect/>
                    <a:stretch>
                      <a:fillRect/>
                    </a:stretch>
                  </pic:blipFill>
                  <pic:spPr bwMode="auto">
                    <a:xfrm>
                      <a:off x="0" y="0"/>
                      <a:ext cx="276161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Jingxundi Supply Chain Technology Co., Ltd.)</w:t>
      </w:r>
    </w:p>
    <w:p>
      <w:pPr>
        <w:sectPr>
          <w:pgSz w:w="11900" w:h="16838" w:orient="portrait"/>
          <w:cols w:equalWidth="0" w:num="1">
            <w:col w:w="9899"/>
          </w:cols>
          <w:pgMar w:left="560" w:top="266" w:right="1440"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 Pledge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Pledge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Xi’an Jingdong Xincheng Information Technology Co., Ltd. (seal)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Xi’an Jingdong Xincheng Information Technology Co., Ltd.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Xi’an Jingdong Xincheng Information Technology Co., Ltd.)</w:t>
      </w:r>
    </w:p>
    <w:p>
      <w:pPr>
        <w:sectPr>
          <w:pgSz w:w="11900" w:h="16838" w:orient="portrait"/>
          <w:cols w:equalWidth="0" w:num="1">
            <w:col w:w="9899"/>
          </w:cols>
          <w:pgMar w:left="560" w:top="266" w:right="1440"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 Pledge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Pledge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 Pledge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Pledge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0">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page is intentionally left blank and is the signing page of this Share Pledge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Share Pledge Agreement as of the date and at the address first above written.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2">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ectPr>
          <w:pgSz w:w="11900" w:h="16838" w:orient="portrait"/>
          <w:cols w:equalWidth="0" w:num="1">
            <w:col w:w="9899"/>
          </w:cols>
          <w:pgMar w:left="560" w:top="266" w:right="1440" w:bottom="1440" w:gutter="0" w:footer="0" w:header="0"/>
        </w:sectPr>
      </w:pPr>
    </w:p>
    <w:bookmarkStart w:id="452" w:name="page453"/>
    <w:bookmarkEnd w:id="452"/>
    <w:p>
      <w:pPr>
        <w:jc w:val="right"/>
        <w:ind w:right="40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Appendix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notices, the addresses of the Parties are as follows: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Jingxundi Supply Chain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Qin Miao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Yayun Li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Pang Zhang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Jingdong Xincheng Information Technology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w:t>
      </w:r>
    </w:p>
    <w:p>
      <w:pPr>
        <w:sectPr>
          <w:pgSz w:w="11900" w:h="16838" w:orient="portrait"/>
          <w:cols w:equalWidth="0" w:num="1">
            <w:col w:w="9899"/>
          </w:cols>
          <w:pgMar w:left="560" w:top="264" w:right="1440" w:bottom="1440" w:gutter="0" w:footer="0" w:header="0"/>
        </w:sectPr>
      </w:pPr>
    </w:p>
    <w:bookmarkStart w:id="453" w:name="page454"/>
    <w:bookmarkEnd w:id="4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share pledge agreements substantially in form as this exhibit that the Registrant entered into with certain other Chinese variable interest entities. Other than the information set forth below, there is no material difference between such other agreements and this exhibit.</w:t>
      </w:r>
    </w:p>
    <w:p>
      <w:pPr>
        <w:sectPr>
          <w:pgSz w:w="11900" w:h="16838" w:orient="portrait"/>
          <w:cols w:equalWidth="0" w:num="1">
            <w:col w:w="10780"/>
          </w:cols>
          <w:pgMar w:left="560" w:top="264" w:right="55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4"/>
          <w:szCs w:val="14"/>
          <w:b w:val="1"/>
          <w:bCs w:val="1"/>
          <w:u w:val="single" w:color="auto"/>
          <w:color w:val="auto"/>
        </w:rPr>
        <w:t>VIE</w:t>
      </w:r>
      <w:r>
        <w:rPr>
          <w:sz w:val="20"/>
          <w:szCs w:val="20"/>
          <w:color w:val="auto"/>
        </w:rPr>
        <w:tab/>
      </w:r>
      <w:r>
        <w:rPr>
          <w:rFonts w:ascii="Times New Roman" w:cs="Times New Roman" w:eastAsia="Times New Roman" w:hAnsi="Times New Roman"/>
          <w:sz w:val="14"/>
          <w:szCs w:val="14"/>
          <w:b w:val="1"/>
          <w:bCs w:val="1"/>
          <w:color w:val="auto"/>
        </w:rPr>
        <w:t>Executing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13970</wp:posOffset>
            </wp:positionV>
            <wp:extent cx="1024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5">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98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1980" w:type="dxa"/>
            <w:vAlign w:val="bottom"/>
          </w:tcPr>
          <w:p>
            <w:pPr>
              <w:jc w:val="center"/>
              <w:ind w:left="7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Entitlement to all</w:t>
            </w:r>
          </w:p>
        </w:tc>
        <w:tc>
          <w:tcPr>
            <w:tcW w:w="14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Execution Date</w:t>
            </w:r>
          </w:p>
        </w:tc>
        <w:tc>
          <w:tcPr>
            <w:tcW w:w="0" w:type="dxa"/>
            <w:vAlign w:val="bottom"/>
          </w:tcPr>
          <w:p>
            <w:pPr>
              <w:spacing w:after="0"/>
              <w:rPr>
                <w:sz w:val="1"/>
                <w:szCs w:val="1"/>
                <w:color w:val="auto"/>
              </w:rPr>
            </w:pPr>
          </w:p>
        </w:tc>
      </w:tr>
      <w:tr>
        <w:trPr>
          <w:trHeight w:val="183"/>
        </w:trPr>
        <w:tc>
          <w:tcPr>
            <w:tcW w:w="1700" w:type="dxa"/>
            <w:vAlign w:val="bottom"/>
            <w:vMerge w:val="continue"/>
          </w:tcPr>
          <w:p>
            <w:pPr>
              <w:spacing w:after="0"/>
              <w:rPr>
                <w:sz w:val="15"/>
                <w:szCs w:val="15"/>
                <w:color w:val="auto"/>
              </w:rPr>
            </w:pPr>
          </w:p>
        </w:tc>
        <w:tc>
          <w:tcPr>
            <w:tcW w:w="198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w w:val="99"/>
              </w:rPr>
              <w:t>Proceeds for Pledgee</w:t>
            </w:r>
          </w:p>
        </w:tc>
        <w:tc>
          <w:tcPr>
            <w:tcW w:w="14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80" w:space="560"/>
            <w:col w:w="6640"/>
          </w:cols>
          <w:pgMar w:left="560" w:top="264"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Suqian Jingdong Tianning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Jiankang Technology Co.,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color w:val="auto"/>
        </w:rPr>
        <w:t>Guangdong Jingxi Logistics Technology Co., Ltd.</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Times New Roman" w:cs="Times New Roman" w:eastAsia="Times New Roman" w:hAnsi="Times New Roman"/>
          <w:sz w:val="17"/>
          <w:szCs w:val="17"/>
          <w:color w:val="auto"/>
        </w:rPr>
        <w:t>Party A: Beijing Jingdong Jiankang Co., Ltd.</w:t>
      </w:r>
    </w:p>
    <w:p>
      <w:pPr>
        <w:spacing w:after="0" w:line="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Party B: Qin Miao, Tingting Sui and Pang Zhang</w:t>
      </w:r>
    </w:p>
    <w:p>
      <w:pPr>
        <w:spacing w:after="0" w:line="8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Party C: Suqian Jingdong Tianning Jiankang Technology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7"/>
          <w:szCs w:val="17"/>
          <w:color w:val="auto"/>
        </w:rPr>
        <w:t>Party A: Jingdong Logistics Supply Chain Co., Ltd.</w:t>
      </w:r>
    </w:p>
    <w:p>
      <w:pPr>
        <w:spacing w:after="0" w:line="6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Party B: Jian Cui and Dingkai Yu</w:t>
      </w:r>
    </w:p>
    <w:p>
      <w:pPr>
        <w:spacing w:after="0" w:line="76"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Party C: Guangdong Jingxi Logistics Technology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The registered capital</w:t>
            </w:r>
          </w:p>
        </w:tc>
        <w:tc>
          <w:tcPr>
            <w:tcW w:w="580" w:type="dxa"/>
            <w:vAlign w:val="bottom"/>
          </w:tcPr>
          <w:p>
            <w:pPr>
              <w:spacing w:after="0"/>
              <w:rPr>
                <w:sz w:val="16"/>
                <w:szCs w:val="16"/>
                <w:color w:val="auto"/>
              </w:rPr>
            </w:pPr>
          </w:p>
        </w:tc>
        <w:tc>
          <w:tcPr>
            <w:tcW w:w="15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c>
          <w:tcPr>
            <w:tcW w:w="100" w:type="dxa"/>
            <w:vAlign w:val="bottom"/>
          </w:tcPr>
          <w:p>
            <w:pPr>
              <w:spacing w:after="0"/>
              <w:rPr>
                <w:sz w:val="16"/>
                <w:szCs w:val="16"/>
                <w:color w:val="auto"/>
              </w:rPr>
            </w:pPr>
          </w:p>
        </w:tc>
        <w:tc>
          <w:tcPr>
            <w:tcW w:w="14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March 26, 2026</w:t>
            </w: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Suqian Jingdong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Tianning Jiankang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RMB1,000,000.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capital</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amount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shareholding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the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are 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Miao:</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RMB450,000.00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Tingting Sui:</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RMB300,000.00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RMB250,000.00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registered capital</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January 25, 2021</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January 25, 2021</w:t>
            </w: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Guangdong Jingxi</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Logistics 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 is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RMB5,000,000.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capital</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amount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shareholding</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the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are as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 Cui:</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RMB2,500,000 (50%)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13"/>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Dingkai Yu:</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RMB2,500,000 (50%)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ectPr>
          <w:pgSz w:w="11900" w:h="16838" w:orient="portrait"/>
          <w:cols w:equalWidth="0" w:num="3">
            <w:col w:w="1980" w:space="280"/>
            <w:col w:w="1560" w:space="140"/>
            <w:col w:w="6820"/>
          </w:cols>
          <w:pgMar w:left="560" w:top="264" w:right="559" w:bottom="1440" w:gutter="0" w:footer="0" w:header="0"/>
          <w:type w:val="continuous"/>
        </w:sectPr>
      </w:pPr>
    </w:p>
    <w:bookmarkStart w:id="454" w:name="page455"/>
    <w:bookmarkEnd w:id="454"/>
    <w:p>
      <w:pPr>
        <w:jc w:val="right"/>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Equity Pledge Agreement</w:t>
      </w:r>
    </w:p>
    <w:p>
      <w:pPr>
        <w:spacing w:after="0" w:line="216" w:lineRule="exact"/>
        <w:rPr>
          <w:sz w:val="20"/>
          <w:szCs w:val="20"/>
          <w:color w:val="auto"/>
        </w:rPr>
      </w:pPr>
    </w:p>
    <w:p>
      <w:pPr>
        <w:ind w:left="10" w:right="620" w:firstLine="431"/>
        <w:spacing w:after="0" w:line="273" w:lineRule="auto"/>
        <w:rPr>
          <w:sz w:val="20"/>
          <w:szCs w:val="20"/>
          <w:color w:val="auto"/>
        </w:rPr>
      </w:pPr>
      <w:r>
        <w:rPr>
          <w:rFonts w:ascii="Times New Roman" w:cs="Times New Roman" w:eastAsia="Times New Roman" w:hAnsi="Times New Roman"/>
          <w:sz w:val="18"/>
          <w:szCs w:val="18"/>
          <w:color w:val="auto"/>
        </w:rPr>
        <w:t>This EQUITY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October 17, 2022, is made in Beijing,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Registered address: Room 201, 2/F, Tower C, No. 18 Kechuang 11 Street, Beijing</w:t>
      </w:r>
    </w:p>
    <w:p>
      <w:pPr>
        <w:spacing w:after="0" w:line="5"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Economic and Technological Development Zone, Beijing</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Party B: Qin Miao</w:t>
      </w:r>
    </w:p>
    <w:p>
      <w:pPr>
        <w:spacing w:after="0" w:line="2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5"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Party C: Beijing Jiasheng Investment Management Co., Ltd.</w:t>
      </w:r>
    </w:p>
    <w:p>
      <w:pPr>
        <w:spacing w:after="0" w:line="2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Registered address: Room 706, 7/F, Building 1, No. 18 Kechuang 11 Street, Beijing</w:t>
      </w:r>
    </w:p>
    <w:p>
      <w:pPr>
        <w:spacing w:after="0" w:line="5"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Economic and Technological Development Zone, Beijing</w:t>
      </w:r>
    </w:p>
    <w:p>
      <w:pPr>
        <w:spacing w:after="0" w:line="199" w:lineRule="exact"/>
        <w:rPr>
          <w:sz w:val="20"/>
          <w:szCs w:val="20"/>
          <w:color w:val="auto"/>
        </w:rPr>
      </w:pPr>
    </w:p>
    <w:p>
      <w:pPr>
        <w:ind w:left="10" w:right="480"/>
        <w:spacing w:after="0" w:line="270" w:lineRule="auto"/>
        <w:rPr>
          <w:sz w:val="20"/>
          <w:szCs w:val="20"/>
          <w:color w:val="auto"/>
        </w:rPr>
      </w:pPr>
      <w:r>
        <w:rPr>
          <w:rFonts w:ascii="Times New Roman" w:cs="Times New Roman" w:eastAsia="Times New Roman" w:hAnsi="Times New Roman"/>
          <w:sz w:val="18"/>
          <w:szCs w:val="18"/>
          <w:color w:val="auto"/>
        </w:rPr>
        <w:t>(Party B is referred to as “Pledgors” collectively or “Pledgor” separately hereinafter; Party A is referred to as “Pledgee” hereinafter; and either the Pledgors or the Pledgee is individually referred to as a “Party” and collectively referred to as the “Parties”.)</w:t>
      </w:r>
    </w:p>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340" w:hanging="430"/>
        <w:spacing w:after="0" w:line="270" w:lineRule="auto"/>
        <w:tabs>
          <w:tab w:leader="none" w:pos="43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Jiasheng Investment Management Co., Ltd. (“Beijing Company”) is a limited liability company duly incorporated and validly existing under the PRC laws.</w:t>
      </w:r>
    </w:p>
    <w:p>
      <w:pPr>
        <w:spacing w:after="0" w:line="76" w:lineRule="exact"/>
        <w:rPr>
          <w:rFonts w:ascii="Times New Roman" w:cs="Times New Roman" w:eastAsia="Times New Roman" w:hAnsi="Times New Roman"/>
          <w:sz w:val="18"/>
          <w:szCs w:val="18"/>
          <w:color w:val="auto"/>
        </w:rPr>
      </w:pPr>
    </w:p>
    <w:p>
      <w:pPr>
        <w:ind w:left="430" w:right="460" w:hanging="430"/>
        <w:spacing w:after="0" w:line="270" w:lineRule="auto"/>
        <w:tabs>
          <w:tab w:leader="none" w:pos="43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hold 100% equity interests of Beijing Company in total, of which 45%, 30% and 25% equity interests are owned by Qin Miao, Yayun Li and Pang Zhang, respectively.</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is a wholly foreign owned company duly incorporated and existing under the laws of the PRC.</w:t>
      </w:r>
    </w:p>
    <w:p>
      <w:pPr>
        <w:spacing w:after="0" w:line="123" w:lineRule="exact"/>
        <w:rPr>
          <w:rFonts w:ascii="Times New Roman" w:cs="Times New Roman" w:eastAsia="Times New Roman" w:hAnsi="Times New Roman"/>
          <w:sz w:val="18"/>
          <w:szCs w:val="18"/>
          <w:color w:val="auto"/>
        </w:rPr>
      </w:pPr>
    </w:p>
    <w:p>
      <w:pPr>
        <w:ind w:left="430" w:right="420" w:hanging="430"/>
        <w:spacing w:after="0" w:line="270" w:lineRule="auto"/>
        <w:tabs>
          <w:tab w:leader="none" w:pos="43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Pledgee and Beijing Company entered into an Exclusive Technology Consulting and Service Agreement on October 17, 2022 (“Services Agreement”).</w:t>
      </w:r>
    </w:p>
    <w:p>
      <w:pPr>
        <w:spacing w:after="0" w:line="76" w:lineRule="exact"/>
        <w:rPr>
          <w:rFonts w:ascii="Times New Roman" w:cs="Times New Roman" w:eastAsia="Times New Roman" w:hAnsi="Times New Roman"/>
          <w:sz w:val="18"/>
          <w:szCs w:val="18"/>
          <w:color w:val="auto"/>
        </w:rPr>
      </w:pPr>
    </w:p>
    <w:p>
      <w:pPr>
        <w:jc w:val="both"/>
        <w:ind w:left="430" w:right="180" w:hanging="430"/>
        <w:spacing w:after="0" w:line="253" w:lineRule="auto"/>
        <w:tabs>
          <w:tab w:leader="none" w:pos="43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and the Pledgee entered into a Loan Agreement on October 17, 2022 (“Loan Agreement”), and entered into an Exclusive Purchase Option Agreement on October 17, 2022 (“Exclusive Purchase Option Agreement”). In addition, the Pledgors delivered the Power of Attorney to the Pledgee on October 17, 2022 (“Power of Attorney”, together with the Services Agreement, Loan Agreement and Exclusive Purchase Option Agreement, collectively referred as “Master Agreement”).</w:t>
      </w:r>
    </w:p>
    <w:p>
      <w:pPr>
        <w:sectPr>
          <w:pgSz w:w="11900" w:h="16838" w:orient="portrait"/>
          <w:cols w:equalWidth="0" w:num="1">
            <w:col w:w="10790"/>
          </w:cols>
          <w:pgMar w:left="550" w:top="119" w:right="559" w:bottom="1440" w:gutter="0" w:footer="0" w:header="0"/>
        </w:sectPr>
      </w:pPr>
    </w:p>
    <w:bookmarkStart w:id="455" w:name="page456"/>
    <w:bookmarkEnd w:id="455"/>
    <w:p>
      <w:pPr>
        <w:ind w:left="430" w:right="460" w:hanging="430"/>
        <w:spacing w:after="0" w:line="253" w:lineRule="auto"/>
        <w:tabs>
          <w:tab w:leader="none" w:pos="43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order to secure the Pledgors’ performance of their obligations under this Agreement, the Loan Agreement, the Exclusive Purchase Option Agreement and the Power of Attorney, and in order to ensure Beijing Company to be able to perform its obligations under the Services Agreement, the Pledgors hereby pledge all the equity interests held by them in Beijing Company as the guaranty for their and/or Beijing Company’s performance of obligations under the Master Agreement.</w:t>
      </w:r>
    </w:p>
    <w:p>
      <w:pPr>
        <w:spacing w:after="0" w:line="1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the Parties hereby agree as follows through friendly negotiations:</w:t>
      </w:r>
    </w:p>
    <w:p>
      <w:pPr>
        <w:spacing w:after="0" w:line="359" w:lineRule="exact"/>
        <w:rPr>
          <w:sz w:val="20"/>
          <w:szCs w:val="20"/>
          <w:color w:val="auto"/>
        </w:rPr>
      </w:pPr>
    </w:p>
    <w:p>
      <w:pPr>
        <w:ind w:left="430" w:hanging="430"/>
        <w:spacing w:after="0"/>
        <w:tabs>
          <w:tab w:leader="none" w:pos="43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herein, the following words shall have the meanings as follows:</w:t>
      </w:r>
    </w:p>
    <w:p>
      <w:pPr>
        <w:spacing w:after="0" w:line="123" w:lineRule="exact"/>
        <w:rPr>
          <w:rFonts w:ascii="Times New Roman" w:cs="Times New Roman" w:eastAsia="Times New Roman" w:hAnsi="Times New Roman"/>
          <w:sz w:val="18"/>
          <w:szCs w:val="18"/>
          <w:b w:val="1"/>
          <w:bCs w:val="1"/>
          <w:color w:val="auto"/>
        </w:rPr>
      </w:pPr>
    </w:p>
    <w:p>
      <w:pPr>
        <w:ind w:left="1050" w:right="1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1.1Pledge Right: means the priority right the Pledgee owns, with respect to the proceedings arising from selling at a discount, auction of, or selling off the equity interests pledged by the Pledgors to the Pledgee.</w:t>
      </w:r>
    </w:p>
    <w:p>
      <w:pPr>
        <w:spacing w:after="0" w:line="76" w:lineRule="exact"/>
        <w:rPr>
          <w:rFonts w:ascii="Times New Roman" w:cs="Times New Roman" w:eastAsia="Times New Roman" w:hAnsi="Times New Roman"/>
          <w:sz w:val="18"/>
          <w:szCs w:val="18"/>
          <w:b w:val="1"/>
          <w:bCs w:val="1"/>
          <w:color w:val="auto"/>
        </w:rPr>
      </w:pPr>
    </w:p>
    <w:p>
      <w:pPr>
        <w:ind w:left="1050" w:right="4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1.2Pledged Equity Interests: means all the equity interests duly held by the Pledgors in Beijing Company, i.e. 100% equity interests of Beijing Company, as well as all the other rights created over it.</w:t>
      </w:r>
    </w:p>
    <w:p>
      <w:pPr>
        <w:spacing w:after="0" w:line="76"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Term of Pledge: means the period of term specified in Article 3 hereof.</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7"/>
          <w:szCs w:val="17"/>
          <w:color w:val="auto"/>
        </w:rPr>
        <w:t>Event of Default: means any of the circumstances listed in Article 7 hereof.</w:t>
      </w:r>
    </w:p>
    <w:p>
      <w:pPr>
        <w:spacing w:after="0" w:line="123" w:lineRule="exact"/>
        <w:rPr>
          <w:rFonts w:ascii="Times New Roman" w:cs="Times New Roman" w:eastAsia="Times New Roman" w:hAnsi="Times New Roman"/>
          <w:sz w:val="18"/>
          <w:szCs w:val="18"/>
          <w:b w:val="1"/>
          <w:bCs w:val="1"/>
          <w:color w:val="auto"/>
        </w:rPr>
      </w:pPr>
    </w:p>
    <w:p>
      <w:pPr>
        <w:ind w:left="1050" w:right="3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1.5Notice of Default: means any notice issued by the Pledgee to the Pledgors in accordance with this Agreement specifying an Event of Default.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Right and Scope of Guaranty</w:t>
      </w:r>
    </w:p>
    <w:p>
      <w:pPr>
        <w:spacing w:after="0" w:line="125" w:lineRule="exact"/>
        <w:rPr>
          <w:rFonts w:ascii="Times New Roman" w:cs="Times New Roman" w:eastAsia="Times New Roman" w:hAnsi="Times New Roman"/>
          <w:sz w:val="18"/>
          <w:szCs w:val="18"/>
          <w:b w:val="1"/>
          <w:bCs w:val="1"/>
          <w:color w:val="auto"/>
        </w:rPr>
      </w:pPr>
    </w:p>
    <w:p>
      <w:pPr>
        <w:ind w:left="1050" w:right="20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2.1The Pledgors agree to pledge all the Pledged Equity Interests to the Pledgee as the guaranty for their and/or Beijing Company’s performance of all the obligations under the Master Agreement and all the liabilities of indemnification to the Pledgee which may arise due to the invalidity or cancellation of the Master Agreement. Beijing Company agrees with such equity pledge arrangement.</w:t>
      </w:r>
    </w:p>
    <w:p>
      <w:pPr>
        <w:spacing w:after="0" w:line="85" w:lineRule="exact"/>
        <w:rPr>
          <w:rFonts w:ascii="Times New Roman" w:cs="Times New Roman" w:eastAsia="Times New Roman" w:hAnsi="Times New Roman"/>
          <w:sz w:val="18"/>
          <w:szCs w:val="18"/>
          <w:b w:val="1"/>
          <w:bCs w:val="1"/>
          <w:color w:val="auto"/>
        </w:rPr>
      </w:pPr>
    </w:p>
    <w:p>
      <w:pPr>
        <w:ind w:left="105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2.2The effect of guaranty under the Master Agreement will not be prejudiced by any amendment or change of the Master Agreement. The invalidity or cancellation of the Master Agreement does not impair the validity of this Agreement. In the event that the Master Agreement is deemed as invalid, or cancelled or revoked for any reason, the Pledgee is entitled to realized its pledge right in accordance with Article 8 hereof.</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70"/>
          </w:cols>
          <w:pgMar w:left="550" w:top="266" w:right="579" w:bottom="1440" w:gutter="0" w:footer="0" w:header="0"/>
        </w:sectPr>
      </w:pPr>
    </w:p>
    <w:bookmarkStart w:id="456" w:name="page457"/>
    <w:bookmarkEnd w:id="456"/>
    <w:p>
      <w:pPr>
        <w:ind w:left="430" w:hanging="430"/>
        <w:spacing w:after="0"/>
        <w:tabs>
          <w:tab w:leader="none" w:pos="43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Creation and Term of Pledge</w:t>
      </w:r>
    </w:p>
    <w:p>
      <w:pPr>
        <w:spacing w:after="0" w:line="125" w:lineRule="exact"/>
        <w:rPr>
          <w:rFonts w:ascii="Times New Roman" w:cs="Times New Roman" w:eastAsia="Times New Roman" w:hAnsi="Times New Roman"/>
          <w:sz w:val="18"/>
          <w:szCs w:val="18"/>
          <w:b w:val="1"/>
          <w:bCs w:val="1"/>
          <w:color w:val="auto"/>
        </w:rPr>
      </w:pPr>
    </w:p>
    <w:p>
      <w:pPr>
        <w:ind w:left="105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Pledge Right hereunder shall be reflected on the register of shareholders and the capital contribution certificate of Beijing Company in accordance with the form as attached to this Agreement.</w:t>
      </w:r>
    </w:p>
    <w:p>
      <w:pPr>
        <w:spacing w:after="0" w:line="76" w:lineRule="exact"/>
        <w:rPr>
          <w:rFonts w:ascii="Times New Roman" w:cs="Times New Roman" w:eastAsia="Times New Roman" w:hAnsi="Times New Roman"/>
          <w:sz w:val="18"/>
          <w:szCs w:val="18"/>
          <w:b w:val="1"/>
          <w:bCs w:val="1"/>
          <w:color w:val="auto"/>
        </w:rPr>
      </w:pPr>
    </w:p>
    <w:p>
      <w:pPr>
        <w:ind w:left="1050" w:right="28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3.2The term of the Pledge Right is two (2) years effective from the registration of pledge of equity interests with the Administration for Industry and Commerce of the place where Beijing Company is registered, till the day on which all the obligations under the Master Agreement are fully performed (“Term of Pledge”).</w:t>
      </w:r>
    </w:p>
    <w:p>
      <w:pPr>
        <w:spacing w:after="0" w:line="85" w:lineRule="exact"/>
        <w:rPr>
          <w:rFonts w:ascii="Times New Roman" w:cs="Times New Roman" w:eastAsia="Times New Roman" w:hAnsi="Times New Roman"/>
          <w:sz w:val="18"/>
          <w:szCs w:val="18"/>
          <w:b w:val="1"/>
          <w:bCs w:val="1"/>
          <w:color w:val="auto"/>
        </w:rPr>
      </w:pPr>
    </w:p>
    <w:p>
      <w:pPr>
        <w:ind w:left="1050" w:right="2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3.3During the Term of Pledge, if the Pledgors and/or Beijing Company fails to perform any obligation under or arising from the Master Agreement, the Pledgee has the right to dispose of the Pledge Right in accordance with Article 8 hereof.</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Possession of Pledge Certificates</w:t>
      </w:r>
    </w:p>
    <w:p>
      <w:pPr>
        <w:spacing w:after="0" w:line="125" w:lineRule="exact"/>
        <w:rPr>
          <w:rFonts w:ascii="Times New Roman" w:cs="Times New Roman" w:eastAsia="Times New Roman" w:hAnsi="Times New Roman"/>
          <w:sz w:val="18"/>
          <w:szCs w:val="18"/>
          <w:b w:val="1"/>
          <w:bCs w:val="1"/>
          <w:color w:val="auto"/>
        </w:rPr>
      </w:pPr>
    </w:p>
    <w:p>
      <w:pPr>
        <w:ind w:left="1050" w:right="4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4.1The Pledgors shall deliver the register of shareholders and capital contribution certificate of Beijing Company which reflects the pledge of equity interests as mentioned in above Article 3 within three (3) business days upon the pledge is recorded on such documents, to the Pledgee for its possession, and the Pledgee is obligated to keep the received pledge documents.</w:t>
      </w:r>
    </w:p>
    <w:p>
      <w:pPr>
        <w:spacing w:after="0" w:line="85" w:lineRule="exact"/>
        <w:rPr>
          <w:rFonts w:ascii="Times New Roman" w:cs="Times New Roman" w:eastAsia="Times New Roman" w:hAnsi="Times New Roman"/>
          <w:sz w:val="18"/>
          <w:szCs w:val="18"/>
          <w:b w:val="1"/>
          <w:bCs w:val="1"/>
          <w:color w:val="auto"/>
        </w:rPr>
      </w:pPr>
    </w:p>
    <w:p>
      <w:pPr>
        <w:ind w:left="1050" w:right="2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4.2The Pledgee is entitled to all the proceeds in cash including the dividends and all the other non-cash proceeds arising from the Pledge Equity Interests since October 17, 2022.</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Pledgors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Pledgors are the legal owners of Pledged Equity Interests.</w:t>
      </w:r>
    </w:p>
    <w:p>
      <w:pPr>
        <w:spacing w:after="0" w:line="123" w:lineRule="exact"/>
        <w:rPr>
          <w:rFonts w:ascii="Times New Roman" w:cs="Times New Roman" w:eastAsia="Times New Roman" w:hAnsi="Times New Roman"/>
          <w:sz w:val="18"/>
          <w:szCs w:val="18"/>
          <w:b w:val="1"/>
          <w:bCs w:val="1"/>
          <w:color w:val="auto"/>
        </w:rPr>
      </w:pPr>
    </w:p>
    <w:p>
      <w:pPr>
        <w:ind w:left="1050" w:right="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5.2Once the Pledgee intends to exercise the rights of the Pledgee under this Agreement anytime, it shall be protected from any interference from any other party.</w:t>
      </w:r>
    </w:p>
    <w:p>
      <w:pPr>
        <w:spacing w:after="0" w:line="76"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7"/>
          <w:szCs w:val="17"/>
          <w:color w:val="auto"/>
        </w:rPr>
        <w:t>The Pledgee has the right to dispose of or transfer the Pledge Right in the way as described hereunder.</w:t>
      </w:r>
    </w:p>
    <w:p>
      <w:pPr>
        <w:spacing w:after="0" w:line="123" w:lineRule="exact"/>
        <w:rPr>
          <w:rFonts w:ascii="Times New Roman" w:cs="Times New Roman" w:eastAsia="Times New Roman" w:hAnsi="Times New Roman"/>
          <w:sz w:val="18"/>
          <w:szCs w:val="18"/>
          <w:b w:val="1"/>
          <w:bCs w:val="1"/>
          <w:color w:val="auto"/>
        </w:rPr>
      </w:pPr>
    </w:p>
    <w:p>
      <w:pPr>
        <w:ind w:left="1050" w:right="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5.4Neither of the Pledgors has ever created any other pledge right or any other third party right over the equity interests except towards the Pledgee.</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from the Pledgor</w:t>
      </w:r>
    </w:p>
    <w:p>
      <w:pPr>
        <w:spacing w:after="0" w:line="12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During the term of this Agreement, the Pledgors covenant to the Pledgee as follows:</w:t>
      </w:r>
    </w:p>
    <w:p>
      <w:pPr>
        <w:spacing w:after="0" w:line="124" w:lineRule="exact"/>
        <w:rPr>
          <w:sz w:val="20"/>
          <w:szCs w:val="20"/>
          <w:color w:val="auto"/>
        </w:rPr>
      </w:pPr>
    </w:p>
    <w:p>
      <w:pPr>
        <w:ind w:left="1710" w:right="40" w:hanging="634"/>
        <w:spacing w:after="0" w:line="253" w:lineRule="auto"/>
        <w:tabs>
          <w:tab w:leader="none" w:pos="1689"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Without prior written consent of the Pledgee, the Pledgors should not transfer the Pledged Equity Interests, or create or allow creation of any new pledge or any other security upon the Pledged Equity Interests which may impair the rights and/or interest of the Pledgee, except for the transfer of equity interests to the Pledgee or the person designated by the Pledgee in accordance with the Exclusive Purchase Option Agreement.</w:t>
      </w:r>
    </w:p>
    <w:p>
      <w:pPr>
        <w:spacing w:after="0" w:line="119" w:lineRule="exact"/>
        <w:rPr>
          <w:sz w:val="20"/>
          <w:szCs w:val="20"/>
          <w:color w:val="auto"/>
        </w:rPr>
      </w:pPr>
    </w:p>
    <w:p>
      <w:pPr>
        <w:jc w:val="center"/>
        <w:ind w:right="-10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70"/>
          </w:cols>
          <w:pgMar w:left="550" w:top="264" w:right="679" w:bottom="1440" w:gutter="0" w:footer="0" w:header="0"/>
        </w:sectPr>
      </w:pPr>
    </w:p>
    <w:bookmarkStart w:id="457" w:name="page458"/>
    <w:bookmarkEnd w:id="457"/>
    <w:p>
      <w:pPr>
        <w:ind w:left="1280" w:right="160" w:hanging="634"/>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6.1.2</w:t>
      </w:r>
      <w:r>
        <w:rPr>
          <w:sz w:val="20"/>
          <w:szCs w:val="20"/>
          <w:color w:val="auto"/>
        </w:rPr>
        <w:tab/>
      </w:r>
      <w:r>
        <w:rPr>
          <w:rFonts w:ascii="Times New Roman" w:cs="Times New Roman" w:eastAsia="Times New Roman" w:hAnsi="Times New Roman"/>
          <w:sz w:val="18"/>
          <w:szCs w:val="18"/>
          <w:color w:val="auto"/>
        </w:rPr>
        <w:t>The Pledgors shall abide by and exercise all the provisions of laws and regulations in relation to the pledge of rights, and shall present the Pledgee any and all notices, directions or suggestions issued by related competent authorities within two (2) days upon the receipt of such notices, directions or suggestions, and shall comply with such notices, directions or suggestions, or present its opposite opinions and representations regarding the above mentioned issues according to the reasonable request of the Pledgee or with the consent from the Pledgee;</w:t>
      </w:r>
    </w:p>
    <w:p>
      <w:pPr>
        <w:spacing w:after="0" w:line="94" w:lineRule="exact"/>
        <w:rPr>
          <w:sz w:val="20"/>
          <w:szCs w:val="20"/>
          <w:color w:val="auto"/>
        </w:rPr>
      </w:pPr>
    </w:p>
    <w:p>
      <w:pPr>
        <w:ind w:left="1280" w:right="400" w:hanging="634"/>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The Pledgors shall give prompt notice to the Pledgee regarding any occurrence or received notice which may influence the equity interests or any part of the equity interests held by the Pledgee, or may change any warranties or obligations of the Pledgors under this Agreement or may influence the performance of obligations by the Pledgors hereunder.</w:t>
      </w:r>
    </w:p>
    <w:p>
      <w:pPr>
        <w:spacing w:after="0" w:line="86" w:lineRule="exact"/>
        <w:rPr>
          <w:sz w:val="20"/>
          <w:szCs w:val="20"/>
          <w:color w:val="auto"/>
        </w:rPr>
      </w:pPr>
    </w:p>
    <w:p>
      <w:pPr>
        <w:ind w:left="620" w:right="60" w:hanging="63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Pledgors agree that, the right of the Pledgee to exercise of Pledge Right hereunder in accordance with this Agreement, shall not be interfered or impaired by any legal proceedings taken by the Pledgors, or the successor or designated person of the Pledgors or any other person.</w:t>
      </w:r>
    </w:p>
    <w:p>
      <w:pPr>
        <w:spacing w:after="0" w:line="86" w:lineRule="exact"/>
        <w:rPr>
          <w:sz w:val="20"/>
          <w:szCs w:val="20"/>
          <w:color w:val="auto"/>
        </w:rPr>
      </w:pPr>
    </w:p>
    <w:p>
      <w:pPr>
        <w:ind w:left="620" w:hanging="633"/>
        <w:spacing w:after="0" w:line="267"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The Pledgors warrant to the Pledgee that, in order to protect or consummate the guaranty provided by this Agreement regarding the performance of the Master Agreement, the Pledgors will faithfully sign, or cause any other party which is materially related to the Pledge Right to sign, any and all right certificates and deeds, and/or take, or cause any other party which is materially related to the Pledge Right to take, any and all actions, reasonably required by the Pledgee, and will facilitate the exercise of the rights and authorizations granted to the Pledgee under this Agreement, enter into any change to related equity certificate with the Pledgee or the Pledgee’s designated person (individual/legal person), and provide to the Pledgee any and all notices, orders and decisions as deemed necessary by the Pledgee.</w:t>
      </w:r>
    </w:p>
    <w:p>
      <w:pPr>
        <w:spacing w:after="0" w:line="83" w:lineRule="exact"/>
        <w:rPr>
          <w:sz w:val="20"/>
          <w:szCs w:val="20"/>
          <w:color w:val="auto"/>
        </w:rPr>
      </w:pPr>
    </w:p>
    <w:p>
      <w:pPr>
        <w:ind w:left="620" w:right="80" w:hanging="63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Pledgors undertake to the Pledgee they will abide by and perform all representations, warranties and undertakings to protect the interests of the Pledgee. The Pledgors shall indemnify the Pledgee any and all losses suffered by the Pledgee due to the Pledgors’ failure or partial failure in performance of their representations, warranties or undertakings.</w:t>
      </w:r>
    </w:p>
    <w:p>
      <w:pPr>
        <w:spacing w:after="0" w:line="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The Pledgors covenant to the Pledgee they assume several and joint liabilities with respect to the obligations hereunder.</w:t>
      </w:r>
    </w:p>
    <w:p>
      <w:pPr>
        <w:spacing w:after="0" w:line="15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20"/>
          </w:cols>
          <w:pgMar w:left="980" w:top="266" w:right="599" w:bottom="1440" w:gutter="0" w:footer="0" w:header="0"/>
        </w:sectPr>
      </w:pPr>
    </w:p>
    <w:bookmarkStart w:id="458" w:name="page459"/>
    <w:bookmarkEnd w:id="458"/>
    <w:p>
      <w:pPr>
        <w:ind w:left="1050" w:right="140" w:hanging="633"/>
        <w:spacing w:after="0" w:line="300"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6.6</w:t>
      </w:r>
      <w:r>
        <w:rPr>
          <w:sz w:val="20"/>
          <w:szCs w:val="20"/>
          <w:color w:val="auto"/>
        </w:rPr>
        <w:tab/>
      </w:r>
      <w:r>
        <w:rPr>
          <w:rFonts w:ascii="Times New Roman" w:cs="Times New Roman" w:eastAsia="Times New Roman" w:hAnsi="Times New Roman"/>
          <w:sz w:val="17"/>
          <w:szCs w:val="17"/>
          <w:color w:val="auto"/>
        </w:rPr>
        <w:t>The Pledgors irrevocably agree to waive the preemptive right with respect to the Pledged Equity Interests pledged by other shareholders of Beijing Company to the Pledgee, as well as the transfer of equity interests due to the exercise of Pledge Right by the Pledgee.</w:t>
      </w:r>
    </w:p>
    <w:p>
      <w:pPr>
        <w:spacing w:after="0" w:line="289" w:lineRule="exact"/>
        <w:rPr>
          <w:sz w:val="20"/>
          <w:szCs w:val="20"/>
          <w:color w:val="auto"/>
        </w:rPr>
      </w:pPr>
    </w:p>
    <w:p>
      <w:pPr>
        <w:ind w:left="430" w:hanging="430"/>
        <w:spacing w:after="0"/>
        <w:tabs>
          <w:tab w:leader="none" w:pos="430"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 of Default</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Any of the following is deemed as an Event of Default:</w:t>
      </w:r>
    </w:p>
    <w:p>
      <w:pPr>
        <w:spacing w:after="0" w:line="123" w:lineRule="exact"/>
        <w:rPr>
          <w:rFonts w:ascii="Times New Roman" w:cs="Times New Roman" w:eastAsia="Times New Roman" w:hAnsi="Times New Roman"/>
          <w:sz w:val="18"/>
          <w:szCs w:val="18"/>
          <w:b w:val="1"/>
          <w:bCs w:val="1"/>
          <w:color w:val="auto"/>
        </w:rPr>
      </w:pPr>
    </w:p>
    <w:p>
      <w:pPr>
        <w:ind w:left="107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7.1.1   Beijing Company fails to perform its obligations under the Master Agreement;</w:t>
      </w:r>
    </w:p>
    <w:p>
      <w:pPr>
        <w:spacing w:after="0" w:line="124" w:lineRule="exact"/>
        <w:rPr>
          <w:sz w:val="20"/>
          <w:szCs w:val="20"/>
          <w:color w:val="auto"/>
        </w:rPr>
      </w:pPr>
    </w:p>
    <w:p>
      <w:pPr>
        <w:ind w:left="1710" w:right="32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color w:val="auto"/>
        </w:rPr>
        <w:t>Any representation or warranty of the Pledgors under this Agreement is substantially misleading or untrue, and/or any of the Pledgors breaches any of his representations and warranties under this Agreement;</w:t>
      </w:r>
    </w:p>
    <w:p>
      <w:pPr>
        <w:spacing w:after="0" w:line="7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Any of the Pledgors breaches its covenants hereunder;</w:t>
      </w:r>
    </w:p>
    <w:p>
      <w:pPr>
        <w:spacing w:after="0" w:line="124"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Any of the Pledgors breaches any provision hereof;</w:t>
      </w:r>
    </w:p>
    <w:p>
      <w:pPr>
        <w:spacing w:after="0" w:line="124" w:lineRule="exact"/>
        <w:rPr>
          <w:sz w:val="20"/>
          <w:szCs w:val="20"/>
          <w:color w:val="auto"/>
        </w:rPr>
      </w:pPr>
    </w:p>
    <w:p>
      <w:pPr>
        <w:ind w:left="1710" w:hanging="634"/>
        <w:spacing w:after="0" w:line="258" w:lineRule="auto"/>
        <w:tabs>
          <w:tab w:leader="none" w:pos="1689"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color w:val="auto"/>
        </w:rPr>
        <w:t>Except that any of the Pledgors transfers the equity interests to the Pledgee or the Pledgee’s designated person in accordance with the Exclusive Purchase Option Agreement, any of the Pledgors waives the Pledged Equity Interests or transfers the Pledged Equity Interests without the written consent from the Pledgee;</w:t>
      </w:r>
    </w:p>
    <w:p>
      <w:pPr>
        <w:spacing w:after="0" w:line="86" w:lineRule="exact"/>
        <w:rPr>
          <w:sz w:val="20"/>
          <w:szCs w:val="20"/>
          <w:color w:val="auto"/>
        </w:rPr>
      </w:pPr>
    </w:p>
    <w:p>
      <w:pPr>
        <w:ind w:left="1710" w:right="280" w:hanging="634"/>
        <w:spacing w:after="0" w:line="258" w:lineRule="auto"/>
        <w:tabs>
          <w:tab w:leader="none" w:pos="1689"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color w:val="auto"/>
        </w:rPr>
        <w:t>Any external borrowings, guaranty, indemnification, undertakings or any other liabilities of the Pledgors (1) is required to be repaid or exercised early due to its default; or (2) is not repaid or exercised when due, which makes the Pledgee reasonably believes that the ability of the Pledgors to perform their obligations under this Agreement has been impaired.</w:t>
      </w:r>
    </w:p>
    <w:p>
      <w:pPr>
        <w:spacing w:after="0" w:line="8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7"/>
          <w:szCs w:val="17"/>
          <w:color w:val="auto"/>
        </w:rPr>
        <w:t>Any of the Pledgors fails to repay general debts or other liabilities;</w:t>
      </w:r>
    </w:p>
    <w:p>
      <w:pPr>
        <w:spacing w:after="0" w:line="124" w:lineRule="exact"/>
        <w:rPr>
          <w:sz w:val="20"/>
          <w:szCs w:val="20"/>
          <w:color w:val="auto"/>
        </w:rPr>
      </w:pPr>
    </w:p>
    <w:p>
      <w:pPr>
        <w:ind w:left="1710" w:right="56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8"/>
          <w:szCs w:val="18"/>
          <w:color w:val="auto"/>
        </w:rPr>
        <w:t>This Agreement is deemed to be illegal with promulgation of related laws, or any of the Pledgors is unable to continue to perform his obligations hereunder;</w:t>
      </w:r>
    </w:p>
    <w:p>
      <w:pPr>
        <w:spacing w:after="0" w:line="76" w:lineRule="exact"/>
        <w:rPr>
          <w:sz w:val="20"/>
          <w:szCs w:val="20"/>
          <w:color w:val="auto"/>
        </w:rPr>
      </w:pPr>
    </w:p>
    <w:p>
      <w:pPr>
        <w:ind w:left="1710" w:right="16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8"/>
          <w:szCs w:val="18"/>
          <w:color w:val="auto"/>
        </w:rPr>
        <w:t>The consent, permit, approval or authorization from the competent authorities for making this Agreement enforceable, legal or valid is revoked, suspended, invalidated or materially amended;</w:t>
      </w:r>
    </w:p>
    <w:p>
      <w:pPr>
        <w:spacing w:after="0" w:line="76" w:lineRule="exact"/>
        <w:rPr>
          <w:sz w:val="20"/>
          <w:szCs w:val="20"/>
          <w:color w:val="auto"/>
        </w:rPr>
      </w:pPr>
    </w:p>
    <w:p>
      <w:pPr>
        <w:ind w:left="1710" w:right="6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7.1.10</w:t>
        <w:tab/>
        <w:t>Adverse change occur with respect to the assets of the Pledgors, which makes the Pledgee reasonably believes that the ability of the Pledgors to perform their obligations under this Agreement has been impaired.</w:t>
      </w:r>
    </w:p>
    <w:p>
      <w:pPr>
        <w:spacing w:after="0" w:line="76" w:lineRule="exact"/>
        <w:rPr>
          <w:sz w:val="20"/>
          <w:szCs w:val="20"/>
          <w:color w:val="auto"/>
        </w:rPr>
      </w:pPr>
    </w:p>
    <w:p>
      <w:pPr>
        <w:ind w:left="1710" w:right="62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7.1.11</w:t>
        <w:tab/>
        <w:t>Successor of the Pledgors or Beijing Company can only perform part of, or refuses to perform, its obligations under this Agreement.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90"/>
          </w:cols>
          <w:pgMar w:left="550" w:top="266" w:right="559" w:bottom="1440" w:gutter="0" w:footer="0" w:header="0"/>
        </w:sectPr>
      </w:pPr>
    </w:p>
    <w:bookmarkStart w:id="459" w:name="page460"/>
    <w:bookmarkEnd w:id="459"/>
    <w:p>
      <w:pPr>
        <w:ind w:left="1710" w:right="2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7.1.12</w:t>
        <w:tab/>
        <w:t>Other circumstances occur which make the Pledgee unable to exercise or dispose of the Pledge Right in accordance with related laws.</w:t>
      </w:r>
    </w:p>
    <w:p>
      <w:pPr>
        <w:spacing w:after="0" w:line="76" w:lineRule="exact"/>
        <w:rPr>
          <w:sz w:val="20"/>
          <w:szCs w:val="20"/>
          <w:color w:val="auto"/>
        </w:rPr>
      </w:pPr>
    </w:p>
    <w:p>
      <w:pPr>
        <w:ind w:left="1050" w:right="68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the event that is aware of or discover that any issue described in the above Article 7.1 or any other issue which may cause the occurrence of such mentioned issues has occurred, the Pledgors shall give a prompt written notice to the Pledgee.</w:t>
      </w:r>
    </w:p>
    <w:p>
      <w:pPr>
        <w:spacing w:after="0" w:line="76" w:lineRule="exact"/>
        <w:rPr>
          <w:sz w:val="20"/>
          <w:szCs w:val="20"/>
          <w:color w:val="auto"/>
        </w:rPr>
      </w:pPr>
    </w:p>
    <w:p>
      <w:pPr>
        <w:ind w:left="1050" w:right="40" w:hanging="633"/>
        <w:spacing w:after="0" w:line="251" w:lineRule="auto"/>
        <w:tabs>
          <w:tab w:leader="none" w:pos="1029"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Unless that the Event of Default specified in above Article 7.1 has been resolved to the satisfaction of the Pledgee, otherwise the Pledgee is entitled to (not obligated to) serve a Notice of Default to the Pledgors immediately following or any time after the occurrence of the Event of Default, to require the Pledgors and Beijing Company to immediately perform its obligations under the Master Agreement (including without limitation to payment of the due and unpaid debts and other amounts payable under the Services Agreements) or dispose of the Pledge Right in accordance with Article 8 hereof.</w:t>
      </w:r>
    </w:p>
    <w:p>
      <w:pPr>
        <w:spacing w:after="0" w:line="330" w:lineRule="exact"/>
        <w:rPr>
          <w:sz w:val="20"/>
          <w:szCs w:val="20"/>
          <w:color w:val="auto"/>
        </w:rPr>
      </w:pPr>
    </w:p>
    <w:p>
      <w:pPr>
        <w:ind w:left="430" w:hanging="430"/>
        <w:spacing w:after="0"/>
        <w:tabs>
          <w:tab w:leader="none" w:pos="43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Pledge Right</w:t>
      </w:r>
    </w:p>
    <w:p>
      <w:pPr>
        <w:spacing w:after="0" w:line="125" w:lineRule="exact"/>
        <w:rPr>
          <w:rFonts w:ascii="Times New Roman" w:cs="Times New Roman" w:eastAsia="Times New Roman" w:hAnsi="Times New Roman"/>
          <w:sz w:val="18"/>
          <w:szCs w:val="18"/>
          <w:b w:val="1"/>
          <w:bCs w:val="1"/>
          <w:color w:val="auto"/>
        </w:rPr>
      </w:pPr>
    </w:p>
    <w:p>
      <w:pPr>
        <w:ind w:left="1050" w:right="1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8.1Prior to the fulfillment of performance of the obligations under the Master Agreement, neither of the Pledgors may transfer the Pledged Equity Interests without the written consent of the Pledgee.</w:t>
      </w:r>
    </w:p>
    <w:p>
      <w:pPr>
        <w:spacing w:after="0" w:line="76" w:lineRule="exact"/>
        <w:rPr>
          <w:rFonts w:ascii="Times New Roman" w:cs="Times New Roman" w:eastAsia="Times New Roman" w:hAnsi="Times New Roman"/>
          <w:sz w:val="18"/>
          <w:szCs w:val="18"/>
          <w:b w:val="1"/>
          <w:bCs w:val="1"/>
          <w:color w:val="auto"/>
        </w:rPr>
      </w:pPr>
    </w:p>
    <w:p>
      <w:pPr>
        <w:ind w:left="105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8.2In the event of occurrence of the Event of Default described in above Article 7, the Pledgee shall give a Notice of Default to the Pledgors when exercising the Pledge Right. The Pledgee may exercise the right to dispose of the Pledge Right at the same time of or any time after the service of the Notice of Default in accordance with Article 7.3.</w:t>
      </w:r>
    </w:p>
    <w:p>
      <w:pPr>
        <w:spacing w:after="0" w:line="85" w:lineRule="exact"/>
        <w:rPr>
          <w:rFonts w:ascii="Times New Roman" w:cs="Times New Roman" w:eastAsia="Times New Roman" w:hAnsi="Times New Roman"/>
          <w:sz w:val="18"/>
          <w:szCs w:val="18"/>
          <w:b w:val="1"/>
          <w:bCs w:val="1"/>
          <w:color w:val="auto"/>
        </w:rPr>
      </w:pPr>
    </w:p>
    <w:p>
      <w:pPr>
        <w:ind w:left="1050" w:right="220" w:hanging="634"/>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7"/>
          <w:szCs w:val="17"/>
          <w:color w:val="auto"/>
        </w:rPr>
        <w:t>The Pledgee has the right to sell in accordance with legal procedure or dispose of in the other way allowed by law the Pledged Equity Interests hereunder. If the Pledgee decides to exercise the Pledge Right, the Pledgors both undertake to transfer all of their shareholder rights to the Pledgee for exercise. In addition, the Pledgee has the priority to receive the proceedings arising from selling at a discount, auction of, or selling off the equity interests pledged by the Pledgors to the Pledgee according to the legal proceedings.</w:t>
      </w:r>
    </w:p>
    <w:p>
      <w:pPr>
        <w:spacing w:after="0" w:line="75" w:lineRule="exact"/>
        <w:rPr>
          <w:rFonts w:ascii="Times New Roman" w:cs="Times New Roman" w:eastAsia="Times New Roman" w:hAnsi="Times New Roman"/>
          <w:sz w:val="18"/>
          <w:szCs w:val="18"/>
          <w:b w:val="1"/>
          <w:bCs w:val="1"/>
          <w:color w:val="auto"/>
        </w:rPr>
      </w:pPr>
    </w:p>
    <w:p>
      <w:pPr>
        <w:ind w:left="1050" w:right="1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8.4When the Pledgee is disposing of the Pledge Right in accordance with this Agreement, neither of the Pledgors may create any obstacle, and shall provide any necessary assistance to help the Pledgee to realize the Pledge Right.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Agreement</w:t>
      </w:r>
    </w:p>
    <w:p>
      <w:pPr>
        <w:spacing w:after="0" w:line="125" w:lineRule="exact"/>
        <w:rPr>
          <w:rFonts w:ascii="Times New Roman" w:cs="Times New Roman" w:eastAsia="Times New Roman" w:hAnsi="Times New Roman"/>
          <w:sz w:val="18"/>
          <w:szCs w:val="18"/>
          <w:b w:val="1"/>
          <w:bCs w:val="1"/>
          <w:color w:val="auto"/>
        </w:rPr>
      </w:pPr>
    </w:p>
    <w:p>
      <w:pPr>
        <w:ind w:left="1050" w:right="6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9.1Unless with the prior consent from the Pledgee, the Pledgors have no right to grant or transfer any of their rights and obligations hereunder.</w:t>
      </w:r>
    </w:p>
    <w:p>
      <w:pPr>
        <w:spacing w:after="0" w:line="76" w:lineRule="exact"/>
        <w:rPr>
          <w:rFonts w:ascii="Times New Roman" w:cs="Times New Roman" w:eastAsia="Times New Roman" w:hAnsi="Times New Roman"/>
          <w:sz w:val="18"/>
          <w:szCs w:val="18"/>
          <w:b w:val="1"/>
          <w:bCs w:val="1"/>
          <w:color w:val="auto"/>
        </w:rPr>
      </w:pPr>
    </w:p>
    <w:p>
      <w:pPr>
        <w:ind w:left="1050" w:right="2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9.2This Agreement is binding upon the Pledgors and their successor, as well as the Pledgee, and its successors and assignees permitted by the Pledgee.</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50"/>
          </w:cols>
          <w:pgMar w:left="550" w:top="266" w:right="599" w:bottom="1440" w:gutter="0" w:footer="0" w:header="0"/>
        </w:sectPr>
      </w:pPr>
    </w:p>
    <w:bookmarkStart w:id="460" w:name="page461"/>
    <w:bookmarkEnd w:id="460"/>
    <w:p>
      <w:pPr>
        <w:ind w:left="1050" w:right="180" w:hanging="633"/>
        <w:spacing w:after="0" w:line="251"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9.3</w:t>
      </w:r>
      <w:r>
        <w:rPr>
          <w:sz w:val="20"/>
          <w:szCs w:val="20"/>
          <w:color w:val="auto"/>
        </w:rPr>
        <w:tab/>
      </w:r>
      <w:r>
        <w:rPr>
          <w:rFonts w:ascii="Times New Roman" w:cs="Times New Roman" w:eastAsia="Times New Roman" w:hAnsi="Times New Roman"/>
          <w:sz w:val="18"/>
          <w:szCs w:val="18"/>
          <w:color w:val="auto"/>
        </w:rPr>
        <w:t>The Pledgee is entitled to transfer any or all rights and obligations under the Master Agreement to any person (individual/legal person) designated by it at anytime. Under this circumstance, the assignee have the same rights and obligations as the Pledgee under this Agreement, as if such rights and obligations are granted to it as a party to this Agreement. When transferring the rights and obligations under the Services Agreements, this Agreement, the Loan Agreement, the Exclusive Purchase Option Agreement and/or Power of Attorney, the Pledgors shall sign any and all related agreement and/or documents as required by the Pledgee.</w:t>
      </w:r>
    </w:p>
    <w:p>
      <w:pPr>
        <w:spacing w:after="0" w:line="94" w:lineRule="exact"/>
        <w:rPr>
          <w:sz w:val="20"/>
          <w:szCs w:val="20"/>
          <w:color w:val="auto"/>
        </w:rPr>
      </w:pPr>
    </w:p>
    <w:p>
      <w:pPr>
        <w:ind w:left="1050" w:right="32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With the change of pledgee due to the transfer, all the parties to the new pledge shall enter into a new pledge contract, which shall be substantially same to this Agreement in the content and to the satisfaction of the Pledgee.</w:t>
      </w:r>
    </w:p>
    <w:p>
      <w:pPr>
        <w:spacing w:after="0" w:line="312" w:lineRule="exact"/>
        <w:rPr>
          <w:sz w:val="20"/>
          <w:szCs w:val="20"/>
          <w:color w:val="auto"/>
        </w:rPr>
      </w:pPr>
    </w:p>
    <w:p>
      <w:pPr>
        <w:ind w:left="430" w:hanging="430"/>
        <w:spacing w:after="0"/>
        <w:tabs>
          <w:tab w:leader="none" w:pos="43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Termination</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color w:val="auto"/>
        </w:rPr>
        <w:t>This Agreement becomes effective on the date hereof.</w:t>
      </w:r>
    </w:p>
    <w:p>
      <w:pPr>
        <w:spacing w:after="0" w:line="123" w:lineRule="exact"/>
        <w:rPr>
          <w:rFonts w:ascii="Times New Roman" w:cs="Times New Roman" w:eastAsia="Times New Roman" w:hAnsi="Times New Roman"/>
          <w:sz w:val="18"/>
          <w:szCs w:val="18"/>
          <w:b w:val="1"/>
          <w:bCs w:val="1"/>
          <w:color w:val="auto"/>
        </w:rPr>
      </w:pPr>
    </w:p>
    <w:p>
      <w:pPr>
        <w:ind w:left="1050" w:right="4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10.2The Parties confirm that whether the pledge hereunder has been registered and recorded or not will not impair the effectiveness and validity of this Agreement.</w:t>
      </w:r>
    </w:p>
    <w:p>
      <w:pPr>
        <w:spacing w:after="0" w:line="76" w:lineRule="exact"/>
        <w:rPr>
          <w:rFonts w:ascii="Times New Roman" w:cs="Times New Roman" w:eastAsia="Times New Roman" w:hAnsi="Times New Roman"/>
          <w:sz w:val="18"/>
          <w:szCs w:val="18"/>
          <w:b w:val="1"/>
          <w:bCs w:val="1"/>
          <w:color w:val="auto"/>
        </w:rPr>
      </w:pPr>
    </w:p>
    <w:p>
      <w:pPr>
        <w:ind w:left="1050" w:right="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10.3This Agreement will terminate two (2) years after the Pledgors and /or Beijing Company no longer assume any liability under or arising from the Master Agreement.</w:t>
      </w:r>
    </w:p>
    <w:p>
      <w:pPr>
        <w:spacing w:after="0" w:line="76" w:lineRule="exact"/>
        <w:rPr>
          <w:rFonts w:ascii="Times New Roman" w:cs="Times New Roman" w:eastAsia="Times New Roman" w:hAnsi="Times New Roman"/>
          <w:sz w:val="18"/>
          <w:szCs w:val="18"/>
          <w:b w:val="1"/>
          <w:bCs w:val="1"/>
          <w:color w:val="auto"/>
        </w:rPr>
      </w:pPr>
    </w:p>
    <w:p>
      <w:pPr>
        <w:ind w:left="1050" w:hanging="634"/>
        <w:spacing w:after="0" w:line="3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Release of pledge shall be recorded accordingly on the register of shareholders of Beijing Company and related deregistration formalities shall be proceeded with at the Administration for Industry and Commerce of the place where Beijing Company is registered.</w:t>
      </w:r>
    </w:p>
    <w:p>
      <w:pPr>
        <w:spacing w:after="0" w:line="28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Processing Fee and Other Costs</w:t>
      </w:r>
    </w:p>
    <w:p>
      <w:pPr>
        <w:spacing w:after="0" w:line="112" w:lineRule="exact"/>
        <w:rPr>
          <w:sz w:val="20"/>
          <w:szCs w:val="20"/>
          <w:color w:val="auto"/>
        </w:rPr>
      </w:pPr>
    </w:p>
    <w:p>
      <w:pPr>
        <w:jc w:val="both"/>
        <w:ind w:left="10" w:right="340"/>
        <w:spacing w:after="0" w:line="258" w:lineRule="auto"/>
        <w:rPr>
          <w:sz w:val="20"/>
          <w:szCs w:val="20"/>
          <w:color w:val="auto"/>
        </w:rPr>
      </w:pPr>
      <w:r>
        <w:rPr>
          <w:rFonts w:ascii="Times New Roman" w:cs="Times New Roman" w:eastAsia="Times New Roman" w:hAnsi="Times New Roman"/>
          <w:sz w:val="18"/>
          <w:szCs w:val="18"/>
          <w:color w:val="auto"/>
        </w:rPr>
        <w:t>All fees and actual costs related to this Agreement, including not limited to legal fees, processing fee, duty stamp and all the other related taxes and expenses shall be borne by the Pledgors. If related taxes is borne by the Pledgee in accordance with laws, then the Pledgor shall fully indemnify the Pledgee all the taxes withheld by the Pledgee.</w:t>
      </w:r>
    </w:p>
    <w:p>
      <w:pPr>
        <w:spacing w:after="0" w:line="322" w:lineRule="exact"/>
        <w:rPr>
          <w:sz w:val="20"/>
          <w:szCs w:val="20"/>
          <w:color w:val="auto"/>
        </w:rPr>
      </w:pPr>
    </w:p>
    <w:p>
      <w:pPr>
        <w:ind w:left="430" w:hanging="430"/>
        <w:spacing w:after="0"/>
        <w:tabs>
          <w:tab w:leader="none" w:pos="430"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25" w:lineRule="exact"/>
        <w:rPr>
          <w:rFonts w:ascii="Times New Roman" w:cs="Times New Roman" w:eastAsia="Times New Roman" w:hAnsi="Times New Roman"/>
          <w:sz w:val="18"/>
          <w:szCs w:val="18"/>
          <w:b w:val="1"/>
          <w:bCs w:val="1"/>
          <w:color w:val="auto"/>
        </w:rPr>
      </w:pPr>
    </w:p>
    <w:p>
      <w:pPr>
        <w:ind w:left="1050" w:right="120" w:hanging="63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12.1“Force Majeure Event” shall mean any event beyond the reasonable controls of the Party so affected, which are unpredictable, unavoidable, irresistible even if the affected Party takes a reasonable care, including but not limited to governmental acts, Act of God, fires, explosion, geographical variations, storms, floods, earthquakes, morning and evening tides, lightning or wars, riot, strike, and any other such events that all Parties have reached a consensus upon. However, any shortage of credits, funding or financing shall not be deemed as the events beyond reasonable controls of the affected Party.</w:t>
      </w:r>
    </w:p>
    <w:p>
      <w:pPr>
        <w:spacing w:after="0" w:line="121"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30"/>
          </w:cols>
          <w:pgMar w:left="550" w:top="266" w:right="619" w:bottom="1440" w:gutter="0" w:footer="0" w:header="0"/>
        </w:sectPr>
      </w:pPr>
    </w:p>
    <w:bookmarkStart w:id="461" w:name="page462"/>
    <w:bookmarkEnd w:id="461"/>
    <w:p>
      <w:pPr>
        <w:jc w:val="both"/>
        <w:ind w:left="1050" w:hanging="633"/>
        <w:spacing w:after="0" w:line="253"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12.2</w:t>
      </w:r>
      <w:r>
        <w:rPr>
          <w:sz w:val="20"/>
          <w:szCs w:val="20"/>
          <w:color w:val="auto"/>
        </w:rPr>
        <w:tab/>
      </w:r>
      <w:r>
        <w:rPr>
          <w:rFonts w:ascii="Times New Roman" w:cs="Times New Roman" w:eastAsia="Times New Roman" w:hAnsi="Times New Roman"/>
          <w:sz w:val="18"/>
          <w:szCs w:val="18"/>
          <w:color w:val="auto"/>
        </w:rPr>
        <w:t>In the event that the performance of this Agreement is delayed or interrupted due to the said Force Majeure Event, the affected Party shall be excused from any liability to the extent of the delayed or interrupted performance. The affected Party which intends to seek exemption from its obligations of performance under this Agreement or any provision of this Agreement shall immediately inform the other Party of such a Force Majeure Event and the measures it needs to take in order to complete its performance.</w:t>
      </w:r>
    </w:p>
    <w:p>
      <w:pPr>
        <w:spacing w:after="0" w:line="328" w:lineRule="exact"/>
        <w:rPr>
          <w:sz w:val="20"/>
          <w:szCs w:val="20"/>
          <w:color w:val="auto"/>
        </w:rPr>
      </w:pPr>
    </w:p>
    <w:p>
      <w:pPr>
        <w:ind w:left="430" w:hanging="430"/>
        <w:spacing w:after="0"/>
        <w:tabs>
          <w:tab w:leader="none" w:pos="43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25" w:lineRule="exact"/>
        <w:rPr>
          <w:rFonts w:ascii="Times New Roman" w:cs="Times New Roman" w:eastAsia="Times New Roman" w:hAnsi="Times New Roman"/>
          <w:sz w:val="18"/>
          <w:szCs w:val="18"/>
          <w:b w:val="1"/>
          <w:bCs w:val="1"/>
          <w:color w:val="auto"/>
        </w:rPr>
      </w:pPr>
    </w:p>
    <w:p>
      <w:pPr>
        <w:ind w:left="1050" w:right="4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13.1The formation, validity, performance and interpretation of this Agreement and the disputes resolution under this Agreement shall be governed by the PRC laws.</w:t>
      </w:r>
    </w:p>
    <w:p>
      <w:pPr>
        <w:spacing w:after="0" w:line="76" w:lineRule="exact"/>
        <w:rPr>
          <w:rFonts w:ascii="Times New Roman" w:cs="Times New Roman" w:eastAsia="Times New Roman" w:hAnsi="Times New Roman"/>
          <w:sz w:val="18"/>
          <w:szCs w:val="18"/>
          <w:b w:val="1"/>
          <w:bCs w:val="1"/>
          <w:color w:val="auto"/>
        </w:rPr>
      </w:pPr>
    </w:p>
    <w:p>
      <w:pPr>
        <w:ind w:left="1050" w:right="6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13.2The Parties shall strive to settle any dispute arising from or in connection with this Agreement through friendly consultation. In case no settlement can be reached through consultation within thirty (30) days after the request for consultation is made by any Party, any Party can submit such matter to Beijing Arbitration Commission for arbitration in accordance with its then effective rules. The arbitration shall take place in Beijing. The arbitration award shall be final and binding upon all the Parties.</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2" w:lineRule="exact"/>
        <w:rPr>
          <w:sz w:val="20"/>
          <w:szCs w:val="20"/>
          <w:color w:val="auto"/>
        </w:rPr>
      </w:pPr>
    </w:p>
    <w:p>
      <w:pPr>
        <w:ind w:left="10"/>
        <w:spacing w:after="0" w:line="249" w:lineRule="auto"/>
        <w:rPr>
          <w:sz w:val="20"/>
          <w:szCs w:val="20"/>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made in writing and delivered personally or sent by mail or facsimile transmission to the addresses of the other Parties set forth below or other designated addresses notified by such other Parties to such Party from time to time. The date when the notice is deemed to be duly served shall be determined as the follows: (a) a notice delivered personally is deemed duly served upon the delivery; (b) a notice sent by mail is deemed duly served on the seventh (7th) day after the date when the air registered mail with postage prepaid has been sent out (as is shown on the postmark), or the fourth (4th) day after the delivery date to the internationally recognized courier service agency; and (c) a notice sent by facsimile transmission is deemed duly served upon the receipt time as is shown on the transmission confirmation of relevant documents.</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If to the Pledgee: Beijing Jingdong Century Trade Co., Ltd.</w:t>
      </w:r>
    </w:p>
    <w:p>
      <w:pPr>
        <w:spacing w:after="0" w:line="244"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8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70"/>
          </w:cols>
          <w:pgMar w:left="550" w:top="266" w:right="579" w:bottom="1440" w:gutter="0" w:footer="0" w:header="0"/>
        </w:sectPr>
      </w:pPr>
    </w:p>
    <w:bookmarkStart w:id="462" w:name="page463"/>
    <w:bookmarkEnd w:id="462"/>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If to the Pledgors: Qin Miao</w:t>
      </w:r>
    </w:p>
    <w:p>
      <w:pPr>
        <w:spacing w:after="0" w:line="244"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8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8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8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50"/>
        <w:spacing w:after="0"/>
        <w:tabs>
          <w:tab w:leader="none" w:pos="2849"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ind w:left="430" w:hanging="430"/>
        <w:spacing w:after="0"/>
        <w:tabs>
          <w:tab w:leader="none" w:pos="43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1050" w:right="6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15.1The headings contained in this Agreement are for the convenience of reference only and shall not be used to interpret, explain or otherwise affect the meaning of the provisions of this Agreement.</w:t>
      </w:r>
    </w:p>
    <w:p>
      <w:pPr>
        <w:spacing w:after="0" w:line="76" w:lineRule="exact"/>
        <w:rPr>
          <w:rFonts w:ascii="Times New Roman" w:cs="Times New Roman" w:eastAsia="Times New Roman" w:hAnsi="Times New Roman"/>
          <w:sz w:val="18"/>
          <w:szCs w:val="18"/>
          <w:b w:val="1"/>
          <w:bCs w:val="1"/>
          <w:color w:val="auto"/>
        </w:rPr>
      </w:pPr>
    </w:p>
    <w:p>
      <w:pPr>
        <w:ind w:left="1050" w:right="1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15.2The Parties agree to promptly execute any document and take any other action reasonably necessary or advisable to perform provisions and purpose of this Agreement.</w:t>
      </w:r>
    </w:p>
    <w:p>
      <w:pPr>
        <w:spacing w:after="0" w:line="76" w:lineRule="exact"/>
        <w:rPr>
          <w:rFonts w:ascii="Times New Roman" w:cs="Times New Roman" w:eastAsia="Times New Roman" w:hAnsi="Times New Roman"/>
          <w:sz w:val="18"/>
          <w:szCs w:val="18"/>
          <w:b w:val="1"/>
          <w:bCs w:val="1"/>
          <w:color w:val="auto"/>
        </w:rPr>
      </w:pPr>
    </w:p>
    <w:p>
      <w:pPr>
        <w:ind w:left="1050" w:right="8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15.3The Parties confirm that this Agreement shall, upon its effectiveness, constitute the entire agreement and common understanding of the Parties with respect to the subject matters herein and fully supersede all prior verbal and/or written agreements and understandings with respect to the subject matters herein.</w:t>
      </w:r>
    </w:p>
    <w:p>
      <w:pPr>
        <w:spacing w:after="0" w:line="85" w:lineRule="exact"/>
        <w:rPr>
          <w:rFonts w:ascii="Times New Roman" w:cs="Times New Roman" w:eastAsia="Times New Roman" w:hAnsi="Times New Roman"/>
          <w:sz w:val="18"/>
          <w:szCs w:val="18"/>
          <w:b w:val="1"/>
          <w:bCs w:val="1"/>
          <w:color w:val="auto"/>
        </w:rPr>
      </w:pPr>
    </w:p>
    <w:p>
      <w:pPr>
        <w:ind w:left="105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15.4The Parties may amend and supplement this Agreement in writing. Any amendment and/or supplement to this Agreement duly signed by the Parties is an integral part of and has the same effect with this Agreement.</w:t>
      </w:r>
    </w:p>
    <w:p>
      <w:pPr>
        <w:spacing w:after="0" w:line="76" w:lineRule="exact"/>
        <w:rPr>
          <w:rFonts w:ascii="Times New Roman" w:cs="Times New Roman" w:eastAsia="Times New Roman" w:hAnsi="Times New Roman"/>
          <w:sz w:val="18"/>
          <w:szCs w:val="18"/>
          <w:b w:val="1"/>
          <w:bCs w:val="1"/>
          <w:color w:val="auto"/>
        </w:rPr>
      </w:pPr>
    </w:p>
    <w:p>
      <w:pPr>
        <w:ind w:left="1050" w:right="2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15.5Any Party’s failure to exercise the rights under this Agreement in time shall not be deemed as its waiver of such rights and would not affect its future exercise of such rights.</w:t>
      </w:r>
    </w:p>
    <w:p>
      <w:pPr>
        <w:spacing w:after="0" w:line="103"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10"/>
          </w:cols>
          <w:pgMar w:left="550" w:top="264" w:right="639" w:bottom="1440" w:gutter="0" w:footer="0" w:header="0"/>
        </w:sectPr>
      </w:pPr>
    </w:p>
    <w:bookmarkStart w:id="463" w:name="page464"/>
    <w:bookmarkEnd w:id="463"/>
    <w:p>
      <w:pPr>
        <w:ind w:left="620" w:hanging="633"/>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15.6</w:t>
      </w:r>
      <w:r>
        <w:rPr>
          <w:sz w:val="20"/>
          <w:szCs w:val="20"/>
          <w:color w:val="auto"/>
        </w:rPr>
        <w:tab/>
      </w:r>
      <w:r>
        <w:rPr>
          <w:rFonts w:ascii="Times New Roman" w:cs="Times New Roman" w:eastAsia="Times New Roman" w:hAnsi="Times New Roman"/>
          <w:sz w:val="18"/>
          <w:szCs w:val="18"/>
          <w:color w:val="auto"/>
        </w:rPr>
        <w:t>If any provision of this Agreement is held void, invalid or unenforceable by a court of competent jurisdiction, governmental agency or arbitration authority, the validity, legality and enforceability of the other provisions hereof shall not be affected or impaired in any way. The Parties shall cease performing such void, invalid or unenforceable provisions and revise such void, invalid or unenforceable provisions only to the extent closest to the original intention thereof to recover its validity or enforceability for such specific facts and circumstances.</w:t>
      </w:r>
    </w:p>
    <w:p>
      <w:pPr>
        <w:spacing w:after="0" w:line="9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7"/>
          <w:szCs w:val="17"/>
          <w:color w:val="auto"/>
        </w:rPr>
        <w:t>Any schedule hereto is an integral part of and has the same effect with this Agreement.</w:t>
      </w:r>
    </w:p>
    <w:p>
      <w:pPr>
        <w:spacing w:after="0" w:line="124" w:lineRule="exact"/>
        <w:rPr>
          <w:sz w:val="20"/>
          <w:szCs w:val="20"/>
          <w:color w:val="auto"/>
        </w:rPr>
      </w:pPr>
    </w:p>
    <w:p>
      <w:pPr>
        <w:ind w:left="62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color w:val="auto"/>
        </w:rPr>
        <w:t>This Agreement is made in four (4) originals with each Party holding one (1) original. And other originals are submitted to the AIC for proceeding with the formalities of registration of pledge of equity interests.</w:t>
      </w:r>
    </w:p>
    <w:p>
      <w:pPr>
        <w:spacing w:after="0" w:line="16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[No text below]</w:t>
      </w:r>
    </w:p>
    <w:p>
      <w:pPr>
        <w:spacing w:after="0" w:line="1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40"/>
          </w:cols>
          <w:pgMar w:left="980" w:top="266" w:right="77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(Signature Page)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THEREOF, each Party has signed or caused its legal representative to sign this Agreement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7"/>
              </w:rPr>
              <w:t>/s/ Lei Xu</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-15875</wp:posOffset>
            </wp:positionV>
            <wp:extent cx="14439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6">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Qin Miao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9">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Jiasheng Investment Management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7"/>
              </w:rPr>
              <w:t>/s/ Cheng Chen</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-15875</wp:posOffset>
            </wp:positionV>
            <wp:extent cx="14439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7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Signature page for the Equity Pledge Agreement</w:t>
      </w:r>
    </w:p>
    <w:p>
      <w:pPr>
        <w:spacing w:after="0" w:line="15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99"/>
          </w:cols>
          <w:pgMar w:left="560" w:top="266" w:right="1440"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Register of Shareholders of Beijing Jiasheng Investment Management Co., Ltd.</w:t>
      </w:r>
    </w:p>
    <w:p>
      <w:pPr>
        <w:sectPr>
          <w:pgSz w:w="11900" w:h="16838" w:orient="portrait"/>
          <w:cols w:equalWidth="0" w:num="1">
            <w:col w:w="10740"/>
          </w:cols>
          <w:pgMar w:left="560" w:top="264" w:right="599" w:bottom="1440" w:gutter="0" w:footer="0" w:header="0"/>
        </w:sect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Shareholder</w:t>
      </w:r>
    </w:p>
    <w:p>
      <w:pPr>
        <w:spacing w:after="0" w:line="3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Qin Miao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Yayun Li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Pang Zhang</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14"/>
          <w:szCs w:val="14"/>
          <w:b w:val="1"/>
          <w:bCs w:val="1"/>
          <w:color w:val="auto"/>
        </w:rPr>
        <w:t>Capital Contribution Amount/Shareholding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0</wp:posOffset>
            </wp:positionV>
            <wp:extent cx="13684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2">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RMB 450,000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RMB 300,000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RMB 250,000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Registration of Pledge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47263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3">
                      <a:extLst>
                        <a:ext uri="{28A0092B-C50C-407E-A947-70E740481C1C}"/>
                      </a:extLst>
                    </a:blip>
                    <a:srcRect/>
                    <a:stretch>
                      <a:fillRect/>
                    </a:stretch>
                  </pic:blipFill>
                  <pic:spPr bwMode="auto">
                    <a:xfrm>
                      <a:off x="0" y="0"/>
                      <a:ext cx="4726305" cy="8255"/>
                    </a:xfrm>
                    <a:prstGeom prst="rect">
                      <a:avLst/>
                    </a:prstGeom>
                    <a:noFill/>
                  </pic:spPr>
                </pic:pic>
              </a:graphicData>
            </a:graphic>
          </wp:anchor>
        </w:drawing>
      </w:r>
    </w:p>
    <w:p>
      <w:pPr>
        <w:spacing w:after="0" w:line="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Qin Miao has pledged all the equity interests held by him to Beijing Jingdong Century Trade Co., Ltd.</w:t>
      </w:r>
    </w:p>
    <w:p>
      <w:pPr>
        <w:spacing w:after="0" w:line="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Yayun Li has pledged all the equity interests held by her to Beijing Jingdong Century Trade Co., Ltd.</w:t>
      </w:r>
    </w:p>
    <w:p>
      <w:pPr>
        <w:spacing w:after="0" w:line="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Pang Zhang has pledged all the equity interests held by him to Beijing Jingdong Century Trade Co., Ltd.</w:t>
      </w:r>
    </w:p>
    <w:p>
      <w:pPr>
        <w:spacing w:after="0" w:line="20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Beijing Jiasheng Investment</w:t>
      </w:r>
    </w:p>
    <w:p>
      <w:pPr>
        <w:spacing w:after="0" w:line="2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Management Co., Ltd.</w:t>
      </w:r>
    </w:p>
    <w:p>
      <w:pPr>
        <w:spacing w:after="0" w:line="199" w:lineRule="exact"/>
        <w:rPr>
          <w:sz w:val="20"/>
          <w:szCs w:val="20"/>
          <w:color w:val="auto"/>
        </w:rPr>
      </w:pPr>
    </w:p>
    <w:tbl>
      <w:tblPr>
        <w:tblLayout w:type="fixed"/>
        <w:tblInd w:w="3120" w:type="dxa"/>
        <w:tblCellMar>
          <w:top w:w="0" w:type="dxa"/>
          <w:left w:w="0" w:type="dxa"/>
          <w:bottom w:w="0" w:type="dxa"/>
          <w:right w:w="0" w:type="dxa"/>
        </w:tblCellMar>
      </w:tblPr>
      <w:tr>
        <w:trPr>
          <w:trHeight w:val="21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authorized</w:t>
            </w:r>
          </w:p>
        </w:tc>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/s/ Cheng Chen          </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-6985</wp:posOffset>
            </wp:positionV>
            <wp:extent cx="150241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4">
                      <a:extLst>
                        <a:ext uri="{28A0092B-C50C-407E-A947-70E740481C1C}"/>
                      </a:extLst>
                    </a:blip>
                    <a:srcRect/>
                    <a:stretch>
                      <a:fillRect/>
                    </a:stretch>
                  </pic:blipFill>
                  <pic:spPr bwMode="auto">
                    <a:xfrm>
                      <a:off x="0" y="0"/>
                      <a:ext cx="1502410" cy="8255"/>
                    </a:xfrm>
                    <a:prstGeom prst="rect">
                      <a:avLst/>
                    </a:prstGeom>
                    <a:noFill/>
                  </pic:spPr>
                </pic:pic>
              </a:graphicData>
            </a:graphic>
          </wp:anchor>
        </w:drawing>
      </w:r>
    </w:p>
    <w:p>
      <w:pPr>
        <w:spacing w:after="0" w:line="1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3">
            <w:col w:w="900" w:space="580"/>
            <w:col w:w="1340" w:space="520"/>
            <w:col w:w="7400"/>
          </w:cols>
          <w:pgMar w:left="560" w:top="264" w:right="599" w:bottom="1440" w:gutter="0" w:footer="0" w:header="0"/>
          <w:type w:val="continuous"/>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Beijing Jiasheng Investment Management Co., Ltd.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Contribution Certificate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Beijing Jiasheng Investment Management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Incorporation: November 18, 2014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Capital: RMB 1,000,000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Qin Miao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Contributed by Shareholder: RMB 450,000</w:t>
      </w:r>
    </w:p>
    <w:p>
      <w:pPr>
        <w:spacing w:after="0" w:line="199" w:lineRule="exact"/>
        <w:rPr>
          <w:sz w:val="20"/>
          <w:szCs w:val="20"/>
          <w:color w:val="auto"/>
        </w:rPr>
      </w:pPr>
    </w:p>
    <w:p>
      <w:pPr>
        <w:jc w:val="both"/>
        <w:ind w:right="560"/>
        <w:spacing w:after="0" w:line="258"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Qin Miao has pledged all the equity interests held by him to Beijing Jingdong Century Trade Co., Ltd.</w:t>
      </w:r>
    </w:p>
    <w:p>
      <w:pPr>
        <w:spacing w:after="0" w:line="20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Beijing Jiasheng Investment Management Co., Ltd. (seal)</w:t>
      </w:r>
    </w:p>
    <w:p>
      <w:pPr>
        <w:spacing w:after="0" w:line="216" w:lineRule="exact"/>
        <w:rPr>
          <w:sz w:val="20"/>
          <w:szCs w:val="20"/>
          <w:color w:val="auto"/>
        </w:rPr>
      </w:pPr>
    </w:p>
    <w:p>
      <w:pPr>
        <w:ind w:left="6460"/>
        <w:spacing w:after="0"/>
        <w:tabs>
          <w:tab w:leader="none" w:pos="7320" w:val="left"/>
        </w:tabs>
        <w:rPr>
          <w:sz w:val="20"/>
          <w:szCs w:val="20"/>
          <w:color w:val="auto"/>
        </w:rPr>
      </w:pPr>
      <w:r>
        <w:rPr>
          <w:rFonts w:ascii="Times New Roman" w:cs="Times New Roman" w:eastAsia="Times New Roman" w:hAnsi="Times New Roman"/>
          <w:sz w:val="18"/>
          <w:szCs w:val="18"/>
          <w:color w:val="auto"/>
        </w:rPr>
        <w:t>Signature:</w:t>
        <w:tab/>
        <w:t xml:space="preserve">/s/ Cheng Chen                               </w:t>
      </w:r>
    </w:p>
    <w:p>
      <w:pPr>
        <w:spacing w:after="0" w:line="22" w:lineRule="exact"/>
        <w:rPr>
          <w:sz w:val="20"/>
          <w:szCs w:val="20"/>
          <w:color w:val="auto"/>
        </w:rPr>
      </w:pPr>
    </w:p>
    <w:tbl>
      <w:tblPr>
        <w:tblLayout w:type="fixed"/>
        <w:tblInd w:w="6460" w:type="dxa"/>
        <w:tblCellMar>
          <w:top w:w="0" w:type="dxa"/>
          <w:left w:w="0" w:type="dxa"/>
          <w:bottom w:w="0" w:type="dxa"/>
          <w:right w:w="0" w:type="dxa"/>
        </w:tblCellMar>
      </w:tblPr>
      <w:tr>
        <w:trPr>
          <w:trHeight w:val="200"/>
        </w:trPr>
        <w:tc>
          <w:tcPr>
            <w:tcW w:w="8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Cheng Chen</w:t>
            </w:r>
          </w:p>
        </w:tc>
      </w:t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17, 2022</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80"/>
          </w:cols>
          <w:pgMar w:left="560" w:top="264" w:right="559" w:bottom="1440" w:gutter="0" w:footer="0" w:header="0"/>
        </w:sectPr>
      </w:pPr>
    </w:p>
    <w:bookmarkStart w:id="467" w:name="page468"/>
    <w:bookmarkEnd w:id="4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Beijing Jiasheng Investment Management Co., Ltd.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Contribution Certificate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Beijing Jiasheng Investment Management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Incorporation: November 18, 2014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Capital: RMB 1,000,000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Yayun Li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Contributed by Shareholder: RMB 300,000</w:t>
      </w:r>
    </w:p>
    <w:p>
      <w:pPr>
        <w:spacing w:after="0" w:line="199"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Yayun Li has pledged all the equity interests held by her to Beijing Jingdong Century Trade Co., Ltd.</w:t>
      </w:r>
    </w:p>
    <w:p>
      <w:pPr>
        <w:spacing w:after="0" w:line="20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Beijing Jiasheng Investment Management Co., Ltd. (seal)</w:t>
      </w:r>
    </w:p>
    <w:p>
      <w:pPr>
        <w:spacing w:after="0" w:line="216" w:lineRule="exact"/>
        <w:rPr>
          <w:sz w:val="20"/>
          <w:szCs w:val="20"/>
          <w:color w:val="auto"/>
        </w:rPr>
      </w:pPr>
    </w:p>
    <w:p>
      <w:pPr>
        <w:ind w:left="6460"/>
        <w:spacing w:after="0"/>
        <w:tabs>
          <w:tab w:leader="none" w:pos="7320" w:val="left"/>
        </w:tabs>
        <w:rPr>
          <w:sz w:val="20"/>
          <w:szCs w:val="20"/>
          <w:color w:val="auto"/>
        </w:rPr>
      </w:pPr>
      <w:r>
        <w:rPr>
          <w:rFonts w:ascii="Times New Roman" w:cs="Times New Roman" w:eastAsia="Times New Roman" w:hAnsi="Times New Roman"/>
          <w:sz w:val="18"/>
          <w:szCs w:val="18"/>
          <w:color w:val="auto"/>
        </w:rPr>
        <w:t>Signature:</w:t>
        <w:tab/>
        <w:t xml:space="preserve">/s/ Cheng Chen                               </w:t>
      </w:r>
    </w:p>
    <w:p>
      <w:pPr>
        <w:spacing w:after="0" w:line="22" w:lineRule="exact"/>
        <w:rPr>
          <w:sz w:val="20"/>
          <w:szCs w:val="20"/>
          <w:color w:val="auto"/>
        </w:rPr>
      </w:pPr>
    </w:p>
    <w:tbl>
      <w:tblPr>
        <w:tblLayout w:type="fixed"/>
        <w:tblInd w:w="6460" w:type="dxa"/>
        <w:tblCellMar>
          <w:top w:w="0" w:type="dxa"/>
          <w:left w:w="0" w:type="dxa"/>
          <w:bottom w:w="0" w:type="dxa"/>
          <w:right w:w="0" w:type="dxa"/>
        </w:tblCellMar>
      </w:tblPr>
      <w:tr>
        <w:trPr>
          <w:trHeight w:val="200"/>
        </w:trPr>
        <w:tc>
          <w:tcPr>
            <w:tcW w:w="8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Cheng Chen</w:t>
            </w:r>
          </w:p>
        </w:tc>
      </w:t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17, 2022</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560" w:top="264" w:right="559" w:bottom="1440" w:gutter="0" w:footer="0" w:header="0"/>
        </w:sectPr>
      </w:pPr>
    </w:p>
    <w:bookmarkStart w:id="468" w:name="page469"/>
    <w:bookmarkEnd w:id="4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Beijing Jiasheng Investment Management Co., Ltd.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Contribution Certificate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003)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Beijing Jiasheng Investment Management Co., Ltd.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Incorporation: November 18, 2014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Capital: RMB 1,000,000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Pang Zhang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Contributed by Shareholder: RMB 250,000</w:t>
      </w:r>
    </w:p>
    <w:p>
      <w:pPr>
        <w:spacing w:after="0" w:line="199"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In accordance with the Equity Pledge Agreement by and among Qin Miao, Yayun Li, Pang Zhang, Beijing Jingdong Century Trade Co., Ltd. and Beijing Jiasheng Investment Management Co., Ltd. dated October 17, 2022, Pang Zhang has pledged all the equity interests held by him to Beijing Jingdong Century Trade Co., Ltd.</w:t>
      </w:r>
    </w:p>
    <w:p>
      <w:pPr>
        <w:spacing w:after="0" w:line="20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Beijing Jiasheng Investment Management Co., Ltd. (seal)</w:t>
      </w:r>
    </w:p>
    <w:p>
      <w:pPr>
        <w:spacing w:after="0" w:line="216" w:lineRule="exact"/>
        <w:rPr>
          <w:sz w:val="20"/>
          <w:szCs w:val="20"/>
          <w:color w:val="auto"/>
        </w:rPr>
      </w:pPr>
    </w:p>
    <w:p>
      <w:pPr>
        <w:ind w:left="6460"/>
        <w:spacing w:after="0"/>
        <w:tabs>
          <w:tab w:leader="none" w:pos="7320" w:val="left"/>
        </w:tabs>
        <w:rPr>
          <w:sz w:val="20"/>
          <w:szCs w:val="20"/>
          <w:color w:val="auto"/>
        </w:rPr>
      </w:pPr>
      <w:r>
        <w:rPr>
          <w:rFonts w:ascii="Times New Roman" w:cs="Times New Roman" w:eastAsia="Times New Roman" w:hAnsi="Times New Roman"/>
          <w:sz w:val="18"/>
          <w:szCs w:val="18"/>
          <w:color w:val="auto"/>
        </w:rPr>
        <w:t>Signature:</w:t>
        <w:tab/>
        <w:t xml:space="preserve">/s/ Cheng Chen                               </w:t>
      </w:r>
    </w:p>
    <w:p>
      <w:pPr>
        <w:spacing w:after="0" w:line="22" w:lineRule="exact"/>
        <w:rPr>
          <w:sz w:val="20"/>
          <w:szCs w:val="20"/>
          <w:color w:val="auto"/>
        </w:rPr>
      </w:pPr>
    </w:p>
    <w:tbl>
      <w:tblPr>
        <w:tblLayout w:type="fixed"/>
        <w:tblInd w:w="6460" w:type="dxa"/>
        <w:tblCellMar>
          <w:top w:w="0" w:type="dxa"/>
          <w:left w:w="0" w:type="dxa"/>
          <w:bottom w:w="0" w:type="dxa"/>
          <w:right w:w="0" w:type="dxa"/>
        </w:tblCellMar>
      </w:tblPr>
      <w:tr>
        <w:trPr>
          <w:trHeight w:val="200"/>
        </w:trPr>
        <w:tc>
          <w:tcPr>
            <w:tcW w:w="8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Cheng Chen</w:t>
            </w:r>
          </w:p>
        </w:tc>
      </w:t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Legal representative</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October 17, 2022</w:t>
            </w: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80"/>
          </w:cols>
          <w:pgMar w:left="560" w:top="264" w:right="559" w:bottom="1440" w:gutter="0" w:footer="0" w:header="0"/>
        </w:sectPr>
      </w:pPr>
    </w:p>
    <w:bookmarkStart w:id="469" w:name="page470"/>
    <w:bookmarkEnd w:id="4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equity pledge agreements substantially in form as this exhibit that the Registrant entered into with certain other Chinese variable interest entities of the Registrant. Other than the information set forth below, there is no material difference between such other agreements and this exhibit.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Entitlement to all</w:t>
            </w: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0" w:type="dxa"/>
            <w:vAlign w:val="bottom"/>
          </w:tcPr>
          <w:p>
            <w:pPr>
              <w:spacing w:after="0"/>
              <w:rPr>
                <w:sz w:val="1"/>
                <w:szCs w:val="1"/>
                <w:color w:val="auto"/>
              </w:rPr>
            </w:pPr>
          </w:p>
        </w:tc>
      </w:tr>
      <w:tr>
        <w:trPr>
          <w:trHeight w:val="145"/>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23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20" w:type="dxa"/>
            <w:vAlign w:val="bottom"/>
          </w:tcPr>
          <w:p>
            <w:pPr>
              <w:spacing w:after="0"/>
              <w:rPr>
                <w:sz w:val="12"/>
                <w:szCs w:val="12"/>
                <w:color w:val="auto"/>
              </w:rPr>
            </w:pPr>
          </w:p>
        </w:tc>
        <w:tc>
          <w:tcPr>
            <w:tcW w:w="280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Capital Contribution</w:t>
            </w:r>
          </w:p>
        </w:tc>
        <w:tc>
          <w:tcPr>
            <w:tcW w:w="12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Proceeds for</w:t>
            </w:r>
          </w:p>
        </w:tc>
        <w:tc>
          <w:tcPr>
            <w:tcW w:w="120" w:type="dxa"/>
            <w:vAlign w:val="bottom"/>
          </w:tcPr>
          <w:p>
            <w:pPr>
              <w:spacing w:after="0"/>
              <w:rPr>
                <w:sz w:val="12"/>
                <w:szCs w:val="12"/>
                <w:color w:val="auto"/>
              </w:rPr>
            </w:pPr>
          </w:p>
        </w:tc>
        <w:tc>
          <w:tcPr>
            <w:tcW w:w="12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400" w:type="dxa"/>
            <w:vAlign w:val="bottom"/>
            <w:gridSpan w:val="2"/>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Pledgee</w:t>
            </w: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4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Jiangsu Jingdong</w:t>
            </w:r>
          </w:p>
        </w:tc>
        <w:tc>
          <w:tcPr>
            <w:tcW w:w="23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Party A: Shanghai Shengdayuan</w:t>
            </w:r>
          </w:p>
        </w:tc>
        <w:tc>
          <w:tcPr>
            <w:tcW w:w="120" w:type="dxa"/>
            <w:vAlign w:val="bottom"/>
            <w:vMerge w:val="continue"/>
          </w:tcPr>
          <w:p>
            <w:pPr>
              <w:spacing w:after="0"/>
              <w:rPr>
                <w:sz w:val="9"/>
                <w:szCs w:val="9"/>
                <w:color w:val="auto"/>
              </w:rPr>
            </w:pPr>
          </w:p>
        </w:tc>
        <w:tc>
          <w:tcPr>
            <w:tcW w:w="28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The registered capital of Jiangsu Jingdong</w:t>
            </w:r>
          </w:p>
        </w:tc>
        <w:tc>
          <w:tcPr>
            <w:tcW w:w="120" w:type="dxa"/>
            <w:vAlign w:val="bottom"/>
            <w:vMerge w:val="continue"/>
          </w:tcPr>
          <w:p>
            <w:pPr>
              <w:spacing w:after="0"/>
              <w:rPr>
                <w:sz w:val="9"/>
                <w:szCs w:val="9"/>
                <w:color w:val="auto"/>
              </w:rPr>
            </w:pPr>
          </w:p>
        </w:tc>
        <w:tc>
          <w:tcPr>
            <w:tcW w:w="16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September 30, 2022</w:t>
            </w:r>
          </w:p>
        </w:tc>
        <w:tc>
          <w:tcPr>
            <w:tcW w:w="120" w:type="dxa"/>
            <w:vAlign w:val="bottom"/>
            <w:vMerge w:val="continue"/>
          </w:tcPr>
          <w:p>
            <w:pPr>
              <w:spacing w:after="0"/>
              <w:rPr>
                <w:sz w:val="9"/>
                <w:szCs w:val="9"/>
                <w:color w:val="auto"/>
              </w:rPr>
            </w:pPr>
          </w:p>
        </w:tc>
        <w:tc>
          <w:tcPr>
            <w:tcW w:w="128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September 30, 2022</w:t>
            </w:r>
          </w:p>
        </w:tc>
        <w:tc>
          <w:tcPr>
            <w:tcW w:w="100" w:type="dxa"/>
            <w:vAlign w:val="bottom"/>
            <w:vMerge w:val="continue"/>
          </w:tcPr>
          <w:p>
            <w:pPr>
              <w:spacing w:after="0"/>
              <w:rPr>
                <w:sz w:val="9"/>
                <w:szCs w:val="9"/>
                <w:color w:val="auto"/>
              </w:rPr>
            </w:pPr>
          </w:p>
        </w:tc>
        <w:tc>
          <w:tcPr>
            <w:tcW w:w="86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September 30,</w:t>
            </w:r>
          </w:p>
        </w:tc>
        <w:tc>
          <w:tcPr>
            <w:tcW w:w="0" w:type="dxa"/>
            <w:vAlign w:val="bottom"/>
          </w:tcPr>
          <w:p>
            <w:pPr>
              <w:spacing w:after="0"/>
              <w:rPr>
                <w:sz w:val="1"/>
                <w:szCs w:val="1"/>
                <w:color w:val="auto"/>
              </w:rPr>
            </w:pPr>
          </w:p>
        </w:tc>
      </w:tr>
      <w:tr>
        <w:trPr>
          <w:trHeight w:val="145"/>
        </w:trPr>
        <w:tc>
          <w:tcPr>
            <w:tcW w:w="14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Bangneng Investment</w:t>
            </w: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Information Technology Co., Ltd.</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Bangneng Investment Management Co., Ltd. is</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7"/>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 Ltd.</w:t>
            </w:r>
          </w:p>
        </w:tc>
        <w:tc>
          <w:tcPr>
            <w:tcW w:w="2380" w:type="dxa"/>
            <w:vAlign w:val="bottom"/>
          </w:tcPr>
          <w:p>
            <w:pPr>
              <w:spacing w:after="0"/>
              <w:rPr>
                <w:sz w:val="16"/>
                <w:szCs w:val="16"/>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RMB 80,000,000.00.</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Party B: Qin Miao, Pang Zhang and</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capital contribution amount and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Yayun Li</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shareholding percentage of the shareholders are</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 follows:</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Party C: Jiangsu Jingdong Bangneng</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Qin Miao: RMB 36,000,000.00 (45%) Yayun Li:</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Investment Management Co., Ltd.</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RMB 24,000,000.00 (30%) Pang Zhang: RMB</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20,000,000.00 (25%)</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Shanghai Jingdong</w:t>
            </w: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Party A: Beijing Jingdong Century Trade</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registered capital of Shanghai Jingdong</w:t>
            </w: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26, 2026</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March 26, 2026</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26,</w:t>
            </w:r>
          </w:p>
        </w:tc>
        <w:tc>
          <w:tcPr>
            <w:tcW w:w="0" w:type="dxa"/>
            <w:vAlign w:val="bottom"/>
          </w:tcPr>
          <w:p>
            <w:pPr>
              <w:spacing w:after="0"/>
              <w:rPr>
                <w:sz w:val="1"/>
                <w:szCs w:val="1"/>
                <w:color w:val="auto"/>
              </w:rPr>
            </w:pPr>
          </w:p>
        </w:tc>
      </w:tr>
      <w:tr>
        <w:trPr>
          <w:trHeight w:val="145"/>
        </w:trPr>
        <w:tc>
          <w:tcPr>
            <w:tcW w:w="14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Cai’ao E-commercial</w:t>
            </w: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Co., Ltd.</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Cai’ao E-commercial Co., Ltd. is RMB</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gridSpan w:val="2"/>
          </w:tcPr>
          <w:p>
            <w:pPr>
              <w:ind w:left="100"/>
              <w:spacing w:after="0" w:line="145"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184"/>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238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10,000,000.00.</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w w:val="99"/>
              </w:rPr>
              <w:t>Party B: Qin Miao, Tingting Sui and Pang</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The capital contribution amount and</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Zhang</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shareholding percentage of the shareholders are</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 follows:</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Party C: Shanghai Jingdong Cai’ao</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Qin Miao: RMB 4,500,000.00 (45%) Tingting</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8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E-commercial Co., Ltd.,</w:t>
            </w:r>
          </w:p>
        </w:tc>
        <w:tc>
          <w:tcPr>
            <w:tcW w:w="29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Sui: RMB 3,000,000.00 (30%) Pang Zhang:</w:t>
            </w: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RMB 2,500,000.00 (25%)</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0780"/>
          </w:cols>
          <w:pgMar w:left="560" w:top="264" w:right="559" w:bottom="1440" w:gutter="0" w:footer="0" w:header="0"/>
        </w:sect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Suzhou Guanyinghou</w:t>
            </w:r>
          </w:p>
        </w:tc>
        <w:tc>
          <w:tcPr>
            <w:tcW w:w="2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Party A: Suqian Daxi Information</w:t>
            </w:r>
          </w:p>
        </w:tc>
        <w:tc>
          <w:tcPr>
            <w:tcW w:w="0" w:type="dxa"/>
            <w:vAlign w:val="bottom"/>
          </w:tcPr>
          <w:p>
            <w:pPr>
              <w:spacing w:after="0"/>
              <w:rPr>
                <w:sz w:val="1"/>
                <w:szCs w:val="1"/>
                <w:color w:val="auto"/>
              </w:rPr>
            </w:pPr>
          </w:p>
        </w:tc>
      </w:tr>
      <w:tr>
        <w:trPr>
          <w:trHeight w:val="145"/>
        </w:trPr>
        <w:tc>
          <w:tcPr>
            <w:tcW w:w="13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Media Technology</w:t>
            </w:r>
          </w:p>
        </w:tc>
        <w:tc>
          <w:tcPr>
            <w:tcW w:w="220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4"/>
                <w:szCs w:val="14"/>
                <w:color w:val="auto"/>
              </w:rPr>
              <w:t>Co., Ltd.</w:t>
            </w:r>
          </w:p>
        </w:tc>
        <w:tc>
          <w:tcPr>
            <w:tcW w:w="2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Party B: Qian Yang</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320" w:type="dxa"/>
            <w:vAlign w:val="bottom"/>
          </w:tcPr>
          <w:p>
            <w:pPr>
              <w:spacing w:after="0"/>
              <w:rPr>
                <w:sz w:val="19"/>
                <w:szCs w:val="19"/>
                <w:color w:val="auto"/>
              </w:rPr>
            </w:pPr>
          </w:p>
        </w:tc>
        <w:tc>
          <w:tcPr>
            <w:tcW w:w="2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Party C: Suzhou Guanyinghou Media</w:t>
            </w: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2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2900" w:val="left"/>
          <w:tab w:leader="none" w:pos="4620" w:val="left"/>
          <w:tab w:leader="none" w:pos="6000" w:val="left"/>
        </w:tabs>
        <w:rPr>
          <w:sz w:val="20"/>
          <w:szCs w:val="20"/>
          <w:color w:val="auto"/>
        </w:rPr>
      </w:pPr>
      <w:r>
        <w:rPr>
          <w:rFonts w:ascii="Times New Roman" w:cs="Times New Roman" w:eastAsia="Times New Roman" w:hAnsi="Times New Roman"/>
          <w:sz w:val="14"/>
          <w:szCs w:val="14"/>
          <w:color w:val="auto"/>
        </w:rPr>
        <w:t>The registered capital of Suzhou Guanyinghou</w:t>
      </w:r>
      <w:r>
        <w:rPr>
          <w:sz w:val="20"/>
          <w:szCs w:val="20"/>
          <w:color w:val="auto"/>
        </w:rPr>
        <w:tab/>
      </w:r>
      <w:r>
        <w:rPr>
          <w:rFonts w:ascii="Times New Roman" w:cs="Times New Roman" w:eastAsia="Times New Roman" w:hAnsi="Times New Roman"/>
          <w:sz w:val="14"/>
          <w:szCs w:val="14"/>
          <w:color w:val="auto"/>
        </w:rPr>
        <w:t>December 11, 2017</w:t>
      </w:r>
      <w:r>
        <w:rPr>
          <w:sz w:val="20"/>
          <w:szCs w:val="20"/>
          <w:color w:val="auto"/>
        </w:rPr>
        <w:tab/>
      </w:r>
      <w:r>
        <w:rPr>
          <w:rFonts w:ascii="Times New Roman" w:cs="Times New Roman" w:eastAsia="Times New Roman" w:hAnsi="Times New Roman"/>
          <w:sz w:val="14"/>
          <w:szCs w:val="14"/>
          <w:color w:val="auto"/>
        </w:rPr>
        <w:t>December 11, 2017</w:t>
      </w:r>
      <w:r>
        <w:rPr>
          <w:sz w:val="20"/>
          <w:szCs w:val="20"/>
          <w:color w:val="auto"/>
        </w:rPr>
        <w:tab/>
      </w:r>
      <w:r>
        <w:rPr>
          <w:rFonts w:ascii="Times New Roman" w:cs="Times New Roman" w:eastAsia="Times New Roman" w:hAnsi="Times New Roman"/>
          <w:sz w:val="13"/>
          <w:szCs w:val="13"/>
          <w:color w:val="auto"/>
        </w:rPr>
        <w:t>December 11,</w:t>
      </w:r>
    </w:p>
    <w:p>
      <w:pPr>
        <w:spacing w:after="0" w:line="217" w:lineRule="auto"/>
        <w:tabs>
          <w:tab w:leader="none" w:pos="6000" w:val="left"/>
        </w:tabs>
        <w:rPr>
          <w:sz w:val="20"/>
          <w:szCs w:val="20"/>
          <w:color w:val="auto"/>
        </w:rPr>
      </w:pPr>
      <w:r>
        <w:rPr>
          <w:rFonts w:ascii="Times New Roman" w:cs="Times New Roman" w:eastAsia="Times New Roman" w:hAnsi="Times New Roman"/>
          <w:sz w:val="14"/>
          <w:szCs w:val="14"/>
          <w:color w:val="auto"/>
        </w:rPr>
        <w:t>Media Technology Co., Ltd. is RMB</w:t>
      </w:r>
      <w:r>
        <w:rPr>
          <w:sz w:val="20"/>
          <w:szCs w:val="20"/>
          <w:color w:val="auto"/>
        </w:rPr>
        <w:tab/>
      </w:r>
      <w:r>
        <w:rPr>
          <w:rFonts w:ascii="Times New Roman" w:cs="Times New Roman" w:eastAsia="Times New Roman" w:hAnsi="Times New Roman"/>
          <w:sz w:val="14"/>
          <w:szCs w:val="14"/>
          <w:color w:val="auto"/>
        </w:rPr>
        <w:t>2017</w:t>
      </w:r>
    </w:p>
    <w:p>
      <w:pPr>
        <w:spacing w:after="0"/>
        <w:rPr>
          <w:sz w:val="20"/>
          <w:szCs w:val="20"/>
          <w:color w:val="auto"/>
        </w:rPr>
      </w:pPr>
      <w:r>
        <w:rPr>
          <w:rFonts w:ascii="Times New Roman" w:cs="Times New Roman" w:eastAsia="Times New Roman" w:hAnsi="Times New Roman"/>
          <w:sz w:val="14"/>
          <w:szCs w:val="14"/>
          <w:color w:val="auto"/>
        </w:rPr>
        <w:t>10,000,000.00.</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capital contribution amount and</w:t>
      </w:r>
    </w:p>
    <w:p>
      <w:pPr>
        <w:spacing w:after="0" w:line="217" w:lineRule="auto"/>
        <w:rPr>
          <w:sz w:val="20"/>
          <w:szCs w:val="20"/>
          <w:color w:val="auto"/>
        </w:rPr>
      </w:pPr>
      <w:r>
        <w:rPr>
          <w:rFonts w:ascii="Times New Roman" w:cs="Times New Roman" w:eastAsia="Times New Roman" w:hAnsi="Times New Roman"/>
          <w:sz w:val="14"/>
          <w:szCs w:val="14"/>
          <w:color w:val="auto"/>
        </w:rPr>
        <w:t>shareholding percentage of the shareholders are</w:t>
      </w:r>
    </w:p>
    <w:p>
      <w:pPr>
        <w:spacing w:after="0" w:line="217" w:lineRule="auto"/>
        <w:rPr>
          <w:sz w:val="20"/>
          <w:szCs w:val="20"/>
          <w:color w:val="auto"/>
        </w:rPr>
      </w:pPr>
      <w:r>
        <w:rPr>
          <w:rFonts w:ascii="Times New Roman" w:cs="Times New Roman" w:eastAsia="Times New Roman" w:hAnsi="Times New Roman"/>
          <w:sz w:val="14"/>
          <w:szCs w:val="14"/>
          <w:color w:val="auto"/>
        </w:rPr>
        <w:t>as follows: Qian Yang: RMB 10,000,000.00</w:t>
      </w:r>
    </w:p>
    <w:p>
      <w:pPr>
        <w:spacing w:after="0"/>
        <w:rPr>
          <w:sz w:val="20"/>
          <w:szCs w:val="20"/>
          <w:color w:val="auto"/>
        </w:rPr>
      </w:pPr>
      <w:r>
        <w:rPr>
          <w:rFonts w:ascii="Times New Roman" w:cs="Times New Roman" w:eastAsia="Times New Roman" w:hAnsi="Times New Roman"/>
          <w:sz w:val="14"/>
          <w:szCs w:val="14"/>
          <w:color w:val="auto"/>
        </w:rPr>
        <w:t>(100%)</w:t>
      </w:r>
    </w:p>
    <w:p>
      <w:pPr>
        <w:spacing w:after="0" w:line="131" w:lineRule="exact"/>
        <w:rPr>
          <w:sz w:val="20"/>
          <w:szCs w:val="20"/>
          <w:color w:val="auto"/>
        </w:rPr>
      </w:pPr>
    </w:p>
    <w:p>
      <w:pPr>
        <w:sectPr>
          <w:pgSz w:w="11900" w:h="16838" w:orient="portrait"/>
          <w:cols w:equalWidth="0" w:num="2">
            <w:col w:w="3520" w:space="380"/>
            <w:col w:w="6880"/>
          </w:cols>
          <w:pgMar w:left="560" w:top="264" w:right="5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80"/>
          </w:cols>
          <w:pgMar w:left="560" w:top="264" w:right="559" w:bottom="1440" w:gutter="0" w:footer="0" w:header="0"/>
          <w:type w:val="continuous"/>
        </w:sectPr>
      </w:pPr>
    </w:p>
    <w:bookmarkStart w:id="470" w:name="page471"/>
    <w:bookmarkEnd w:id="470"/>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Beijing JPT</w:t>
            </w: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A: Beijing QGX Information</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E-Commerce Co., Ltd.</w:t>
            </w: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B: Yayun Li and Pang Zhang</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C: Beijing JPT E-Commerce</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 Ltd.</w:t>
            </w:r>
          </w:p>
        </w:tc>
        <w:tc>
          <w:tcPr>
            <w:tcW w:w="0" w:type="dxa"/>
            <w:vAlign w:val="bottom"/>
          </w:tcPr>
          <w:p>
            <w:pPr>
              <w:spacing w:after="0"/>
              <w:rPr>
                <w:sz w:val="1"/>
                <w:szCs w:val="1"/>
                <w:color w:val="auto"/>
              </w:rPr>
            </w:pPr>
          </w:p>
        </w:tc>
      </w:tr>
      <w:tr>
        <w:trPr>
          <w:trHeight w:val="54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Suqian Jiantong</w:t>
            </w: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A: Suqian Daxi Information</w:t>
            </w:r>
          </w:p>
        </w:tc>
        <w:tc>
          <w:tcPr>
            <w:tcW w:w="0" w:type="dxa"/>
            <w:vAlign w:val="bottom"/>
          </w:tcPr>
          <w:p>
            <w:pPr>
              <w:spacing w:after="0"/>
              <w:rPr>
                <w:sz w:val="1"/>
                <w:szCs w:val="1"/>
                <w:color w:val="auto"/>
              </w:rPr>
            </w:pPr>
          </w:p>
        </w:tc>
      </w:tr>
      <w:tr>
        <w:trPr>
          <w:trHeight w:val="145"/>
        </w:trPr>
        <w:tc>
          <w:tcPr>
            <w:tcW w:w="1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Enterprise</w:t>
            </w:r>
          </w:p>
        </w:tc>
        <w:tc>
          <w:tcPr>
            <w:tcW w:w="24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r>
        <w:trPr>
          <w:trHeight w:val="26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Management Co., Ltd.</w:t>
            </w: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B: Suzhou Guanyinghou Media</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C: Suqian Jiantong Enterprise</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 Co., Ltd.</w:t>
            </w:r>
          </w:p>
        </w:tc>
        <w:tc>
          <w:tcPr>
            <w:tcW w:w="0" w:type="dxa"/>
            <w:vAlign w:val="bottom"/>
          </w:tcPr>
          <w:p>
            <w:pPr>
              <w:spacing w:after="0"/>
              <w:rPr>
                <w:sz w:val="1"/>
                <w:szCs w:val="1"/>
                <w:color w:val="auto"/>
              </w:rPr>
            </w:pPr>
          </w:p>
        </w:tc>
      </w:tr>
      <w:tr>
        <w:trPr>
          <w:trHeight w:val="39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Suqian Yueyang</w:t>
            </w: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A: Shanghai Shengdayuan</w:t>
            </w:r>
          </w:p>
        </w:tc>
        <w:tc>
          <w:tcPr>
            <w:tcW w:w="0" w:type="dxa"/>
            <w:vAlign w:val="bottom"/>
          </w:tcPr>
          <w:p>
            <w:pPr>
              <w:spacing w:after="0"/>
              <w:rPr>
                <w:sz w:val="1"/>
                <w:szCs w:val="1"/>
                <w:color w:val="auto"/>
              </w:rPr>
            </w:pPr>
          </w:p>
        </w:tc>
      </w:tr>
      <w:tr>
        <w:trPr>
          <w:trHeight w:val="145"/>
        </w:trPr>
        <w:tc>
          <w:tcPr>
            <w:tcW w:w="1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Information</w:t>
            </w:r>
          </w:p>
        </w:tc>
        <w:tc>
          <w:tcPr>
            <w:tcW w:w="24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Information Technology Co., Ltd.</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w w:val="99"/>
              </w:rPr>
              <w:t>Party B: Tingting Sui, Saili Tan and Pang</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Zhang</w:t>
            </w:r>
          </w:p>
        </w:tc>
        <w:tc>
          <w:tcPr>
            <w:tcW w:w="0" w:type="dxa"/>
            <w:vAlign w:val="bottom"/>
          </w:tcPr>
          <w:p>
            <w:pPr>
              <w:spacing w:after="0"/>
              <w:rPr>
                <w:sz w:val="1"/>
                <w:szCs w:val="1"/>
                <w:color w:val="auto"/>
              </w:rPr>
            </w:pPr>
          </w:p>
        </w:tc>
      </w:tr>
      <w:tr>
        <w:trPr>
          <w:trHeight w:val="226"/>
        </w:trPr>
        <w:tc>
          <w:tcPr>
            <w:tcW w:w="134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C: Suqian Yueyang Information</w:t>
            </w:r>
          </w:p>
        </w:tc>
        <w:tc>
          <w:tcPr>
            <w:tcW w:w="0" w:type="dxa"/>
            <w:vAlign w:val="bottom"/>
          </w:tcPr>
          <w:p>
            <w:pPr>
              <w:spacing w:after="0"/>
              <w:rPr>
                <w:sz w:val="1"/>
                <w:szCs w:val="1"/>
                <w:color w:val="auto"/>
              </w:rPr>
            </w:pPr>
          </w:p>
        </w:tc>
      </w:tr>
      <w:tr>
        <w:trPr>
          <w:trHeight w:val="184"/>
        </w:trPr>
        <w:tc>
          <w:tcPr>
            <w:tcW w:w="1340" w:type="dxa"/>
            <w:vAlign w:val="bottom"/>
          </w:tcPr>
          <w:p>
            <w:pPr>
              <w:spacing w:after="0"/>
              <w:rPr>
                <w:sz w:val="15"/>
                <w:szCs w:val="15"/>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60"/>
        <w:spacing w:after="0" w:line="250" w:lineRule="auto"/>
        <w:rPr>
          <w:sz w:val="20"/>
          <w:szCs w:val="20"/>
          <w:color w:val="auto"/>
        </w:rPr>
      </w:pPr>
      <w:r>
        <w:rPr>
          <w:rFonts w:ascii="Times New Roman" w:cs="Times New Roman" w:eastAsia="Times New Roman" w:hAnsi="Times New Roman"/>
          <w:sz w:val="14"/>
          <w:szCs w:val="14"/>
          <w:color w:val="auto"/>
        </w:rPr>
        <w:t>The registered capital of Beijing JPT E-Commerce Co., Ltd is RMB10,000,000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-290195</wp:posOffset>
            </wp:positionV>
            <wp:extent cx="7177405"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9">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p>
      <w:pPr>
        <w:spacing w:after="0" w:line="5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4"/>
          <w:szCs w:val="14"/>
          <w:color w:val="auto"/>
        </w:rPr>
        <w:t>The capital contribution amount and shareholding percentage are as follows: Beijing QGX Information Technology Co., Ltd.: RMB4,500,000 (45%) Yayun Li: RMB3,000,000 (30%) Pang Zhang: RMB2,500,000 (25%)</w:t>
      </w:r>
    </w:p>
    <w:p>
      <w:pPr>
        <w:spacing w:after="0" w:line="82" w:lineRule="exact"/>
        <w:rPr>
          <w:sz w:val="20"/>
          <w:szCs w:val="20"/>
          <w:color w:val="auto"/>
        </w:rPr>
      </w:pPr>
    </w:p>
    <w:p>
      <w:pPr>
        <w:ind w:right="380"/>
        <w:spacing w:after="0" w:line="235" w:lineRule="auto"/>
        <w:rPr>
          <w:sz w:val="20"/>
          <w:szCs w:val="20"/>
          <w:color w:val="auto"/>
        </w:rPr>
      </w:pPr>
      <w:r>
        <w:rPr>
          <w:rFonts w:ascii="Times New Roman" w:cs="Times New Roman" w:eastAsia="Times New Roman" w:hAnsi="Times New Roman"/>
          <w:sz w:val="14"/>
          <w:szCs w:val="14"/>
          <w:color w:val="auto"/>
        </w:rPr>
        <w:t>The registered capital of Suqian Jiantong Enterprise Management Co., Ltd. is RMB10,010,000.</w:t>
      </w:r>
    </w:p>
    <w:p>
      <w:pPr>
        <w:spacing w:after="0" w:line="8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The capital contribution amount and shareholding percentage are as follows: Suzhou Guanyinghou Media Technology Co., Ltd.: RMB10,000,000 (99.99%), Xinshi Wang: RMB10,000 (0.1%)</w:t>
      </w:r>
    </w:p>
    <w:p>
      <w:pPr>
        <w:spacing w:after="0" w:line="81" w:lineRule="exact"/>
        <w:rPr>
          <w:sz w:val="20"/>
          <w:szCs w:val="20"/>
          <w:color w:val="auto"/>
        </w:rPr>
      </w:pPr>
    </w:p>
    <w:p>
      <w:pPr>
        <w:ind w:right="360"/>
        <w:spacing w:after="0" w:line="235" w:lineRule="auto"/>
        <w:rPr>
          <w:sz w:val="20"/>
          <w:szCs w:val="20"/>
          <w:color w:val="auto"/>
        </w:rPr>
      </w:pPr>
      <w:r>
        <w:rPr>
          <w:rFonts w:ascii="Times New Roman" w:cs="Times New Roman" w:eastAsia="Times New Roman" w:hAnsi="Times New Roman"/>
          <w:sz w:val="14"/>
          <w:szCs w:val="14"/>
          <w:color w:val="auto"/>
        </w:rPr>
        <w:t>The registered capital of Suqian Yueyang Information Technology Co., Ltd. is RMB1,000,000</w:t>
      </w:r>
    </w:p>
    <w:p>
      <w:pPr>
        <w:spacing w:after="0" w:line="8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4"/>
          <w:szCs w:val="14"/>
          <w:color w:val="auto"/>
        </w:rPr>
        <w:t>The capital contribution amount and shareholding percentage are as follows: Tingting Sui: RMB450,000 (45%) Saili Tan: RMB300,000 (30%) Pang Zhang: RMB250,000 (25%)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September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February 4, 2026 (for Saili Tan) and January 1, 2023 (for the other two borrowers)</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September 16, 2022</w:t>
      </w:r>
      <w:r>
        <w:rPr>
          <w:sz w:val="20"/>
          <w:szCs w:val="20"/>
          <w:color w:val="auto"/>
        </w:rPr>
        <w:tab/>
      </w:r>
      <w:r>
        <w:rPr>
          <w:rFonts w:ascii="Times New Roman" w:cs="Times New Roman" w:eastAsia="Times New Roman" w:hAnsi="Times New Roman"/>
          <w:sz w:val="13"/>
          <w:szCs w:val="13"/>
          <w:color w:val="auto"/>
        </w:rPr>
        <w:t>September 16,</w:t>
      </w:r>
    </w:p>
    <w:p>
      <w:pPr>
        <w:ind w:left="1400"/>
        <w:spacing w:after="0"/>
        <w:rPr>
          <w:sz w:val="20"/>
          <w:szCs w:val="20"/>
          <w:color w:val="auto"/>
        </w:rPr>
      </w:pPr>
      <w:r>
        <w:rPr>
          <w:rFonts w:ascii="Times New Roman" w:cs="Times New Roman" w:eastAsia="Times New Roman" w:hAnsi="Times New Roman"/>
          <w:sz w:val="14"/>
          <w:szCs w:val="14"/>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April 18, 2019</w:t>
      </w:r>
      <w:r>
        <w:rPr>
          <w:sz w:val="20"/>
          <w:szCs w:val="20"/>
          <w:color w:val="auto"/>
        </w:rPr>
        <w:tab/>
      </w:r>
      <w:r>
        <w:rPr>
          <w:rFonts w:ascii="Times New Roman" w:cs="Times New Roman" w:eastAsia="Times New Roman" w:hAnsi="Times New Roman"/>
          <w:sz w:val="13"/>
          <w:szCs w:val="13"/>
          <w:color w:val="auto"/>
        </w:rPr>
        <w:t>April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4"/>
          <w:szCs w:val="14"/>
          <w:color w:val="auto"/>
        </w:rPr>
        <w:t>February 4, 2026 (for February 4, Saili Tan) and January 2026 (for Saili 1, 2023 (for the other Tan) and</w:t>
      </w:r>
    </w:p>
    <w:p>
      <w:pPr>
        <w:spacing w:after="0" w:line="235" w:lineRule="auto"/>
        <w:tabs>
          <w:tab w:leader="none" w:pos="1380" w:val="left"/>
        </w:tabs>
        <w:rPr>
          <w:sz w:val="20"/>
          <w:szCs w:val="20"/>
          <w:color w:val="auto"/>
        </w:rPr>
      </w:pPr>
      <w:r>
        <w:rPr>
          <w:rFonts w:ascii="Times New Roman" w:cs="Times New Roman" w:eastAsia="Times New Roman" w:hAnsi="Times New Roman"/>
          <w:sz w:val="14"/>
          <w:szCs w:val="14"/>
          <w:color w:val="auto"/>
        </w:rPr>
        <w:t>two borrowers)</w:t>
      </w:r>
      <w:r>
        <w:rPr>
          <w:sz w:val="20"/>
          <w:szCs w:val="20"/>
          <w:color w:val="auto"/>
        </w:rPr>
        <w:tab/>
      </w:r>
      <w:r>
        <w:rPr>
          <w:rFonts w:ascii="Times New Roman" w:cs="Times New Roman" w:eastAsia="Times New Roman" w:hAnsi="Times New Roman"/>
          <w:sz w:val="13"/>
          <w:szCs w:val="13"/>
          <w:color w:val="auto"/>
        </w:rPr>
        <w:t>January 1, 2023</w:t>
      </w:r>
    </w:p>
    <w:p>
      <w:pPr>
        <w:ind w:left="1400"/>
        <w:spacing w:after="0" w:line="217" w:lineRule="auto"/>
        <w:rPr>
          <w:sz w:val="20"/>
          <w:szCs w:val="20"/>
          <w:color w:val="auto"/>
        </w:rPr>
      </w:pPr>
      <w:r>
        <w:rPr>
          <w:rFonts w:ascii="Times New Roman" w:cs="Times New Roman" w:eastAsia="Times New Roman" w:hAnsi="Times New Roman"/>
          <w:sz w:val="14"/>
          <w:szCs w:val="14"/>
          <w:color w:val="auto"/>
        </w:rPr>
        <w:t>(for the other</w:t>
      </w:r>
    </w:p>
    <w:p>
      <w:pPr>
        <w:ind w:left="1400"/>
        <w:spacing w:after="0"/>
        <w:rPr>
          <w:sz w:val="20"/>
          <w:szCs w:val="20"/>
          <w:color w:val="auto"/>
        </w:rPr>
      </w:pPr>
      <w:r>
        <w:rPr>
          <w:rFonts w:ascii="Times New Roman" w:cs="Times New Roman" w:eastAsia="Times New Roman" w:hAnsi="Times New Roman"/>
          <w:sz w:val="14"/>
          <w:szCs w:val="14"/>
          <w:color w:val="auto"/>
        </w:rPr>
        <w:t>two borrowers)</w:t>
      </w:r>
    </w:p>
    <w:p>
      <w:pPr>
        <w:spacing w:after="0" w:line="481" w:lineRule="exact"/>
        <w:rPr>
          <w:sz w:val="20"/>
          <w:szCs w:val="20"/>
          <w:color w:val="auto"/>
        </w:rPr>
      </w:pPr>
    </w:p>
    <w:p>
      <w:pPr>
        <w:sectPr>
          <w:pgSz w:w="11900" w:h="16838" w:orient="portrait"/>
          <w:cols w:equalWidth="0" w:num="4">
            <w:col w:w="3740" w:space="160"/>
            <w:col w:w="2700" w:space="100"/>
            <w:col w:w="1520" w:space="200"/>
            <w:col w:w="2280"/>
          </w:cols>
          <w:pgMar w:left="560" w:top="246" w:right="639" w:bottom="1440" w:gutter="0" w:footer="0" w:header="0"/>
        </w:sect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Jiangsu Jucheng Space</w:t>
            </w: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A: Suqian Jingdong Baoying</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registered capital of Jiangsu Jucheng</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March 26, 2026</w:t>
            </w:r>
          </w:p>
        </w:tc>
      </w:t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Information Technology Co., Ltd.</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Space Technology Co., Ltd. is RMB10,000,000</w:t>
            </w:r>
          </w:p>
        </w:tc>
        <w:tc>
          <w:tcPr>
            <w:tcW w:w="960" w:type="dxa"/>
            <w:vAlign w:val="bottom"/>
          </w:tcPr>
          <w:p>
            <w:pPr>
              <w:spacing w:after="0"/>
              <w:rPr>
                <w:sz w:val="15"/>
                <w:szCs w:val="15"/>
                <w:color w:val="auto"/>
              </w:rPr>
            </w:pPr>
          </w:p>
        </w:tc>
      </w:tr>
      <w:tr>
        <w:trPr>
          <w:trHeight w:val="226"/>
        </w:trPr>
        <w:tc>
          <w:tcPr>
            <w:tcW w:w="13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B: Qin Miao, Tingting Sui and Pang</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Capital contribution amount and</w:t>
            </w:r>
          </w:p>
        </w:tc>
        <w:tc>
          <w:tcPr>
            <w:tcW w:w="960" w:type="dxa"/>
            <w:vAlign w:val="bottom"/>
          </w:tcPr>
          <w:p>
            <w:pPr>
              <w:spacing w:after="0"/>
              <w:rPr>
                <w:sz w:val="19"/>
                <w:szCs w:val="19"/>
                <w:color w:val="auto"/>
              </w:rPr>
            </w:pPr>
          </w:p>
        </w:tc>
      </w:tr>
      <w:tr>
        <w:trPr>
          <w:trHeight w:val="184"/>
        </w:trPr>
        <w:tc>
          <w:tcPr>
            <w:tcW w:w="134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Zhang</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shareholding percentage are as follows:</w:t>
            </w:r>
          </w:p>
        </w:tc>
        <w:tc>
          <w:tcPr>
            <w:tcW w:w="960" w:type="dxa"/>
            <w:vAlign w:val="bottom"/>
          </w:tcPr>
          <w:p>
            <w:pPr>
              <w:spacing w:after="0"/>
              <w:rPr>
                <w:sz w:val="15"/>
                <w:szCs w:val="15"/>
                <w:color w:val="auto"/>
              </w:rPr>
            </w:pPr>
          </w:p>
        </w:tc>
      </w:tr>
      <w:tr>
        <w:trPr>
          <w:trHeight w:val="226"/>
        </w:trPr>
        <w:tc>
          <w:tcPr>
            <w:tcW w:w="13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C: Jiangsu Jucheng Space</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Qin Miao: RMB4,500,000 (45%)</w:t>
            </w:r>
          </w:p>
        </w:tc>
        <w:tc>
          <w:tcPr>
            <w:tcW w:w="960" w:type="dxa"/>
            <w:vAlign w:val="bottom"/>
          </w:tcPr>
          <w:p>
            <w:pPr>
              <w:spacing w:after="0"/>
              <w:rPr>
                <w:sz w:val="19"/>
                <w:szCs w:val="19"/>
                <w:color w:val="auto"/>
              </w:rPr>
            </w:pPr>
          </w:p>
        </w:tc>
      </w:tr>
      <w:tr>
        <w:trPr>
          <w:trHeight w:val="145"/>
        </w:trPr>
        <w:tc>
          <w:tcPr>
            <w:tcW w:w="1340" w:type="dxa"/>
            <w:vAlign w:val="bottom"/>
          </w:tcPr>
          <w:p>
            <w:pPr>
              <w:spacing w:after="0"/>
              <w:rPr>
                <w:sz w:val="12"/>
                <w:szCs w:val="12"/>
                <w:color w:val="auto"/>
              </w:rPr>
            </w:pPr>
          </w:p>
        </w:tc>
        <w:tc>
          <w:tcPr>
            <w:tcW w:w="25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Technology Co., Ltd.</w:t>
            </w:r>
          </w:p>
        </w:tc>
        <w:tc>
          <w:tcPr>
            <w:tcW w:w="28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Tingting Sui: RMB3,000,000 (30%)</w:t>
            </w:r>
          </w:p>
        </w:tc>
        <w:tc>
          <w:tcPr>
            <w:tcW w:w="960" w:type="dxa"/>
            <w:vAlign w:val="bottom"/>
          </w:tcPr>
          <w:p>
            <w:pPr>
              <w:spacing w:after="0"/>
              <w:rPr>
                <w:sz w:val="12"/>
                <w:szCs w:val="12"/>
                <w:color w:val="auto"/>
              </w:rPr>
            </w:pPr>
          </w:p>
        </w:tc>
      </w:tr>
      <w:tr>
        <w:trPr>
          <w:trHeight w:val="184"/>
        </w:trPr>
        <w:tc>
          <w:tcPr>
            <w:tcW w:w="1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Pang Zhang: RMB2,500,000 (25%)</w:t>
            </w:r>
          </w:p>
        </w:tc>
        <w:tc>
          <w:tcPr>
            <w:tcW w:w="960" w:type="dxa"/>
            <w:vAlign w:val="bottom"/>
          </w:tcPr>
          <w:p>
            <w:pPr>
              <w:spacing w:after="0"/>
              <w:rPr>
                <w:sz w:val="15"/>
                <w:szCs w:val="15"/>
                <w:color w:val="auto"/>
              </w:rPr>
            </w:pPr>
          </w:p>
        </w:tc>
      </w:tr>
      <w:tr>
        <w:trPr>
          <w:trHeight w:val="226"/>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Suqian Hanyu</w:t>
            </w: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A: Jiangsu Huiji Space Technology</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registered capital of Suqian Hanyu</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March 20, 2026</w:t>
            </w:r>
          </w:p>
        </w:tc>
      </w:t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 Ltd.</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Technology Co., Ltd. is RMB 1,000,000.</w:t>
            </w:r>
          </w:p>
        </w:tc>
        <w:tc>
          <w:tcPr>
            <w:tcW w:w="960" w:type="dxa"/>
            <w:vAlign w:val="bottom"/>
          </w:tcPr>
          <w:p>
            <w:pPr>
              <w:spacing w:after="0"/>
              <w:rPr>
                <w:sz w:val="15"/>
                <w:szCs w:val="15"/>
                <w:color w:val="auto"/>
              </w:rPr>
            </w:pPr>
          </w:p>
        </w:tc>
      </w:tr>
      <w:tr>
        <w:trPr>
          <w:trHeight w:val="226"/>
        </w:trPr>
        <w:tc>
          <w:tcPr>
            <w:tcW w:w="13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B: Qin Miao, Tingting Sui and Pang</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capital contribution amount and</w:t>
            </w:r>
          </w:p>
        </w:tc>
        <w:tc>
          <w:tcPr>
            <w:tcW w:w="960" w:type="dxa"/>
            <w:vAlign w:val="bottom"/>
          </w:tcPr>
          <w:p>
            <w:pPr>
              <w:spacing w:after="0"/>
              <w:rPr>
                <w:sz w:val="19"/>
                <w:szCs w:val="19"/>
                <w:color w:val="auto"/>
              </w:rPr>
            </w:pPr>
          </w:p>
        </w:tc>
      </w:tr>
      <w:tr>
        <w:trPr>
          <w:trHeight w:val="184"/>
        </w:trPr>
        <w:tc>
          <w:tcPr>
            <w:tcW w:w="134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Zhang</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shareholding percentage are as follows:</w:t>
            </w:r>
          </w:p>
        </w:tc>
        <w:tc>
          <w:tcPr>
            <w:tcW w:w="960" w:type="dxa"/>
            <w:vAlign w:val="bottom"/>
          </w:tcPr>
          <w:p>
            <w:pPr>
              <w:spacing w:after="0"/>
              <w:rPr>
                <w:sz w:val="15"/>
                <w:szCs w:val="15"/>
                <w:color w:val="auto"/>
              </w:rPr>
            </w:pPr>
          </w:p>
        </w:tc>
      </w:tr>
      <w:tr>
        <w:trPr>
          <w:trHeight w:val="226"/>
        </w:trPr>
        <w:tc>
          <w:tcPr>
            <w:tcW w:w="1340" w:type="dxa"/>
            <w:vAlign w:val="bottom"/>
          </w:tcPr>
          <w:p>
            <w:pPr>
              <w:spacing w:after="0"/>
              <w:rPr>
                <w:sz w:val="19"/>
                <w:szCs w:val="19"/>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Party C: Suqian Hanyu Technology Co.,</w:t>
            </w: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Qin Miao: RMB450,000 (45%)</w:t>
            </w:r>
          </w:p>
        </w:tc>
        <w:tc>
          <w:tcPr>
            <w:tcW w:w="960" w:type="dxa"/>
            <w:vAlign w:val="bottom"/>
          </w:tcPr>
          <w:p>
            <w:pPr>
              <w:spacing w:after="0"/>
              <w:rPr>
                <w:sz w:val="19"/>
                <w:szCs w:val="19"/>
                <w:color w:val="auto"/>
              </w:rPr>
            </w:pPr>
          </w:p>
        </w:tc>
      </w:tr>
      <w:tr>
        <w:trPr>
          <w:trHeight w:val="145"/>
        </w:trPr>
        <w:tc>
          <w:tcPr>
            <w:tcW w:w="1340" w:type="dxa"/>
            <w:vAlign w:val="bottom"/>
          </w:tcPr>
          <w:p>
            <w:pPr>
              <w:spacing w:after="0"/>
              <w:rPr>
                <w:sz w:val="12"/>
                <w:szCs w:val="12"/>
                <w:color w:val="auto"/>
              </w:rPr>
            </w:pPr>
          </w:p>
        </w:tc>
        <w:tc>
          <w:tcPr>
            <w:tcW w:w="25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Ltd.</w:t>
            </w:r>
          </w:p>
        </w:tc>
        <w:tc>
          <w:tcPr>
            <w:tcW w:w="280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auto"/>
              </w:rPr>
              <w:t>Tingting Sui: RMB300,000 (30%)</w:t>
            </w:r>
          </w:p>
        </w:tc>
        <w:tc>
          <w:tcPr>
            <w:tcW w:w="960" w:type="dxa"/>
            <w:vAlign w:val="bottom"/>
          </w:tcPr>
          <w:p>
            <w:pPr>
              <w:spacing w:after="0"/>
              <w:rPr>
                <w:sz w:val="12"/>
                <w:szCs w:val="12"/>
                <w:color w:val="auto"/>
              </w:rPr>
            </w:pPr>
          </w:p>
        </w:tc>
      </w:tr>
      <w:tr>
        <w:trPr>
          <w:trHeight w:val="184"/>
        </w:trPr>
        <w:tc>
          <w:tcPr>
            <w:tcW w:w="1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Pang Zhang: RMB250,000 (25%)</w:t>
            </w:r>
          </w:p>
        </w:tc>
        <w:tc>
          <w:tcPr>
            <w:tcW w:w="9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March 26, 2026</w:t>
      </w:r>
      <w:r>
        <w:rPr>
          <w:sz w:val="20"/>
          <w:szCs w:val="20"/>
          <w:color w:val="auto"/>
        </w:rPr>
        <w:tab/>
      </w:r>
      <w:r>
        <w:rPr>
          <w:rFonts w:ascii="Times New Roman" w:cs="Times New Roman" w:eastAsia="Times New Roman" w:hAnsi="Times New Roman"/>
          <w:sz w:val="13"/>
          <w:szCs w:val="13"/>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March 20, 2026</w:t>
      </w:r>
      <w:r>
        <w:rPr>
          <w:sz w:val="20"/>
          <w:szCs w:val="20"/>
          <w:color w:val="auto"/>
        </w:rPr>
        <w:tab/>
      </w:r>
      <w:r>
        <w:rPr>
          <w:rFonts w:ascii="Times New Roman" w:cs="Times New Roman" w:eastAsia="Times New Roman" w:hAnsi="Times New Roman"/>
          <w:sz w:val="13"/>
          <w:szCs w:val="13"/>
          <w:color w:val="auto"/>
        </w:rPr>
        <w:t>March 20, 2026</w:t>
      </w:r>
    </w:p>
    <w:p>
      <w:pPr>
        <w:spacing w:after="0" w:line="1198" w:lineRule="exact"/>
        <w:rPr>
          <w:sz w:val="20"/>
          <w:szCs w:val="20"/>
          <w:color w:val="auto"/>
        </w:rPr>
      </w:pPr>
    </w:p>
    <w:p>
      <w:pPr>
        <w:sectPr>
          <w:pgSz w:w="11900" w:h="16838" w:orient="portrait"/>
          <w:cols w:equalWidth="0" w:num="2">
            <w:col w:w="7700" w:space="720"/>
            <w:col w:w="2280"/>
          </w:cols>
          <w:pgMar w:left="560" w:top="246" w:right="6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Beijing Epochal</w:t>
            </w:r>
          </w:p>
        </w:tc>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Party A: Jiangsu Rival Brand</w:t>
            </w:r>
          </w:p>
        </w:tc>
        <w:tc>
          <w:tcPr>
            <w:tcW w:w="0" w:type="dxa"/>
            <w:vAlign w:val="bottom"/>
          </w:tcPr>
          <w:p>
            <w:pPr>
              <w:spacing w:after="0"/>
              <w:rPr>
                <w:sz w:val="1"/>
                <w:szCs w:val="1"/>
                <w:color w:val="auto"/>
              </w:rPr>
            </w:pPr>
          </w:p>
        </w:tc>
      </w:tr>
      <w:tr>
        <w:trPr>
          <w:trHeight w:val="145"/>
        </w:trPr>
        <w:tc>
          <w:tcPr>
            <w:tcW w:w="13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Capital Selection</w:t>
            </w:r>
          </w:p>
        </w:tc>
        <w:tc>
          <w:tcPr>
            <w:tcW w:w="240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Management Co., Ltd.</w:t>
            </w:r>
          </w:p>
        </w:tc>
        <w:tc>
          <w:tcPr>
            <w:tcW w:w="0" w:type="dxa"/>
            <w:vAlign w:val="bottom"/>
          </w:tcPr>
          <w:p>
            <w:pPr>
              <w:spacing w:after="0"/>
              <w:rPr>
                <w:sz w:val="1"/>
                <w:szCs w:val="1"/>
                <w:color w:val="auto"/>
              </w:rPr>
            </w:pPr>
          </w:p>
        </w:tc>
      </w:tr>
      <w:tr>
        <w:trPr>
          <w:trHeight w:val="145"/>
        </w:trPr>
        <w:tc>
          <w:tcPr>
            <w:tcW w:w="13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Network Technology</w:t>
            </w:r>
          </w:p>
        </w:tc>
        <w:tc>
          <w:tcPr>
            <w:tcW w:w="24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Party B: Yao Feng and Guanglei Gao</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Co., Ltd.</w:t>
            </w: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00" w:type="dxa"/>
            <w:vAlign w:val="bottom"/>
          </w:tcPr>
          <w:p>
            <w:pPr>
              <w:spacing w:after="0"/>
              <w:rPr>
                <w:sz w:val="17"/>
                <w:szCs w:val="17"/>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Party C: Beijing Epochal Capital</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Selection Network Technology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2780" w:val="left"/>
        </w:tabs>
        <w:rPr>
          <w:sz w:val="20"/>
          <w:szCs w:val="20"/>
          <w:color w:val="auto"/>
        </w:rPr>
      </w:pPr>
      <w:r>
        <w:rPr>
          <w:rFonts w:ascii="Times New Roman" w:cs="Times New Roman" w:eastAsia="Times New Roman" w:hAnsi="Times New Roman"/>
          <w:sz w:val="14"/>
          <w:szCs w:val="14"/>
          <w:color w:val="auto"/>
        </w:rPr>
        <w:t>The registered capital of Beijing Epochal</w:t>
      </w:r>
      <w:r>
        <w:rPr>
          <w:sz w:val="20"/>
          <w:szCs w:val="20"/>
          <w:color w:val="auto"/>
        </w:rPr>
        <w:tab/>
      </w:r>
      <w:r>
        <w:rPr>
          <w:rFonts w:ascii="Times New Roman" w:cs="Times New Roman" w:eastAsia="Times New Roman" w:hAnsi="Times New Roman"/>
          <w:sz w:val="14"/>
          <w:szCs w:val="14"/>
          <w:color w:val="auto"/>
        </w:rPr>
        <w:t>June 12, 2024</w:t>
      </w:r>
    </w:p>
    <w:p>
      <w:pPr>
        <w:ind w:right="1340"/>
        <w:spacing w:after="0" w:line="233" w:lineRule="auto"/>
        <w:rPr>
          <w:sz w:val="20"/>
          <w:szCs w:val="20"/>
          <w:color w:val="auto"/>
        </w:rPr>
      </w:pPr>
      <w:r>
        <w:rPr>
          <w:rFonts w:ascii="Times New Roman" w:cs="Times New Roman" w:eastAsia="Times New Roman" w:hAnsi="Times New Roman"/>
          <w:sz w:val="14"/>
          <w:szCs w:val="14"/>
          <w:color w:val="auto"/>
        </w:rPr>
        <w:t>Capital Selection Network Technology Co., Ltd. is RMB2,000,000.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capital contribution amount and</w:t>
      </w:r>
    </w:p>
    <w:p>
      <w:pPr>
        <w:spacing w:after="0"/>
        <w:rPr>
          <w:sz w:val="20"/>
          <w:szCs w:val="20"/>
          <w:color w:val="auto"/>
        </w:rPr>
      </w:pPr>
      <w:r>
        <w:rPr>
          <w:rFonts w:ascii="Times New Roman" w:cs="Times New Roman" w:eastAsia="Times New Roman" w:hAnsi="Times New Roman"/>
          <w:sz w:val="14"/>
          <w:szCs w:val="14"/>
          <w:color w:val="auto"/>
        </w:rPr>
        <w:t>shareholding percentage are as follows: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Yao Feng: RMB1,000,000 (50%)</w:t>
      </w:r>
    </w:p>
    <w:p>
      <w:pPr>
        <w:spacing w:after="0"/>
        <w:rPr>
          <w:sz w:val="20"/>
          <w:szCs w:val="20"/>
          <w:color w:val="auto"/>
        </w:rPr>
      </w:pPr>
      <w:r>
        <w:rPr>
          <w:rFonts w:ascii="Times New Roman" w:cs="Times New Roman" w:eastAsia="Times New Roman" w:hAnsi="Times New Roman"/>
          <w:sz w:val="14"/>
          <w:szCs w:val="14"/>
          <w:color w:val="auto"/>
        </w:rPr>
        <w:t>Guanglei Gao: RMB1,000,000 (50%)</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June 12, 2024</w:t>
      </w:r>
      <w:r>
        <w:rPr>
          <w:sz w:val="20"/>
          <w:szCs w:val="20"/>
          <w:color w:val="auto"/>
        </w:rPr>
        <w:tab/>
      </w:r>
      <w:r>
        <w:rPr>
          <w:rFonts w:ascii="Times New Roman" w:cs="Times New Roman" w:eastAsia="Times New Roman" w:hAnsi="Times New Roman"/>
          <w:sz w:val="13"/>
          <w:szCs w:val="13"/>
          <w:color w:val="auto"/>
        </w:rPr>
        <w:t>June 12, 2024</w:t>
      </w:r>
    </w:p>
    <w:p>
      <w:pPr>
        <w:spacing w:after="0" w:line="1198" w:lineRule="exact"/>
        <w:rPr>
          <w:sz w:val="20"/>
          <w:szCs w:val="20"/>
          <w:color w:val="auto"/>
        </w:rPr>
      </w:pPr>
    </w:p>
    <w:p>
      <w:pPr>
        <w:sectPr>
          <w:pgSz w:w="11900" w:h="16838" w:orient="portrait"/>
          <w:cols w:equalWidth="0" w:num="3">
            <w:col w:w="3700" w:space="200"/>
            <w:col w:w="3800" w:space="720"/>
            <w:col w:w="2280"/>
          </w:cols>
          <w:pgMar w:left="560" w:top="246" w:right="6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Beijing M&amp;W</w:t>
            </w:r>
          </w:p>
        </w:tc>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Party A: Beijing FarHorizon Excellence</w:t>
            </w:r>
          </w:p>
        </w:tc>
        <w:tc>
          <w:tcPr>
            <w:tcW w:w="0" w:type="dxa"/>
            <w:vAlign w:val="bottom"/>
          </w:tcPr>
          <w:p>
            <w:pPr>
              <w:spacing w:after="0"/>
              <w:rPr>
                <w:sz w:val="1"/>
                <w:szCs w:val="1"/>
                <w:color w:val="auto"/>
              </w:rPr>
            </w:pPr>
          </w:p>
        </w:tc>
      </w:tr>
      <w:tr>
        <w:trPr>
          <w:trHeight w:val="145"/>
        </w:trPr>
        <w:tc>
          <w:tcPr>
            <w:tcW w:w="13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Intelligent Mobility</w:t>
            </w:r>
          </w:p>
        </w:tc>
        <w:tc>
          <w:tcPr>
            <w:tcW w:w="2480" w:type="dxa"/>
            <w:vAlign w:val="bottom"/>
          </w:tcPr>
          <w:p>
            <w:pPr>
              <w:ind w:left="100"/>
              <w:spacing w:after="0" w:line="145" w:lineRule="exact"/>
              <w:rPr>
                <w:sz w:val="20"/>
                <w:szCs w:val="20"/>
                <w:color w:val="auto"/>
              </w:rPr>
            </w:pPr>
            <w:r>
              <w:rPr>
                <w:rFonts w:ascii="Times New Roman" w:cs="Times New Roman" w:eastAsia="Times New Roman" w:hAnsi="Times New Roman"/>
                <w:sz w:val="14"/>
                <w:szCs w:val="14"/>
                <w:color w:val="auto"/>
              </w:rPr>
              <w:t>Living Co., Ltd.</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24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Party B: Junchao Shao and Shengxue Jiao</w:t>
            </w: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300" w:type="dxa"/>
            <w:vAlign w:val="bottom"/>
          </w:tcPr>
          <w:p>
            <w:pPr>
              <w:spacing w:after="0"/>
              <w:rPr>
                <w:sz w:val="19"/>
                <w:szCs w:val="19"/>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Party C: Beijing M&amp;W Intelligent</w:t>
            </w:r>
          </w:p>
        </w:tc>
        <w:tc>
          <w:tcPr>
            <w:tcW w:w="0" w:type="dxa"/>
            <w:vAlign w:val="bottom"/>
          </w:tcPr>
          <w:p>
            <w:pPr>
              <w:spacing w:after="0"/>
              <w:rPr>
                <w:sz w:val="1"/>
                <w:szCs w:val="1"/>
                <w:color w:val="auto"/>
              </w:rPr>
            </w:pPr>
          </w:p>
        </w:tc>
      </w:tr>
      <w:tr>
        <w:trPr>
          <w:trHeight w:val="184"/>
        </w:trPr>
        <w:tc>
          <w:tcPr>
            <w:tcW w:w="130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Mobility Technology Co., Ltd.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2780" w:val="left"/>
        </w:tabs>
        <w:rPr>
          <w:sz w:val="20"/>
          <w:szCs w:val="20"/>
          <w:color w:val="auto"/>
        </w:rPr>
      </w:pPr>
      <w:r>
        <w:rPr>
          <w:rFonts w:ascii="Times New Roman" w:cs="Times New Roman" w:eastAsia="Times New Roman" w:hAnsi="Times New Roman"/>
          <w:sz w:val="14"/>
          <w:szCs w:val="14"/>
          <w:color w:val="auto"/>
        </w:rPr>
        <w:t>The registered capital of Beijing M&amp;W</w:t>
      </w:r>
      <w:r>
        <w:rPr>
          <w:sz w:val="20"/>
          <w:szCs w:val="20"/>
          <w:color w:val="auto"/>
        </w:rPr>
        <w:tab/>
      </w:r>
      <w:r>
        <w:rPr>
          <w:rFonts w:ascii="Times New Roman" w:cs="Times New Roman" w:eastAsia="Times New Roman" w:hAnsi="Times New Roman"/>
          <w:sz w:val="14"/>
          <w:szCs w:val="14"/>
          <w:color w:val="auto"/>
        </w:rPr>
        <w:t>July 9, 2025</w:t>
      </w:r>
    </w:p>
    <w:p>
      <w:pPr>
        <w:ind w:right="1320"/>
        <w:spacing w:after="0" w:line="233" w:lineRule="auto"/>
        <w:rPr>
          <w:sz w:val="20"/>
          <w:szCs w:val="20"/>
          <w:color w:val="auto"/>
        </w:rPr>
      </w:pPr>
      <w:r>
        <w:rPr>
          <w:rFonts w:ascii="Times New Roman" w:cs="Times New Roman" w:eastAsia="Times New Roman" w:hAnsi="Times New Roman"/>
          <w:sz w:val="14"/>
          <w:szCs w:val="14"/>
          <w:color w:val="auto"/>
        </w:rPr>
        <w:t>Intelligent Mobility Technology Co., Ltd. is RMB100,000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capital contribution amounts and</w:t>
      </w:r>
    </w:p>
    <w:p>
      <w:pPr>
        <w:spacing w:after="0"/>
        <w:rPr>
          <w:sz w:val="20"/>
          <w:szCs w:val="20"/>
          <w:color w:val="auto"/>
        </w:rPr>
      </w:pPr>
      <w:r>
        <w:rPr>
          <w:rFonts w:ascii="Times New Roman" w:cs="Times New Roman" w:eastAsia="Times New Roman" w:hAnsi="Times New Roman"/>
          <w:sz w:val="14"/>
          <w:szCs w:val="14"/>
          <w:color w:val="auto"/>
        </w:rPr>
        <w:t>shareholding percentage are as follows: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Junchao Shao: RMB50,000 (50%)</w:t>
      </w:r>
    </w:p>
    <w:p>
      <w:pPr>
        <w:spacing w:after="0"/>
        <w:rPr>
          <w:sz w:val="20"/>
          <w:szCs w:val="20"/>
          <w:color w:val="auto"/>
        </w:rPr>
      </w:pPr>
      <w:r>
        <w:rPr>
          <w:rFonts w:ascii="Times New Roman" w:cs="Times New Roman" w:eastAsia="Times New Roman" w:hAnsi="Times New Roman"/>
          <w:sz w:val="14"/>
          <w:szCs w:val="14"/>
          <w:color w:val="auto"/>
        </w:rPr>
        <w:t>Shengxue Jiao: RMB50,000 (50%)</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July 9, 2025</w:t>
      </w:r>
      <w:r>
        <w:rPr>
          <w:sz w:val="20"/>
          <w:szCs w:val="20"/>
          <w:color w:val="auto"/>
        </w:rPr>
        <w:tab/>
      </w:r>
      <w:r>
        <w:rPr>
          <w:rFonts w:ascii="Times New Roman" w:cs="Times New Roman" w:eastAsia="Times New Roman" w:hAnsi="Times New Roman"/>
          <w:sz w:val="13"/>
          <w:szCs w:val="13"/>
          <w:color w:val="auto"/>
        </w:rPr>
        <w:t>July 9, 2025</w:t>
      </w:r>
    </w:p>
    <w:p>
      <w:pPr>
        <w:spacing w:after="0" w:line="1326" w:lineRule="exact"/>
        <w:rPr>
          <w:sz w:val="20"/>
          <w:szCs w:val="20"/>
          <w:color w:val="auto"/>
        </w:rPr>
      </w:pPr>
    </w:p>
    <w:p>
      <w:pPr>
        <w:sectPr>
          <w:pgSz w:w="11900" w:h="16838" w:orient="portrait"/>
          <w:cols w:equalWidth="0" w:num="3">
            <w:col w:w="3780" w:space="120"/>
            <w:col w:w="3800" w:space="720"/>
            <w:col w:w="2280"/>
          </w:cols>
          <w:pgMar w:left="560" w:top="246" w:right="639" w:bottom="1440" w:gutter="0" w:footer="0" w:header="0"/>
          <w:type w:val="continuous"/>
        </w:sectPr>
      </w:pP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00"/>
          </w:cols>
          <w:pgMar w:left="560" w:top="246" w:right="639" w:bottom="1440" w:gutter="0" w:footer="0" w:header="0"/>
          <w:type w:val="continuous"/>
        </w:sectPr>
      </w:pPr>
    </w:p>
    <w:bookmarkStart w:id="471" w:name="page472"/>
    <w:bookmarkEnd w:id="471"/>
    <w:p>
      <w:pPr>
        <w:jc w:val="right"/>
        <w:spacing w:after="0"/>
        <w:rPr>
          <w:sz w:val="20"/>
          <w:szCs w:val="20"/>
          <w:color w:val="auto"/>
        </w:rPr>
      </w:pPr>
      <w:r>
        <w:rPr>
          <w:rFonts w:ascii="Times New Roman" w:cs="Times New Roman" w:eastAsia="Times New Roman" w:hAnsi="Times New Roman"/>
          <w:sz w:val="18"/>
          <w:szCs w:val="18"/>
          <w:b w:val="1"/>
          <w:bCs w:val="1"/>
          <w:color w:val="auto"/>
        </w:rPr>
        <w:t>Exhibit 4.23</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8" w:lineRule="exact"/>
        <w:rPr>
          <w:sz w:val="20"/>
          <w:szCs w:val="20"/>
          <w:color w:val="auto"/>
        </w:rPr>
      </w:pPr>
    </w:p>
    <w:p>
      <w:pPr>
        <w:ind w:left="10" w:right="420"/>
        <w:spacing w:after="0" w:line="280" w:lineRule="auto"/>
        <w:rPr>
          <w:sz w:val="20"/>
          <w:szCs w:val="20"/>
          <w:color w:val="auto"/>
        </w:rPr>
      </w:pPr>
      <w:r>
        <w:rPr>
          <w:rFonts w:ascii="Times New Roman" w:cs="Times New Roman" w:eastAsia="Times New Roman" w:hAnsi="Times New Roman"/>
          <w:sz w:val="17"/>
          <w:szCs w:val="17"/>
          <w:color w:val="auto"/>
        </w:rPr>
        <w:t>The undersigned, Qin Miao a citizen of the People’s Republic of China (the “PRC”) and a holder of 45% of the equity interests of Beijing Jiasheng Investment Management Co., Ltd. (the “Beijing Company”) (the “Shareholding”), hereby irrevocably authorizes any natural person appointed by Beijing Jingdong Century Trading Co., Ltd. (the “WFOE”) to exercise the following rights during the term of this Power of Attorney:</w:t>
      </w:r>
    </w:p>
    <w:p>
      <w:pPr>
        <w:spacing w:after="0" w:line="162" w:lineRule="exact"/>
        <w:rPr>
          <w:sz w:val="20"/>
          <w:szCs w:val="20"/>
          <w:color w:val="auto"/>
        </w:rPr>
      </w:pPr>
    </w:p>
    <w:p>
      <w:pPr>
        <w:ind w:left="10" w:right="20"/>
        <w:spacing w:after="0" w:line="265" w:lineRule="auto"/>
        <w:rPr>
          <w:sz w:val="20"/>
          <w:szCs w:val="20"/>
          <w:color w:val="auto"/>
        </w:rPr>
      </w:pPr>
      <w:r>
        <w:rPr>
          <w:rFonts w:ascii="Times New Roman" w:cs="Times New Roman" w:eastAsia="Times New Roman" w:hAnsi="Times New Roman"/>
          <w:sz w:val="17"/>
          <w:szCs w:val="17"/>
          <w:color w:val="auto"/>
        </w:rPr>
        <w:t>Any natural person appointed by the WFOE is hereby authorized to exercise on behalf of the undersigned as his sole and exclusive agent the rights in respect of the Shareholding including without limitation: (1) attend shareholders’ meeting of the Beijing Company and sign resolutions thereof on behalf of the undersigned; (2) exercise all rights of the undersigned as a shareholder of the Beijing Company according to laws and the articles of association of the Beijing Company, including without limitation the rights to vote and to sell, transfer, pledge or dispose all or any part of the Shareholding; and</w:t>
      </w:r>
    </w:p>
    <w:p>
      <w:pPr>
        <w:ind w:left="10" w:right="240" w:hanging="10"/>
        <w:spacing w:after="0" w:line="250" w:lineRule="auto"/>
        <w:tabs>
          <w:tab w:leader="none" w:pos="25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and appoint on behalf of the undersigned the legal representative, chairperson, director, supervisor, chief executive officer and any other senior management of the Beijing Company.</w:t>
      </w:r>
    </w:p>
    <w:p>
      <w:pPr>
        <w:spacing w:after="0" w:line="186" w:lineRule="exact"/>
        <w:rPr>
          <w:sz w:val="20"/>
          <w:szCs w:val="20"/>
          <w:color w:val="auto"/>
        </w:rPr>
      </w:pPr>
    </w:p>
    <w:p>
      <w:pPr>
        <w:ind w:left="10" w:right="140"/>
        <w:spacing w:after="0" w:line="253" w:lineRule="auto"/>
        <w:rPr>
          <w:sz w:val="20"/>
          <w:szCs w:val="20"/>
          <w:color w:val="auto"/>
        </w:rPr>
      </w:pPr>
      <w:r>
        <w:rPr>
          <w:rFonts w:ascii="Times New Roman" w:cs="Times New Roman" w:eastAsia="Times New Roman" w:hAnsi="Times New Roman"/>
          <w:sz w:val="18"/>
          <w:szCs w:val="18"/>
          <w:color w:val="auto"/>
        </w:rPr>
        <w:t>Subject to the powers and authorities provided under this Power of Attorney, any natural person appointed by the WFOE will have the right to sign on behalf of the undersigned any transfer agreement contemplated under the Exclusive Purchase Option Agreement to which the undersigned will be a party, and to perform the Equity Pledge Agreement and the Exclusive Purchase Option Agreement, each of which is dated the date hereof and to which the undersigned is a party. Exercise of such right will not have any restriction upon this Power of Attorney.</w:t>
      </w:r>
    </w:p>
    <w:p>
      <w:pPr>
        <w:spacing w:after="0" w:line="185" w:lineRule="exact"/>
        <w:rPr>
          <w:sz w:val="20"/>
          <w:szCs w:val="20"/>
          <w:color w:val="auto"/>
        </w:rPr>
      </w:pPr>
    </w:p>
    <w:p>
      <w:pPr>
        <w:jc w:val="both"/>
        <w:ind w:left="10" w:right="20"/>
        <w:spacing w:after="0" w:line="300" w:lineRule="auto"/>
        <w:rPr>
          <w:sz w:val="20"/>
          <w:szCs w:val="20"/>
          <w:color w:val="auto"/>
        </w:rPr>
      </w:pPr>
      <w:r>
        <w:rPr>
          <w:rFonts w:ascii="Times New Roman" w:cs="Times New Roman" w:eastAsia="Times New Roman" w:hAnsi="Times New Roman"/>
          <w:sz w:val="17"/>
          <w:szCs w:val="17"/>
          <w:color w:val="auto"/>
        </w:rPr>
        <w:t>Unless otherwise provided under this Power of Attorney, any natural person appointed by the WFOE has the right to transfer, apply or otherwise dispose any cash dividend, bonus and any other non-cash gain arising from the Shareholding on reliance of any oral or written instruction from the undersigned.</w:t>
      </w:r>
    </w:p>
    <w:p>
      <w:pPr>
        <w:spacing w:after="0" w:line="146" w:lineRule="exact"/>
        <w:rPr>
          <w:sz w:val="20"/>
          <w:szCs w:val="20"/>
          <w:color w:val="auto"/>
        </w:rPr>
      </w:pPr>
    </w:p>
    <w:p>
      <w:pPr>
        <w:ind w:left="10" w:right="480"/>
        <w:spacing w:after="0" w:line="270" w:lineRule="auto"/>
        <w:rPr>
          <w:sz w:val="20"/>
          <w:szCs w:val="20"/>
          <w:color w:val="auto"/>
        </w:rPr>
      </w:pPr>
      <w:r>
        <w:rPr>
          <w:rFonts w:ascii="Times New Roman" w:cs="Times New Roman" w:eastAsia="Times New Roman" w:hAnsi="Times New Roman"/>
          <w:sz w:val="18"/>
          <w:szCs w:val="18"/>
          <w:color w:val="auto"/>
        </w:rPr>
        <w:t>Unless otherwise provided under this Power of Attorney, any natural person appointed by the WFOE has the right to take any action regarding the Shareholding according to his/her own judgment without any oral or written instruction from the undersigned.</w:t>
      </w:r>
    </w:p>
    <w:p>
      <w:pPr>
        <w:spacing w:after="0" w:line="169" w:lineRule="exact"/>
        <w:rPr>
          <w:sz w:val="20"/>
          <w:szCs w:val="20"/>
          <w:color w:val="auto"/>
        </w:rPr>
      </w:pPr>
    </w:p>
    <w:p>
      <w:pPr>
        <w:ind w:left="10" w:right="380"/>
        <w:spacing w:after="0" w:line="258" w:lineRule="auto"/>
        <w:rPr>
          <w:sz w:val="20"/>
          <w:szCs w:val="20"/>
          <w:color w:val="auto"/>
        </w:rPr>
      </w:pPr>
      <w:r>
        <w:rPr>
          <w:rFonts w:ascii="Times New Roman" w:cs="Times New Roman" w:eastAsia="Times New Roman" w:hAnsi="Times New Roman"/>
          <w:sz w:val="18"/>
          <w:szCs w:val="18"/>
          <w:color w:val="auto"/>
        </w:rPr>
        <w:t>Any and all the actions associated with the Shareholding made by any natural person appointed by the WFOE will be deemed as the action of the undersigned, and any and all documents relating to the Shareholding executed by any natural person appointed by the WFOE shall be deemed to be executed and acknowledged by the undersigned.</w:t>
      </w:r>
    </w:p>
    <w:p>
      <w:pPr>
        <w:spacing w:after="0" w:line="179" w:lineRule="exact"/>
        <w:rPr>
          <w:sz w:val="20"/>
          <w:szCs w:val="20"/>
          <w:color w:val="auto"/>
        </w:rPr>
      </w:pPr>
    </w:p>
    <w:p>
      <w:pPr>
        <w:ind w:left="10" w:right="180"/>
        <w:spacing w:after="0" w:line="300" w:lineRule="auto"/>
        <w:rPr>
          <w:sz w:val="20"/>
          <w:szCs w:val="20"/>
          <w:color w:val="auto"/>
        </w:rPr>
      </w:pPr>
      <w:r>
        <w:rPr>
          <w:rFonts w:ascii="Times New Roman" w:cs="Times New Roman" w:eastAsia="Times New Roman" w:hAnsi="Times New Roman"/>
          <w:sz w:val="17"/>
          <w:szCs w:val="17"/>
          <w:color w:val="auto"/>
        </w:rPr>
        <w:t>Any natural person appointed by the WFOE may delegate this power of attorney by assigning his/her rights relating to the conduct of the aforesaid matter and exercise of the Shareholding to any other person or entity at his/her own discretion without prior notice to or consent from the undersigned.</w:t>
      </w:r>
    </w:p>
    <w:p>
      <w:pPr>
        <w:spacing w:after="0" w:line="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118" w:right="559" w:bottom="1440" w:gutter="0" w:footer="0" w:header="0"/>
        </w:sectPr>
      </w:pPr>
    </w:p>
    <w:bookmarkStart w:id="472" w:name="page473"/>
    <w:bookmarkEnd w:id="472"/>
    <w:p>
      <w:pPr>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This Power of Attorney is irrevocable and effective as of the date hereof as long as the undersigned is a shareholder of the Beijing Company. This Power of Attorney supersedes any other power of attorney previously signed by the undersigned.</w:t>
      </w:r>
    </w:p>
    <w:p>
      <w:pPr>
        <w:spacing w:after="0" w:line="16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During the term of this Power of Attorney, the undersigned hereby waives all of the rights associated with the Shareholding which have been authorized to any natural person appointed by the WFOE and will not exercise any such right by himself.</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1">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0"/>
          </w:cols>
          <w:pgMar w:left="560" w:top="266" w:right="579" w:bottom="1440" w:gutter="0" w:footer="0" w:header="0"/>
        </w:sectPr>
      </w:pPr>
    </w:p>
    <w:bookmarkStart w:id="473" w:name="page474"/>
    <w:bookmarkEnd w:id="473"/>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Power of Attorney</w:t>
      </w:r>
    </w:p>
    <w:p>
      <w:pPr>
        <w:spacing w:after="0" w:line="218" w:lineRule="exact"/>
        <w:rPr>
          <w:sz w:val="20"/>
          <w:szCs w:val="20"/>
          <w:color w:val="auto"/>
        </w:rPr>
      </w:pPr>
    </w:p>
    <w:p>
      <w:pPr>
        <w:ind w:left="10" w:right="380"/>
        <w:spacing w:after="0" w:line="280" w:lineRule="auto"/>
        <w:rPr>
          <w:sz w:val="20"/>
          <w:szCs w:val="20"/>
          <w:color w:val="auto"/>
        </w:rPr>
      </w:pPr>
      <w:r>
        <w:rPr>
          <w:rFonts w:ascii="Times New Roman" w:cs="Times New Roman" w:eastAsia="Times New Roman" w:hAnsi="Times New Roman"/>
          <w:sz w:val="17"/>
          <w:szCs w:val="17"/>
          <w:color w:val="auto"/>
        </w:rPr>
        <w:t>The undersigned, Yayun Li, a citizen of the People’s Republic of China (the “PRC”) and a holder of 30% of the equity interests of Beijing Jiasheng Investment Management Co., Ltd. (the “Beijing Company”) (the “Shareholding”), hereby irrevocably authorizes any natural person appointed by Beijing Jingdong Century Trading Co., Ltd. (the “WFOE”) to exercise the following rights during the term of this Power of Attorney:</w:t>
      </w:r>
    </w:p>
    <w:p>
      <w:pPr>
        <w:spacing w:after="0" w:line="162" w:lineRule="exact"/>
        <w:rPr>
          <w:sz w:val="20"/>
          <w:szCs w:val="20"/>
          <w:color w:val="auto"/>
        </w:rPr>
      </w:pPr>
    </w:p>
    <w:p>
      <w:pPr>
        <w:ind w:left="10"/>
        <w:spacing w:after="0" w:line="265" w:lineRule="auto"/>
        <w:rPr>
          <w:sz w:val="20"/>
          <w:szCs w:val="20"/>
          <w:color w:val="auto"/>
        </w:rPr>
      </w:pPr>
      <w:r>
        <w:rPr>
          <w:rFonts w:ascii="Times New Roman" w:cs="Times New Roman" w:eastAsia="Times New Roman" w:hAnsi="Times New Roman"/>
          <w:sz w:val="17"/>
          <w:szCs w:val="17"/>
          <w:color w:val="auto"/>
        </w:rPr>
        <w:t>Any natural person appointed by the WFOE is hereby authorized to exercise on behalf of the undersigned as his sole and exclusive agent the rights in respect of the Shareholding including without limitation: (1) attend shareholders’ meeting of the Beijing Company and sign resolutions thereof on behalf of the undersigned; (2) exercise all rights of the undersigned as a shareholder of the Beijing Company according to laws and the articles of association of the Beijing Company, including without limitation the rights to vote and to sell, transfer, pledge or dispose all or any part of the Shareholding; and</w:t>
      </w:r>
    </w:p>
    <w:p>
      <w:pPr>
        <w:ind w:left="10" w:right="220" w:hanging="10"/>
        <w:spacing w:after="0" w:line="250" w:lineRule="auto"/>
        <w:tabs>
          <w:tab w:leader="none" w:pos="259"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and appoint on behalf of the undersigned the legal representative, chairperson, director, supervisor, chief executive officer and any other senior management of the Beijing Company.</w:t>
      </w:r>
    </w:p>
    <w:p>
      <w:pPr>
        <w:spacing w:after="0" w:line="186" w:lineRule="exact"/>
        <w:rPr>
          <w:sz w:val="20"/>
          <w:szCs w:val="20"/>
          <w:color w:val="auto"/>
        </w:rPr>
      </w:pPr>
    </w:p>
    <w:p>
      <w:pPr>
        <w:ind w:left="10" w:right="120"/>
        <w:spacing w:after="0" w:line="253" w:lineRule="auto"/>
        <w:rPr>
          <w:sz w:val="20"/>
          <w:szCs w:val="20"/>
          <w:color w:val="auto"/>
        </w:rPr>
      </w:pPr>
      <w:r>
        <w:rPr>
          <w:rFonts w:ascii="Times New Roman" w:cs="Times New Roman" w:eastAsia="Times New Roman" w:hAnsi="Times New Roman"/>
          <w:sz w:val="18"/>
          <w:szCs w:val="18"/>
          <w:color w:val="auto"/>
        </w:rPr>
        <w:t>Subject to the powers and authorities provided under this Power of Attorney, any natural person appointed by the WFOE will have the right to sign on behalf of the undersigned any transfer agreement contemplated under the Exclusive Purchase Option Agreement to which the undersigned will be a party, and to perform the Equity Pledge Agreement and the Exclusive Purchase Option Agreement, each of which is dated the date hereof and to which the undersigned is a party. Exercise of such right will not have any restriction upon this Power of Attorney.</w:t>
      </w:r>
    </w:p>
    <w:p>
      <w:pPr>
        <w:spacing w:after="0" w:line="185" w:lineRule="exact"/>
        <w:rPr>
          <w:sz w:val="20"/>
          <w:szCs w:val="20"/>
          <w:color w:val="auto"/>
        </w:rPr>
      </w:pPr>
    </w:p>
    <w:p>
      <w:pPr>
        <w:jc w:val="both"/>
        <w:ind w:left="10"/>
        <w:spacing w:after="0" w:line="300" w:lineRule="auto"/>
        <w:rPr>
          <w:sz w:val="20"/>
          <w:szCs w:val="20"/>
          <w:color w:val="auto"/>
        </w:rPr>
      </w:pPr>
      <w:r>
        <w:rPr>
          <w:rFonts w:ascii="Times New Roman" w:cs="Times New Roman" w:eastAsia="Times New Roman" w:hAnsi="Times New Roman"/>
          <w:sz w:val="17"/>
          <w:szCs w:val="17"/>
          <w:color w:val="auto"/>
        </w:rPr>
        <w:t>Unless otherwise provided under this Power of Attorney, any natural person appointed by the WFOE has the right to transfer, apply or otherwise dispose any cash dividend, bonus and any other non-cash gain arising from the Shareholding on reliance of any oral or written instruction from the undersigned.</w:t>
      </w:r>
    </w:p>
    <w:p>
      <w:pPr>
        <w:spacing w:after="0" w:line="146" w:lineRule="exact"/>
        <w:rPr>
          <w:sz w:val="20"/>
          <w:szCs w:val="20"/>
          <w:color w:val="auto"/>
        </w:rPr>
      </w:pPr>
    </w:p>
    <w:p>
      <w:pPr>
        <w:ind w:left="10" w:right="460"/>
        <w:spacing w:after="0" w:line="270" w:lineRule="auto"/>
        <w:rPr>
          <w:sz w:val="20"/>
          <w:szCs w:val="20"/>
          <w:color w:val="auto"/>
        </w:rPr>
      </w:pPr>
      <w:r>
        <w:rPr>
          <w:rFonts w:ascii="Times New Roman" w:cs="Times New Roman" w:eastAsia="Times New Roman" w:hAnsi="Times New Roman"/>
          <w:sz w:val="18"/>
          <w:szCs w:val="18"/>
          <w:color w:val="auto"/>
        </w:rPr>
        <w:t>Unless otherwise provided under this Power of Attorney, any natural person appointed by the WFOE has the right to take any action regarding the Shareholding according to his/her own judgment without any oral or written instruction from the undersigned.</w:t>
      </w:r>
    </w:p>
    <w:p>
      <w:pPr>
        <w:spacing w:after="0" w:line="169" w:lineRule="exact"/>
        <w:rPr>
          <w:sz w:val="20"/>
          <w:szCs w:val="20"/>
          <w:color w:val="auto"/>
        </w:rPr>
      </w:pPr>
    </w:p>
    <w:p>
      <w:pPr>
        <w:ind w:left="10" w:right="360"/>
        <w:spacing w:after="0" w:line="258" w:lineRule="auto"/>
        <w:rPr>
          <w:sz w:val="20"/>
          <w:szCs w:val="20"/>
          <w:color w:val="auto"/>
        </w:rPr>
      </w:pPr>
      <w:r>
        <w:rPr>
          <w:rFonts w:ascii="Times New Roman" w:cs="Times New Roman" w:eastAsia="Times New Roman" w:hAnsi="Times New Roman"/>
          <w:sz w:val="18"/>
          <w:szCs w:val="18"/>
          <w:color w:val="auto"/>
        </w:rPr>
        <w:t>Any and all the actions associated with the Shareholding made by any natural person appointed by the WFOE will be deemed as the action of the undersigned, and any and all documents relating to the Shareholding executed by any natural person appointed by the WFOE shall be deemed to be executed and acknowledged by the undersigned.</w:t>
      </w:r>
    </w:p>
    <w:p>
      <w:pPr>
        <w:spacing w:after="0" w:line="179" w:lineRule="exact"/>
        <w:rPr>
          <w:sz w:val="20"/>
          <w:szCs w:val="20"/>
          <w:color w:val="auto"/>
        </w:rPr>
      </w:pPr>
    </w:p>
    <w:p>
      <w:pPr>
        <w:ind w:left="10" w:right="160"/>
        <w:spacing w:after="0" w:line="300" w:lineRule="auto"/>
        <w:rPr>
          <w:sz w:val="20"/>
          <w:szCs w:val="20"/>
          <w:color w:val="auto"/>
        </w:rPr>
      </w:pPr>
      <w:r>
        <w:rPr>
          <w:rFonts w:ascii="Times New Roman" w:cs="Times New Roman" w:eastAsia="Times New Roman" w:hAnsi="Times New Roman"/>
          <w:sz w:val="17"/>
          <w:szCs w:val="17"/>
          <w:color w:val="auto"/>
        </w:rPr>
        <w:t>Any natural person appointed by the WFOE may delegate this power of attorney by assigning his/her rights relating to the conduct of the aforesaid matter and exercise of the Shareholding to any other person or entity at his/her own discretion without prior notice to or consent from the undersigned.</w:t>
      </w:r>
    </w:p>
    <w:p>
      <w:pPr>
        <w:spacing w:after="0" w:line="146" w:lineRule="exact"/>
        <w:rPr>
          <w:sz w:val="20"/>
          <w:szCs w:val="20"/>
          <w:color w:val="auto"/>
        </w:rPr>
      </w:pPr>
    </w:p>
    <w:p>
      <w:pPr>
        <w:ind w:left="10"/>
        <w:spacing w:after="0" w:line="270" w:lineRule="auto"/>
        <w:rPr>
          <w:sz w:val="20"/>
          <w:szCs w:val="20"/>
          <w:color w:val="auto"/>
        </w:rPr>
      </w:pPr>
      <w:r>
        <w:rPr>
          <w:rFonts w:ascii="Times New Roman" w:cs="Times New Roman" w:eastAsia="Times New Roman" w:hAnsi="Times New Roman"/>
          <w:sz w:val="18"/>
          <w:szCs w:val="18"/>
          <w:color w:val="auto"/>
        </w:rPr>
        <w:t>This Power of Attorney is irrevocable and effective as of the date hereof as long as the undersigned is a shareholder of the Beijing Company. This Power of Attorney supersedes any other power of attorney previously signed by the undersigned.</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70"/>
          </w:cols>
          <w:pgMar w:left="550" w:top="264" w:right="579" w:bottom="1440" w:gutter="0" w:footer="0" w:header="0"/>
        </w:sectPr>
      </w:pPr>
    </w:p>
    <w:bookmarkStart w:id="474" w:name="page475"/>
    <w:bookmarkEnd w:id="474"/>
    <w:p>
      <w:pPr>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During the term of this Power of Attorney, the undersigned hereby waives all of the rights associated with the Shareholding which have been authorized to any natural person appointed by the WFOE and will not exercise any such right by himself.</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4">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60" w:top="266" w:right="619" w:bottom="1440" w:gutter="0" w:footer="0" w:header="0"/>
        </w:sectPr>
      </w:pPr>
    </w:p>
    <w:bookmarkStart w:id="475" w:name="page476"/>
    <w:bookmarkEnd w:id="475"/>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Power of Attorney</w:t>
      </w:r>
    </w:p>
    <w:p>
      <w:pPr>
        <w:spacing w:after="0" w:line="218" w:lineRule="exact"/>
        <w:rPr>
          <w:sz w:val="20"/>
          <w:szCs w:val="20"/>
          <w:color w:val="auto"/>
        </w:rPr>
      </w:pPr>
    </w:p>
    <w:p>
      <w:pPr>
        <w:ind w:left="10" w:right="200"/>
        <w:spacing w:after="0" w:line="280" w:lineRule="auto"/>
        <w:rPr>
          <w:sz w:val="20"/>
          <w:szCs w:val="20"/>
          <w:color w:val="auto"/>
        </w:rPr>
      </w:pPr>
      <w:r>
        <w:rPr>
          <w:rFonts w:ascii="Times New Roman" w:cs="Times New Roman" w:eastAsia="Times New Roman" w:hAnsi="Times New Roman"/>
          <w:sz w:val="17"/>
          <w:szCs w:val="17"/>
          <w:color w:val="auto"/>
        </w:rPr>
        <w:t>The undersigned, Pang Zhang, a citizen of the People’s Republic of China (the “PRC”) and a holder of 25% of the equity interests of Beijing Jiasheng Investment Management Co., Ltd. (the “Beijing Company”) (the “Shareholding”), hereby irrevocably authorizes any natural person appointed by Beijing Jingdong Century Trading Co., Ltd. (the “WFOE”) to exercise the following rights during the term of this Power of Attorney:</w:t>
      </w:r>
    </w:p>
    <w:p>
      <w:pPr>
        <w:spacing w:after="0" w:line="162" w:lineRule="exact"/>
        <w:rPr>
          <w:sz w:val="20"/>
          <w:szCs w:val="20"/>
          <w:color w:val="auto"/>
        </w:rPr>
      </w:pPr>
    </w:p>
    <w:p>
      <w:pPr>
        <w:ind w:left="10"/>
        <w:spacing w:after="0" w:line="265" w:lineRule="auto"/>
        <w:rPr>
          <w:sz w:val="20"/>
          <w:szCs w:val="20"/>
          <w:color w:val="auto"/>
        </w:rPr>
      </w:pPr>
      <w:r>
        <w:rPr>
          <w:rFonts w:ascii="Times New Roman" w:cs="Times New Roman" w:eastAsia="Times New Roman" w:hAnsi="Times New Roman"/>
          <w:sz w:val="17"/>
          <w:szCs w:val="17"/>
          <w:color w:val="auto"/>
        </w:rPr>
        <w:t>Any natural person appointed by the WFOE is hereby authorized to exercise on behalf of the undersigned as his sole and exclusive agent the rights in respect of the Shareholding including without limitation: (1) attend shareholders’ meeting of the Beijing Company and sign resolutions thereof on behalf of the undersigned; (2) exercise all rights of the undersigned as a shareholder of the Beijing Company according to laws and the articles of association of the Beijing Company, including without limitation the rights to vote and to sell, transfer, pledge or dispose all or any part of the Shareholding; and</w:t>
      </w:r>
    </w:p>
    <w:p>
      <w:pPr>
        <w:ind w:left="10" w:right="220" w:hanging="10"/>
        <w:spacing w:after="0" w:line="250" w:lineRule="auto"/>
        <w:tabs>
          <w:tab w:leader="none" w:pos="25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and appoint on behalf of the undersigned the legal representative, chairperson, director, supervisor, chief executive officer and any other senior management of the Beijing Company.</w:t>
      </w:r>
    </w:p>
    <w:p>
      <w:pPr>
        <w:spacing w:after="0" w:line="186" w:lineRule="exact"/>
        <w:rPr>
          <w:sz w:val="20"/>
          <w:szCs w:val="20"/>
          <w:color w:val="auto"/>
        </w:rPr>
      </w:pPr>
    </w:p>
    <w:p>
      <w:pPr>
        <w:ind w:left="10" w:right="120"/>
        <w:spacing w:after="0" w:line="253" w:lineRule="auto"/>
        <w:rPr>
          <w:sz w:val="20"/>
          <w:szCs w:val="20"/>
          <w:color w:val="auto"/>
        </w:rPr>
      </w:pPr>
      <w:r>
        <w:rPr>
          <w:rFonts w:ascii="Times New Roman" w:cs="Times New Roman" w:eastAsia="Times New Roman" w:hAnsi="Times New Roman"/>
          <w:sz w:val="18"/>
          <w:szCs w:val="18"/>
          <w:color w:val="auto"/>
        </w:rPr>
        <w:t>Subject to the powers and authorities provided under this Power of Attorney, any natural person appointed by the WFOE will have the right to sign on behalf of the undersigned any transfer agreement contemplated under the Exclusive Purchase Option Agreement to which the undersigned will be a party, and to perform the Equity Pledge Agreement and the Exclusive Purchase Option Agreement, each of which is dated the date hereof and to which the undersigned is a party. Exercise of such right will not have any restriction upon this Power of Attorney.</w:t>
      </w:r>
    </w:p>
    <w:p>
      <w:pPr>
        <w:spacing w:after="0" w:line="185" w:lineRule="exact"/>
        <w:rPr>
          <w:sz w:val="20"/>
          <w:szCs w:val="20"/>
          <w:color w:val="auto"/>
        </w:rPr>
      </w:pPr>
    </w:p>
    <w:p>
      <w:pPr>
        <w:jc w:val="both"/>
        <w:ind w:left="10"/>
        <w:spacing w:after="0" w:line="300" w:lineRule="auto"/>
        <w:rPr>
          <w:sz w:val="20"/>
          <w:szCs w:val="20"/>
          <w:color w:val="auto"/>
        </w:rPr>
      </w:pPr>
      <w:r>
        <w:rPr>
          <w:rFonts w:ascii="Times New Roman" w:cs="Times New Roman" w:eastAsia="Times New Roman" w:hAnsi="Times New Roman"/>
          <w:sz w:val="17"/>
          <w:szCs w:val="17"/>
          <w:color w:val="auto"/>
        </w:rPr>
        <w:t>Unless otherwise provided under this Power of Attorney, any natural person appointed by the WFOE has the right to transfer, apply or otherwise dispose any cash dividend, bonus and any other non-cash gain arising from the Shareholding on reliance of any oral or written instruction from the undersigned.</w:t>
      </w:r>
    </w:p>
    <w:p>
      <w:pPr>
        <w:spacing w:after="0" w:line="146" w:lineRule="exact"/>
        <w:rPr>
          <w:sz w:val="20"/>
          <w:szCs w:val="20"/>
          <w:color w:val="auto"/>
        </w:rPr>
      </w:pPr>
    </w:p>
    <w:p>
      <w:pPr>
        <w:ind w:left="10" w:right="460"/>
        <w:spacing w:after="0" w:line="270" w:lineRule="auto"/>
        <w:rPr>
          <w:sz w:val="20"/>
          <w:szCs w:val="20"/>
          <w:color w:val="auto"/>
        </w:rPr>
      </w:pPr>
      <w:r>
        <w:rPr>
          <w:rFonts w:ascii="Times New Roman" w:cs="Times New Roman" w:eastAsia="Times New Roman" w:hAnsi="Times New Roman"/>
          <w:sz w:val="18"/>
          <w:szCs w:val="18"/>
          <w:color w:val="auto"/>
        </w:rPr>
        <w:t>Unless otherwise provided under this Power of Attorney, any natural person appointed by the WFOE has the right to take any action regarding the Shareholding according to his/her own judgment without any oral or written instruction from the undersigned.</w:t>
      </w:r>
    </w:p>
    <w:p>
      <w:pPr>
        <w:spacing w:after="0" w:line="169" w:lineRule="exact"/>
        <w:rPr>
          <w:sz w:val="20"/>
          <w:szCs w:val="20"/>
          <w:color w:val="auto"/>
        </w:rPr>
      </w:pPr>
    </w:p>
    <w:p>
      <w:pPr>
        <w:ind w:left="10" w:right="360"/>
        <w:spacing w:after="0" w:line="258" w:lineRule="auto"/>
        <w:rPr>
          <w:sz w:val="20"/>
          <w:szCs w:val="20"/>
          <w:color w:val="auto"/>
        </w:rPr>
      </w:pPr>
      <w:r>
        <w:rPr>
          <w:rFonts w:ascii="Times New Roman" w:cs="Times New Roman" w:eastAsia="Times New Roman" w:hAnsi="Times New Roman"/>
          <w:sz w:val="18"/>
          <w:szCs w:val="18"/>
          <w:color w:val="auto"/>
        </w:rPr>
        <w:t>Any and all the actions associated with the Shareholding made by any natural person appointed by the WFOE will be deemed as the action of the undersigned, and any and all documents relating to the Shareholding executed by any natural person appointed by the WFOE shall be deemed to be executed and acknowledged by the undersigned.</w:t>
      </w:r>
    </w:p>
    <w:p>
      <w:pPr>
        <w:spacing w:after="0" w:line="179" w:lineRule="exact"/>
        <w:rPr>
          <w:sz w:val="20"/>
          <w:szCs w:val="20"/>
          <w:color w:val="auto"/>
        </w:rPr>
      </w:pPr>
    </w:p>
    <w:p>
      <w:pPr>
        <w:ind w:left="10" w:right="160"/>
        <w:spacing w:after="0" w:line="300" w:lineRule="auto"/>
        <w:rPr>
          <w:sz w:val="20"/>
          <w:szCs w:val="20"/>
          <w:color w:val="auto"/>
        </w:rPr>
      </w:pPr>
      <w:r>
        <w:rPr>
          <w:rFonts w:ascii="Times New Roman" w:cs="Times New Roman" w:eastAsia="Times New Roman" w:hAnsi="Times New Roman"/>
          <w:sz w:val="17"/>
          <w:szCs w:val="17"/>
          <w:color w:val="auto"/>
        </w:rPr>
        <w:t>Any natural person appointed by the WFOE may delegate this power of attorney by assigning his/her rights relating to the conduct of the aforesaid matter and exercise of the Shareholding to any other person or entity at his/her own discretion without prior notice to or consent from the undersigned.</w:t>
      </w:r>
    </w:p>
    <w:p>
      <w:pPr>
        <w:spacing w:after="0" w:line="146" w:lineRule="exact"/>
        <w:rPr>
          <w:sz w:val="20"/>
          <w:szCs w:val="20"/>
          <w:color w:val="auto"/>
        </w:rPr>
      </w:pPr>
    </w:p>
    <w:p>
      <w:pPr>
        <w:ind w:left="10"/>
        <w:spacing w:after="0" w:line="270" w:lineRule="auto"/>
        <w:rPr>
          <w:sz w:val="20"/>
          <w:szCs w:val="20"/>
          <w:color w:val="auto"/>
        </w:rPr>
      </w:pPr>
      <w:r>
        <w:rPr>
          <w:rFonts w:ascii="Times New Roman" w:cs="Times New Roman" w:eastAsia="Times New Roman" w:hAnsi="Times New Roman"/>
          <w:sz w:val="18"/>
          <w:szCs w:val="18"/>
          <w:color w:val="auto"/>
        </w:rPr>
        <w:t>This Power of Attorney is irrevocable and effective as of the date hereof as long as the undersigned is a shareholder of the Beijing Company. This Power of Attorney supersedes any other power of attorney previously signed by the undersigned.</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70"/>
          </w:cols>
          <w:pgMar w:left="550" w:top="264" w:right="579" w:bottom="1440" w:gutter="0" w:footer="0" w:header="0"/>
        </w:sectPr>
      </w:pPr>
    </w:p>
    <w:bookmarkStart w:id="476" w:name="page477"/>
    <w:bookmarkEnd w:id="476"/>
    <w:p>
      <w:pPr>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During the term of this Power of Attorney, the undersigned hereby waives all of the rights associated with the Shareholding which have been authorized to any natural person appointed by the WFOE and will not exercise any such right by himself.</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17, 2022</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60" w:top="266" w:right="619" w:bottom="1440" w:gutter="0" w:footer="0" w:header="0"/>
        </w:sectPr>
      </w:pPr>
    </w:p>
    <w:bookmarkStart w:id="477" w:name="page478"/>
    <w:bookmarkEnd w:id="47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Schedule A</w:t>
      </w:r>
    </w:p>
    <w:p>
      <w:pPr>
        <w:spacing w:after="0" w:line="2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power of attorney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35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322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0" w:type="dxa"/>
            <w:vAlign w:val="bottom"/>
            <w:gridSpan w:val="2"/>
          </w:tcPr>
          <w:p>
            <w:pPr>
              <w:spacing w:after="0" w:line="166" w:lineRule="exact"/>
              <w:rPr>
                <w:sz w:val="20"/>
                <w:szCs w:val="20"/>
                <w:color w:val="auto"/>
              </w:rPr>
            </w:pPr>
            <w:r>
              <w:rPr>
                <w:rFonts w:ascii="Times New Roman" w:cs="Times New Roman" w:eastAsia="Times New Roman" w:hAnsi="Times New Roman"/>
                <w:sz w:val="18"/>
                <w:szCs w:val="18"/>
                <w:color w:val="auto"/>
              </w:rPr>
              <w:t>Jiangsu Jingdong Bangneng Investment Management</w:t>
            </w:r>
          </w:p>
        </w:tc>
        <w:tc>
          <w:tcPr>
            <w:tcW w:w="344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Qin Miao</w:t>
            </w:r>
          </w:p>
        </w:tc>
        <w:tc>
          <w:tcPr>
            <w:tcW w:w="120" w:type="dxa"/>
            <w:vAlign w:val="bottom"/>
            <w:vMerge w:val="continue"/>
          </w:tcPr>
          <w:p>
            <w:pPr>
              <w:spacing w:after="0"/>
              <w:rPr>
                <w:sz w:val="14"/>
                <w:szCs w:val="14"/>
                <w:color w:val="auto"/>
              </w:rPr>
            </w:pPr>
          </w:p>
        </w:tc>
        <w:tc>
          <w:tcPr>
            <w:tcW w:w="322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w:t>
            </w: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Yayun Li</w:t>
            </w:r>
          </w:p>
        </w:tc>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560" w:type="dxa"/>
            <w:vAlign w:val="bottom"/>
            <w:gridSpan w:val="2"/>
            <w:vMerge w:val="continue"/>
          </w:tcPr>
          <w:p>
            <w:pPr>
              <w:spacing w:after="0"/>
              <w:rPr>
                <w:sz w:val="11"/>
                <w:szCs w:val="11"/>
                <w:color w:val="auto"/>
              </w:rPr>
            </w:pPr>
          </w:p>
        </w:tc>
        <w:tc>
          <w:tcPr>
            <w:tcW w:w="3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Jingdong Cai’ao E-commercial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Miao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Tingting Sui</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Guanyinghou Media Technology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Qian Yang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December 11, 2017</w:t>
            </w:r>
          </w:p>
        </w:tc>
        <w:tc>
          <w:tcPr>
            <w:tcW w:w="0" w:type="dxa"/>
            <w:vAlign w:val="bottom"/>
          </w:tcPr>
          <w:p>
            <w:pPr>
              <w:spacing w:after="0"/>
              <w:rPr>
                <w:sz w:val="1"/>
                <w:szCs w:val="1"/>
                <w:color w:val="auto"/>
              </w:rPr>
            </w:pPr>
          </w:p>
        </w:tc>
      </w:tr>
      <w:tr>
        <w:trPr>
          <w:trHeight w:val="31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JPT E-Commerce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Miao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2022</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Yayun Li</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2022</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September 16, 2022</w:t>
            </w: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Jiantong Enterprise Management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Xinshi Wang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April 18, 2019</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Guanyinghou Media Technology Co.,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April 18, 2019</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Yueyang Information Technology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Tingting Sui</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Saili Tan</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February 4, 2026</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Jucheng Space Technology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Miao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Tingting Sui</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3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Hanyu Technology Co., Ltd.</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 Miao, Tingting Sui and Pang Zhang</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March 20, 2026</w:t>
            </w:r>
          </w:p>
        </w:tc>
        <w:tc>
          <w:tcPr>
            <w:tcW w:w="0" w:type="dxa"/>
            <w:vAlign w:val="bottom"/>
          </w:tcPr>
          <w:p>
            <w:pPr>
              <w:spacing w:after="0"/>
              <w:rPr>
                <w:sz w:val="1"/>
                <w:szCs w:val="1"/>
                <w:color w:val="auto"/>
              </w:rPr>
            </w:pP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Epochal Capital Selection Network</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Yao Feng and Guanglei Gao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June 12, 2024</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M&amp;W Intelligent Mobility Technology Co.,</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Junchao Shao and Shengxue Jiao</w:t>
            </w: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July 9, 2025</w:t>
            </w: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4" w:right="559" w:bottom="1440" w:gutter="0" w:footer="0" w:header="0"/>
        </w:sectPr>
      </w:pPr>
    </w:p>
    <w:bookmarkStart w:id="478" w:name="page479"/>
    <w:bookmarkEnd w:id="478"/>
    <w:p>
      <w:pPr>
        <w:jc w:val="right"/>
        <w:spacing w:after="0"/>
        <w:rPr>
          <w:sz w:val="20"/>
          <w:szCs w:val="20"/>
          <w:color w:val="auto"/>
        </w:rPr>
      </w:pPr>
      <w:r>
        <w:rPr>
          <w:rFonts w:ascii="Times New Roman" w:cs="Times New Roman" w:eastAsia="Times New Roman" w:hAnsi="Times New Roman"/>
          <w:sz w:val="18"/>
          <w:szCs w:val="18"/>
          <w:b w:val="1"/>
          <w:bCs w:val="1"/>
          <w:color w:val="auto"/>
        </w:rPr>
        <w:t>Exhibit 4.24</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EXCLUSIVE TECHNOLOGY CONSULTING AND SERVICE AGREEMENT</w:t>
      </w:r>
    </w:p>
    <w:p>
      <w:pPr>
        <w:spacing w:after="0" w:line="21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This EXCLUSIVE TECHNOLOGY CONSULTING AND SERVICE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October 17, 2022, is made in</w:t>
      </w:r>
    </w:p>
    <w:p>
      <w:pPr>
        <w:spacing w:after="0" w:line="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Beijing,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w:t>
      </w:r>
    </w:p>
    <w:p>
      <w:pPr>
        <w:spacing w:after="0" w:line="197" w:lineRule="exact"/>
        <w:rPr>
          <w:sz w:val="20"/>
          <w:szCs w:val="20"/>
          <w:color w:val="auto"/>
        </w:rPr>
      </w:pPr>
    </w:p>
    <w:p>
      <w:pPr>
        <w:ind w:left="10" w:right="500"/>
        <w:spacing w:after="0" w:line="273" w:lineRule="auto"/>
        <w:rPr>
          <w:sz w:val="20"/>
          <w:szCs w:val="20"/>
          <w:color w:val="auto"/>
        </w:rPr>
      </w:pP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Beijing Jingdong Century Trade Co., Ltd.</w:t>
      </w:r>
      <w:r>
        <w:rPr>
          <w:rFonts w:ascii="Times New Roman" w:cs="Times New Roman" w:eastAsia="Times New Roman" w:hAnsi="Times New Roman"/>
          <w:sz w:val="18"/>
          <w:szCs w:val="18"/>
          <w:color w:val="auto"/>
        </w:rPr>
        <w:t>, with registered address at Room 201, 2/F, Tower C, No. 18 Kechuang 11 Street,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and Technological Development Zone, Beijing; and</w:t>
      </w:r>
    </w:p>
    <w:p>
      <w:pPr>
        <w:spacing w:after="0" w:line="164" w:lineRule="exact"/>
        <w:rPr>
          <w:sz w:val="20"/>
          <w:szCs w:val="20"/>
          <w:color w:val="auto"/>
        </w:rPr>
      </w:pPr>
    </w:p>
    <w:p>
      <w:pPr>
        <w:jc w:val="both"/>
        <w:ind w:left="10" w:right="300"/>
        <w:spacing w:after="0" w:line="303" w:lineRule="auto"/>
        <w:rPr>
          <w:sz w:val="20"/>
          <w:szCs w:val="20"/>
          <w:color w:val="auto"/>
        </w:rPr>
      </w:pPr>
      <w:r>
        <w:rPr>
          <w:rFonts w:ascii="Times New Roman" w:cs="Times New Roman" w:eastAsia="Times New Roman" w:hAnsi="Times New Roman"/>
          <w:sz w:val="17"/>
          <w:szCs w:val="17"/>
          <w:b w:val="1"/>
          <w:bCs w:val="1"/>
          <w:color w:val="auto"/>
        </w:rPr>
        <w:t>Party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 Beijing Jiasheng Investment Management Co., Ltd.</w:t>
      </w:r>
      <w:r>
        <w:rPr>
          <w:rFonts w:ascii="Times New Roman" w:cs="Times New Roman" w:eastAsia="Times New Roman" w:hAnsi="Times New Roman"/>
          <w:sz w:val="17"/>
          <w:szCs w:val="17"/>
          <w:color w:val="auto"/>
        </w:rPr>
        <w:t>, a limited liability company incorporated and existing under the laws of the PRC,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registered address at Room 706, 7/F, Building 1, No. 18 Kechuang 11 Street, Beijing Economic and Technological Development Zone, Beijing.</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(Party A and Party B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180" w:hanging="430"/>
        <w:spacing w:after="0" w:line="270" w:lineRule="auto"/>
        <w:tabs>
          <w:tab w:leader="none" w:pos="43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duly incorporated and validly existing under the PRC laws, having the resources and qualifications to provide Party B with technology consulting and services;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 limited liability company duly incorporated and validly existing under the PRC laws;</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the Parties hereby agree as follows through negotiations:</w:t>
      </w:r>
    </w:p>
    <w:p>
      <w:pPr>
        <w:spacing w:after="0" w:line="359" w:lineRule="exact"/>
        <w:rPr>
          <w:sz w:val="20"/>
          <w:szCs w:val="20"/>
          <w:color w:val="auto"/>
        </w:rPr>
      </w:pPr>
    </w:p>
    <w:p>
      <w:pPr>
        <w:ind w:left="430" w:hanging="430"/>
        <w:spacing w:after="0"/>
        <w:tabs>
          <w:tab w:leader="none" w:pos="43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Consulting and Services; Sole and Exclusive Rights and Interests</w:t>
      </w:r>
    </w:p>
    <w:p>
      <w:pPr>
        <w:spacing w:after="0" w:line="125" w:lineRule="exact"/>
        <w:rPr>
          <w:rFonts w:ascii="Times New Roman" w:cs="Times New Roman" w:eastAsia="Times New Roman" w:hAnsi="Times New Roman"/>
          <w:sz w:val="18"/>
          <w:szCs w:val="18"/>
          <w:b w:val="1"/>
          <w:bCs w:val="1"/>
          <w:color w:val="auto"/>
        </w:rPr>
      </w:pPr>
    </w:p>
    <w:p>
      <w:pPr>
        <w:ind w:left="1050" w:right="4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1.1During the term of this Agreement, Party A agrees to provide Party B with technology consulting and services set forth in Exhibit I attached hereto subject to the terms and conditions of this Agreement.</w:t>
      </w:r>
    </w:p>
    <w:p>
      <w:pPr>
        <w:spacing w:after="0" w:line="76" w:lineRule="exact"/>
        <w:rPr>
          <w:rFonts w:ascii="Times New Roman" w:cs="Times New Roman" w:eastAsia="Times New Roman" w:hAnsi="Times New Roman"/>
          <w:sz w:val="18"/>
          <w:szCs w:val="18"/>
          <w:b w:val="1"/>
          <w:bCs w:val="1"/>
          <w:color w:val="auto"/>
        </w:rPr>
      </w:pPr>
    </w:p>
    <w:p>
      <w:pPr>
        <w:ind w:left="1050" w:right="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1.2Party B agrees to accept the technology consulting and services provided by Party A. Party B further agrees that during the term hereof, it will not accept the same or similar technology consulting and services with respect to the foregoing business operations from any third party, unless with prior written consent from Party A.</w:t>
      </w:r>
    </w:p>
    <w:p>
      <w:pPr>
        <w:spacing w:after="0" w:line="85" w:lineRule="exact"/>
        <w:rPr>
          <w:rFonts w:ascii="Times New Roman" w:cs="Times New Roman" w:eastAsia="Times New Roman" w:hAnsi="Times New Roman"/>
          <w:sz w:val="18"/>
          <w:szCs w:val="18"/>
          <w:b w:val="1"/>
          <w:bCs w:val="1"/>
          <w:color w:val="auto"/>
        </w:rPr>
      </w:pPr>
    </w:p>
    <w:p>
      <w:pPr>
        <w:ind w:left="1050" w:right="24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1.3Any and all rights and interests arising from performance of this Agreement, including without limitation ownership, copyright, patent and other intellectual properties, technical and business secrets, which is developed by Party A or by Party B based on the intellectual property owned by Party A, will be solely and exclusively owned by Party A.</w:t>
      </w:r>
    </w:p>
    <w:p>
      <w:pPr>
        <w:sectPr>
          <w:pgSz w:w="11900" w:h="16838" w:orient="portrait"/>
          <w:cols w:equalWidth="0" w:num="1">
            <w:col w:w="10790"/>
          </w:cols>
          <w:pgMar w:left="550" w:top="118" w:right="559" w:bottom="1440" w:gutter="0" w:footer="0" w:header="0"/>
        </w:sectPr>
      </w:pPr>
    </w:p>
    <w:bookmarkStart w:id="479" w:name="page480"/>
    <w:bookmarkEnd w:id="479"/>
    <w:p>
      <w:pPr>
        <w:ind w:left="430" w:hanging="430"/>
        <w:spacing w:after="0"/>
        <w:tabs>
          <w:tab w:leader="none" w:pos="43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Calculation and Payment of Technology Consulting and Services Fee</w:t>
      </w:r>
    </w:p>
    <w:p>
      <w:pPr>
        <w:spacing w:after="0" w:line="125" w:lineRule="exact"/>
        <w:rPr>
          <w:rFonts w:ascii="Times New Roman" w:cs="Times New Roman" w:eastAsia="Times New Roman" w:hAnsi="Times New Roman"/>
          <w:sz w:val="18"/>
          <w:szCs w:val="18"/>
          <w:b w:val="1"/>
          <w:bCs w:val="1"/>
          <w:color w:val="auto"/>
        </w:rPr>
      </w:pPr>
    </w:p>
    <w:p>
      <w:pPr>
        <w:ind w:left="1050" w:right="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2.1Party B agrees to pay technology consulting and services fee set forth under this Agreement to Party A for the technology consulting and services provided by Party A under this Agreement (the “</w:t>
      </w:r>
      <w:r>
        <w:rPr>
          <w:rFonts w:ascii="Times New Roman" w:cs="Times New Roman" w:eastAsia="Times New Roman" w:hAnsi="Times New Roman"/>
          <w:sz w:val="18"/>
          <w:szCs w:val="18"/>
          <w:b w:val="1"/>
          <w:bCs w:val="1"/>
          <w:color w:val="auto"/>
        </w:rPr>
        <w:t>Consulting Services Fee</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The Parties agree to determine and pay the Consulting Services Fee according to Exhibit II attached hereto.</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7"/>
          <w:szCs w:val="17"/>
          <w:color w:val="auto"/>
        </w:rPr>
        <w:t>Party A hereby represents and warrants that:</w:t>
      </w:r>
    </w:p>
    <w:p>
      <w:pPr>
        <w:spacing w:after="0" w:line="123" w:lineRule="exact"/>
        <w:rPr>
          <w:rFonts w:ascii="Times New Roman" w:cs="Times New Roman" w:eastAsia="Times New Roman" w:hAnsi="Times New Roman"/>
          <w:sz w:val="18"/>
          <w:szCs w:val="18"/>
          <w:b w:val="1"/>
          <w:bCs w:val="1"/>
          <w:color w:val="auto"/>
        </w:rPr>
      </w:pPr>
    </w:p>
    <w:p>
      <w:pPr>
        <w:ind w:left="107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3.1.1   It is a wholly foreign-owned enterprise duly incorporated and validly existing under the laws of the PRC;</w:t>
      </w:r>
    </w:p>
    <w:p>
      <w:pPr>
        <w:spacing w:after="0" w:line="124" w:lineRule="exact"/>
        <w:rPr>
          <w:sz w:val="20"/>
          <w:szCs w:val="20"/>
          <w:color w:val="auto"/>
        </w:rPr>
      </w:pPr>
    </w:p>
    <w:p>
      <w:pPr>
        <w:ind w:left="1710" w:hanging="634"/>
        <w:spacing w:after="0" w:line="253" w:lineRule="auto"/>
        <w:tabs>
          <w:tab w:leader="none" w:pos="1689"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Its execution and performance of this Agreement are within the scope of its corporate power and business; it has taken necessary corporate actions and obtained appropriate authorization and necessary consent and approvals from third parties and government agency, and execution of this Agreement will not constitute a breach of any law or contract which has binding or other effect upon it; and</w:t>
      </w:r>
    </w:p>
    <w:p>
      <w:pPr>
        <w:spacing w:after="0" w:line="92" w:lineRule="exact"/>
        <w:rPr>
          <w:sz w:val="20"/>
          <w:szCs w:val="20"/>
          <w:color w:val="auto"/>
        </w:rPr>
      </w:pPr>
    </w:p>
    <w:p>
      <w:pPr>
        <w:ind w:left="1710" w:right="34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This Agreement, once executed, constitutes legal, valid and binding obligations of Party A, and is enforceable upon Party A pursuant to its terms.</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Party B hereby represents and warrants that:</w:t>
      </w:r>
    </w:p>
    <w:p>
      <w:pPr>
        <w:spacing w:after="0" w:line="124"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It is a limited liability company duly incorporated and validly existing under the laws of the PRC;</w:t>
      </w:r>
    </w:p>
    <w:p>
      <w:pPr>
        <w:spacing w:after="0" w:line="124" w:lineRule="exact"/>
        <w:rPr>
          <w:sz w:val="20"/>
          <w:szCs w:val="20"/>
          <w:color w:val="auto"/>
        </w:rPr>
      </w:pPr>
    </w:p>
    <w:p>
      <w:pPr>
        <w:ind w:left="1710" w:hanging="634"/>
        <w:spacing w:after="0" w:line="253" w:lineRule="auto"/>
        <w:tabs>
          <w:tab w:leader="none" w:pos="1689"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Its execution and performance of this Agreement are within the scope of its corporate power and business; it has taken necessary corporate actions and obtained appropriate authorization and necessary consent and approvals from third parties and government agency, and execution of this Agreement will not constitute a breach of any law or contract which has binding or other effect upon it; and</w:t>
      </w:r>
    </w:p>
    <w:p>
      <w:pPr>
        <w:spacing w:after="0" w:line="92" w:lineRule="exact"/>
        <w:rPr>
          <w:sz w:val="20"/>
          <w:szCs w:val="20"/>
          <w:color w:val="auto"/>
        </w:rPr>
      </w:pPr>
    </w:p>
    <w:p>
      <w:pPr>
        <w:ind w:left="1710" w:right="36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This Agreement, once executed, constitutes legal, valid and binding obligations of Party B, and is enforceable upon Party B pursuant to its terms.</w:t>
      </w:r>
    </w:p>
    <w:p>
      <w:pPr>
        <w:spacing w:after="0" w:line="312" w:lineRule="exact"/>
        <w:rPr>
          <w:sz w:val="20"/>
          <w:szCs w:val="20"/>
          <w:color w:val="auto"/>
        </w:rPr>
      </w:pPr>
    </w:p>
    <w:p>
      <w:pPr>
        <w:ind w:left="430" w:hanging="430"/>
        <w:spacing w:after="0"/>
        <w:tabs>
          <w:tab w:leader="none" w:pos="430" w:val="left"/>
        </w:tabs>
        <w:numPr>
          <w:ilvl w:val="0"/>
          <w:numId w:val="3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23" w:lineRule="exact"/>
        <w:rPr>
          <w:rFonts w:ascii="Times New Roman" w:cs="Times New Roman" w:eastAsia="Times New Roman" w:hAnsi="Times New Roman"/>
          <w:sz w:val="18"/>
          <w:szCs w:val="18"/>
          <w:b w:val="1"/>
          <w:bCs w:val="1"/>
          <w:color w:val="auto"/>
        </w:rPr>
      </w:pPr>
    </w:p>
    <w:p>
      <w:pPr>
        <w:ind w:left="1050" w:right="40" w:hanging="634"/>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4.1Party B agrees to take reasonably best efforts to keep in confidence Party A’s confidential information and materials (“</w:t>
      </w:r>
      <w:r>
        <w:rPr>
          <w:rFonts w:ascii="Times New Roman" w:cs="Times New Roman" w:eastAsia="Times New Roman" w:hAnsi="Times New Roman"/>
          <w:sz w:val="18"/>
          <w:szCs w:val="18"/>
          <w:b w:val="1"/>
          <w:bCs w:val="1"/>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that it may be aware of or have access to in connection with its acceptance of Party A’s exclusive consulting and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prior written consent from Party A, Party B shall not disclose, offer or transfer any Confidential Information to any third party. If this Agreement terminates and upon Party A’s request, Party B shall return to Party A or destroy all of the documents, materials or software containing Confidential Information, and shall delete any Confidential Information from all relevant memory devices and cease to use any Confidential Information.</w:t>
      </w:r>
    </w:p>
    <w:p>
      <w:pPr>
        <w:spacing w:after="0" w:line="1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90"/>
          </w:cols>
          <w:pgMar w:left="550" w:top="264" w:right="559" w:bottom="1440" w:gutter="0" w:footer="0" w:header="0"/>
        </w:sectPr>
      </w:pPr>
    </w:p>
    <w:bookmarkStart w:id="480" w:name="page481"/>
    <w:bookmarkEnd w:id="480"/>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7"/>
          <w:szCs w:val="17"/>
          <w:color w:val="auto"/>
        </w:rPr>
        <w:t>This Article 4 will survive any change, termination or expiration of this Agreement.</w:t>
      </w:r>
    </w:p>
    <w:p>
      <w:pPr>
        <w:spacing w:after="0" w:line="359" w:lineRule="exact"/>
        <w:rPr>
          <w:sz w:val="20"/>
          <w:szCs w:val="20"/>
          <w:color w:val="auto"/>
        </w:rPr>
      </w:pPr>
    </w:p>
    <w:p>
      <w:pPr>
        <w:ind w:left="430" w:hanging="430"/>
        <w:spacing w:after="0"/>
        <w:tabs>
          <w:tab w:leader="none" w:pos="43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Contract</w:t>
      </w:r>
    </w:p>
    <w:p>
      <w:pPr>
        <w:spacing w:after="0" w:line="110" w:lineRule="exact"/>
        <w:rPr>
          <w:rFonts w:ascii="Times New Roman" w:cs="Times New Roman" w:eastAsia="Times New Roman" w:hAnsi="Times New Roman"/>
          <w:sz w:val="18"/>
          <w:szCs w:val="18"/>
          <w:b w:val="1"/>
          <w:bCs w:val="1"/>
          <w:color w:val="auto"/>
        </w:rPr>
      </w:pPr>
    </w:p>
    <w:p>
      <w:pPr>
        <w:ind w:left="43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either party (the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the other Party (the “</w:t>
      </w:r>
      <w:r>
        <w:rPr>
          <w:rFonts w:ascii="Times New Roman" w:cs="Times New Roman" w:eastAsia="Times New Roman" w:hAnsi="Times New Roman"/>
          <w:sz w:val="18"/>
          <w:szCs w:val="18"/>
          <w:b w:val="1"/>
          <w:bCs w:val="1"/>
          <w:color w:val="auto"/>
        </w:rPr>
        <w:t>Non-defaulting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Non-defaulting Party may notify the Defaulting Party in writing and request it to rectify and correct such breach of contract;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Defaulting Party fails to take any action satisfactory to the Non-defaulting Party to rectify and correct such breach within fifteen (15) working days upon the issuance of the written notice by the Non-defaulting Party, the Non-defaulting Party may take the actions pursuant to this Agreement or pursue other remedies in accordance with laws.</w:t>
      </w:r>
    </w:p>
    <w:p>
      <w:pPr>
        <w:spacing w:after="0" w:line="327"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125" w:lineRule="exact"/>
        <w:rPr>
          <w:rFonts w:ascii="Times New Roman" w:cs="Times New Roman" w:eastAsia="Times New Roman" w:hAnsi="Times New Roman"/>
          <w:sz w:val="18"/>
          <w:szCs w:val="18"/>
          <w:b w:val="1"/>
          <w:bCs w:val="1"/>
          <w:color w:val="auto"/>
        </w:rPr>
      </w:pPr>
    </w:p>
    <w:p>
      <w:pPr>
        <w:ind w:left="1050" w:right="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6.1This Agreement shall take effect as of the date first written above. The term of this Agreement is ten (10) years unless early termination occurs in accordance with relevant provisions herein or any other agreement reached by the Parties.</w:t>
      </w:r>
    </w:p>
    <w:p>
      <w:pPr>
        <w:spacing w:after="0" w:line="76" w:lineRule="exact"/>
        <w:rPr>
          <w:rFonts w:ascii="Times New Roman" w:cs="Times New Roman" w:eastAsia="Times New Roman" w:hAnsi="Times New Roman"/>
          <w:sz w:val="18"/>
          <w:szCs w:val="18"/>
          <w:b w:val="1"/>
          <w:bCs w:val="1"/>
          <w:color w:val="auto"/>
        </w:rPr>
      </w:pPr>
    </w:p>
    <w:p>
      <w:pPr>
        <w:ind w:left="1050" w:right="1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6.2This Agreement may be extended upon Party A’s written confirmation prior to the expiration of this Agreement and the extended term shall be ten (10) years or the term agreed by both Parties.</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7"/>
          <w:szCs w:val="17"/>
          <w:color w:val="auto"/>
        </w:rPr>
        <w:t>This Agreement shall be terminated on the expiring date unless it is renewed in accordance with the relevant provisions herein.</w:t>
      </w:r>
    </w:p>
    <w:p>
      <w:pPr>
        <w:spacing w:after="0" w:line="123" w:lineRule="exact"/>
        <w:rPr>
          <w:rFonts w:ascii="Times New Roman" w:cs="Times New Roman" w:eastAsia="Times New Roman" w:hAnsi="Times New Roman"/>
          <w:sz w:val="18"/>
          <w:szCs w:val="18"/>
          <w:b w:val="1"/>
          <w:bCs w:val="1"/>
          <w:color w:val="auto"/>
        </w:rPr>
      </w:pPr>
    </w:p>
    <w:p>
      <w:pPr>
        <w:ind w:left="105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7.2During the term hereof, Party B may not make early termination of this Agreement unless Party A commits gross negligence, fraud or other illegal action, or goes bankrupt. Notwithstanding the foregoing, Party A shall always have the right to terminate this Agreement by issuing a thirty (30) days’ prior written notice to Party B.</w:t>
      </w:r>
    </w:p>
    <w:p>
      <w:pPr>
        <w:spacing w:after="0" w:line="8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7"/>
          <w:szCs w:val="17"/>
          <w:color w:val="auto"/>
        </w:rPr>
        <w:t>The rights and obligations of the Parties under Articles 4 and 5 will survive termination of this Agreement.</w:t>
      </w:r>
    </w:p>
    <w:p>
      <w:pPr>
        <w:spacing w:after="0" w:line="150"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90"/>
          </w:cols>
          <w:pgMar w:left="550" w:top="266" w:right="659" w:bottom="1440" w:gutter="0" w:footer="0" w:header="0"/>
        </w:sectPr>
      </w:pPr>
    </w:p>
    <w:bookmarkStart w:id="481" w:name="page482"/>
    <w:bookmarkEnd w:id="481"/>
    <w:p>
      <w:pPr>
        <w:ind w:left="430" w:hanging="430"/>
        <w:spacing w:after="0"/>
        <w:tabs>
          <w:tab w:leader="none" w:pos="43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Governing Law and Dispute Resolution</w:t>
      </w:r>
    </w:p>
    <w:p>
      <w:pPr>
        <w:spacing w:after="0" w:line="125" w:lineRule="exact"/>
        <w:rPr>
          <w:rFonts w:ascii="Times New Roman" w:cs="Times New Roman" w:eastAsia="Times New Roman" w:hAnsi="Times New Roman"/>
          <w:sz w:val="18"/>
          <w:szCs w:val="18"/>
          <w:b w:val="1"/>
          <w:bCs w:val="1"/>
          <w:color w:val="auto"/>
        </w:rPr>
      </w:pPr>
    </w:p>
    <w:p>
      <w:pPr>
        <w:ind w:left="1050" w:right="1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8.1The execution, interpretation, performance of this Agreement and the disputes resolution under this Agreement shall be governed by the PRC laws.</w:t>
      </w:r>
    </w:p>
    <w:p>
      <w:pPr>
        <w:spacing w:after="0" w:line="76" w:lineRule="exact"/>
        <w:rPr>
          <w:rFonts w:ascii="Times New Roman" w:cs="Times New Roman" w:eastAsia="Times New Roman" w:hAnsi="Times New Roman"/>
          <w:sz w:val="18"/>
          <w:szCs w:val="18"/>
          <w:b w:val="1"/>
          <w:bCs w:val="1"/>
          <w:color w:val="auto"/>
        </w:rPr>
      </w:pPr>
    </w:p>
    <w:p>
      <w:pPr>
        <w:ind w:left="1050" w:right="100" w:hanging="63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8.2The parties hereto shall strive to settle any dispute arising from the interpretation or performance of the terms under this Agreement through friendly consultation in good faith. In case no settlement can be reached through consultation within thirty (30) days after the request for consultation is made by either Party, any Party can submit such matter to Beijing Arbitration Commission for arbitration in accordance with its then effective rules. The arbitration shall take place in Beijing. The arbitration award shall be final and binding upon both Parties.</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Force Majeure</w:t>
      </w:r>
    </w:p>
    <w:p>
      <w:pPr>
        <w:spacing w:after="0" w:line="125" w:lineRule="exact"/>
        <w:rPr>
          <w:rFonts w:ascii="Times New Roman" w:cs="Times New Roman" w:eastAsia="Times New Roman" w:hAnsi="Times New Roman"/>
          <w:sz w:val="18"/>
          <w:szCs w:val="18"/>
          <w:b w:val="1"/>
          <w:bCs w:val="1"/>
          <w:color w:val="auto"/>
        </w:rPr>
      </w:pPr>
    </w:p>
    <w:p>
      <w:pPr>
        <w:ind w:left="1050" w:right="160" w:hanging="63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9.1“Force Majeure Event” shall mean any event beyond the reasonable controls of the Party so affected, which are unpredictable, unavoidable, irresistible even if the affected Party takes a reasonable care, including but not limited to governmental acts, Act of God, fires, explosion, geographical variations, storms, floods, earthquakes, morning and evening tides, lightning or wars, riot, strike, and any other such events that all Parties have reached a consensus upon. However, any shortage of credits, funding or financing shall not be deemed as the events beyond reasonable controls of the affected Party.</w:t>
      </w:r>
    </w:p>
    <w:p>
      <w:pPr>
        <w:spacing w:after="0" w:line="94" w:lineRule="exact"/>
        <w:rPr>
          <w:rFonts w:ascii="Times New Roman" w:cs="Times New Roman" w:eastAsia="Times New Roman" w:hAnsi="Times New Roman"/>
          <w:sz w:val="18"/>
          <w:szCs w:val="18"/>
          <w:b w:val="1"/>
          <w:bCs w:val="1"/>
          <w:color w:val="auto"/>
        </w:rPr>
      </w:pPr>
    </w:p>
    <w:p>
      <w:pPr>
        <w:ind w:left="105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9.2In the event that the performance of this Agreement is delayed or interrupted due to the said Force Majeure Event, the affected Party shall be excused from any liability to the extent of the delayed or interrupted performance. The affected Party which intends to seek exemption from its obligations of performance under this Agreement or any provision of this Agreement shall immediately inform the other Party of such a Force Majeure Event and the measures it needs to take in order to complete its performance.</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2" w:lineRule="exact"/>
        <w:rPr>
          <w:rFonts w:ascii="Times New Roman" w:cs="Times New Roman" w:eastAsia="Times New Roman" w:hAnsi="Times New Roman"/>
          <w:sz w:val="18"/>
          <w:szCs w:val="18"/>
          <w:b w:val="1"/>
          <w:bCs w:val="1"/>
          <w:color w:val="auto"/>
        </w:rPr>
      </w:pPr>
    </w:p>
    <w:p>
      <w:pPr>
        <w:ind w:left="43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All notices or other correspondences given by either Party pursuant to this Agreement shall be made in writing and may be delivered in person, or by registered mail, postage prepaid mail, generally accepted courier service or facsimile to the following addresses of the relevant Party or both Parties, or any other address notified by the other Party from time to time, or another person’s address designated by it. The date when the notice is deemed to be duly served shall be determined as the follows: (a) a notice delivered personally is deemed duly served upon the delivery; (b) a notice sent by mail is deemed duly served on the seventh (7th) day after the air registered mail with postage prepaid has been sent out (as is shown on the postmark), or the fourth (4th) day after delivery to the internationally recognized courier service agency; and (c) a notice sent by facsimile transmission is deemed duly served upon the receipt time as is shown on the transmission confirmation of relevant documents.</w:t>
      </w:r>
    </w:p>
    <w:p>
      <w:pPr>
        <w:spacing w:after="0" w:line="10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70"/>
          </w:cols>
          <w:pgMar w:left="550" w:top="264" w:right="579" w:bottom="1440" w:gutter="0" w:footer="0" w:header="0"/>
        </w:sectPr>
      </w:pPr>
    </w:p>
    <w:bookmarkStart w:id="482" w:name="page483"/>
    <w:bookmarkEnd w:id="482"/>
    <w:p>
      <w:pPr>
        <w:ind w:left="107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If to </w:t>
      </w:r>
      <w:r>
        <w:rPr>
          <w:rFonts w:ascii="Times New Roman" w:cs="Times New Roman" w:eastAsia="Times New Roman" w:hAnsi="Times New Roman"/>
          <w:sz w:val="18"/>
          <w:szCs w:val="18"/>
          <w:b w:val="1"/>
          <w:bCs w:val="1"/>
          <w:color w:val="auto"/>
        </w:rPr>
        <w:t>Party A: Beijing Jingdong Century Trade Co., Ltd.</w:t>
      </w:r>
    </w:p>
    <w:p>
      <w:pPr>
        <w:spacing w:after="0" w:line="24"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ind w:left="1570" w:hanging="167"/>
        <w:spacing w:after="0"/>
        <w:tabs>
          <w:tab w:leader="none" w:pos="1570" w:val="left"/>
        </w:tabs>
        <w:numPr>
          <w:ilvl w:val="0"/>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w:t>
      </w:r>
    </w:p>
    <w:p>
      <w:pPr>
        <w:spacing w:after="0" w:line="39" w:lineRule="exact"/>
        <w:rPr>
          <w:rFonts w:ascii="Times New Roman" w:cs="Times New Roman" w:eastAsia="Times New Roman" w:hAnsi="Times New Roman"/>
          <w:sz w:val="15"/>
          <w:szCs w:val="15"/>
          <w:color w:val="auto"/>
        </w:rPr>
      </w:pPr>
    </w:p>
    <w:p>
      <w:pPr>
        <w:ind w:left="10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Telephone: ***</w:t>
      </w:r>
    </w:p>
    <w:p>
      <w:pPr>
        <w:spacing w:after="0" w:line="4" w:lineRule="exact"/>
        <w:rPr>
          <w:rFonts w:ascii="Times New Roman" w:cs="Times New Roman" w:eastAsia="Times New Roman" w:hAnsi="Times New Roman"/>
          <w:sz w:val="15"/>
          <w:szCs w:val="15"/>
          <w:color w:val="auto"/>
        </w:rPr>
      </w:pPr>
    </w:p>
    <w:p>
      <w:pPr>
        <w:ind w:left="10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Fax: ***</w:t>
      </w:r>
    </w:p>
    <w:p>
      <w:pPr>
        <w:spacing w:after="0" w:line="4" w:lineRule="exact"/>
        <w:rPr>
          <w:rFonts w:ascii="Times New Roman" w:cs="Times New Roman" w:eastAsia="Times New Roman" w:hAnsi="Times New Roman"/>
          <w:sz w:val="15"/>
          <w:szCs w:val="15"/>
          <w:color w:val="auto"/>
        </w:rPr>
      </w:pPr>
    </w:p>
    <w:p>
      <w:pPr>
        <w:ind w:left="10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Attention: ***</w:t>
      </w:r>
    </w:p>
    <w:p>
      <w:pPr>
        <w:spacing w:after="0" w:line="197"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Party B: Beijing Jiasheng Investment Management Co., Ltd.</w:t>
      </w:r>
    </w:p>
    <w:p>
      <w:pPr>
        <w:spacing w:after="0" w:line="24"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Address: ***</w:t>
      </w:r>
    </w:p>
    <w:p>
      <w:pPr>
        <w:spacing w:after="0" w:line="5"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Telephone: ***</w:t>
      </w:r>
    </w:p>
    <w:p>
      <w:pPr>
        <w:spacing w:after="0" w:line="5"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Fax: ***</w:t>
      </w:r>
    </w:p>
    <w:p>
      <w:pPr>
        <w:spacing w:after="0" w:line="5"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Attention: ***</w:t>
      </w:r>
    </w:p>
    <w:p>
      <w:pPr>
        <w:spacing w:after="0" w:line="342" w:lineRule="exact"/>
        <w:rPr>
          <w:sz w:val="20"/>
          <w:szCs w:val="20"/>
          <w:color w:val="auto"/>
        </w:rPr>
      </w:pPr>
    </w:p>
    <w:p>
      <w:pPr>
        <w:ind w:left="430" w:hanging="430"/>
        <w:spacing w:after="0"/>
        <w:tabs>
          <w:tab w:leader="none" w:pos="43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 B shall not assign its rights and obligations under this Agreement to any third party without the prior written consent of Party A.</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provision of this Agreement is held void, invalid or unenforceable by a court of competent jurisdiction or arbitration authority, the validity, legality and enforceability of the other provisions hereof shall not be affected or impaired. The Parties shall cease performing such void, invalid or unenforceable provisions and revise such void, invalid or unenforceable provisions only to the extent closest to the original intention thereof to recover its validity or enforceability for such specific facts and circumstances.</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Supplement to Agreement</w:t>
      </w:r>
    </w:p>
    <w:p>
      <w:pPr>
        <w:spacing w:after="0" w:line="112" w:lineRule="exact"/>
        <w:rPr>
          <w:rFonts w:ascii="Times New Roman" w:cs="Times New Roman" w:eastAsia="Times New Roman" w:hAnsi="Times New Roman"/>
          <w:sz w:val="18"/>
          <w:szCs w:val="18"/>
          <w:b w:val="1"/>
          <w:bCs w:val="1"/>
          <w:color w:val="auto"/>
        </w:rPr>
      </w:pPr>
    </w:p>
    <w:p>
      <w:pPr>
        <w:ind w:left="430" w:right="10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and supplement to this Agreement shall be made in writing by the Parties. Any agreements on such amendment and supplement duly executed by both Parties shall be deemed as a part of this Agreement and shall have the same legal effect as this Agreement.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1050" w:right="6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14.1The headings contained in this Agreement are for the convenience of reference only and shall not be used to interpret, explain or otherwise affect the meaning of the provisions of this Agreement.</w:t>
      </w:r>
    </w:p>
    <w:p>
      <w:pPr>
        <w:spacing w:after="0" w:line="76" w:lineRule="exact"/>
        <w:rPr>
          <w:rFonts w:ascii="Times New Roman" w:cs="Times New Roman" w:eastAsia="Times New Roman" w:hAnsi="Times New Roman"/>
          <w:sz w:val="18"/>
          <w:szCs w:val="18"/>
          <w:b w:val="1"/>
          <w:bCs w:val="1"/>
          <w:color w:val="auto"/>
        </w:rPr>
      </w:pPr>
    </w:p>
    <w:p>
      <w:pPr>
        <w:ind w:left="1050" w:right="1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14.2The Parties agree to promptly execute any document and take any other action reasonably necessary or advisable to perform provisions and purpose of this Agreement.</w:t>
      </w:r>
    </w:p>
    <w:p>
      <w:pPr>
        <w:spacing w:after="0" w:line="76" w:lineRule="exact"/>
        <w:rPr>
          <w:rFonts w:ascii="Times New Roman" w:cs="Times New Roman" w:eastAsia="Times New Roman" w:hAnsi="Times New Roman"/>
          <w:sz w:val="18"/>
          <w:szCs w:val="18"/>
          <w:b w:val="1"/>
          <w:bCs w:val="1"/>
          <w:color w:val="auto"/>
        </w:rPr>
      </w:pPr>
    </w:p>
    <w:p>
      <w:pPr>
        <w:ind w:left="1050" w:right="1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14.3The Parties confirm that this Agreement shall, upon its effectiveness, constitute the entire agreement and common understanding of the Parties with respect to the subject matters herein and fully supersede all prior verbal and/or written agreements and understandings with respect to the subject matters herein.</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50"/>
          </w:cols>
          <w:pgMar w:left="550" w:top="264" w:right="599" w:bottom="1440" w:gutter="0" w:footer="0" w:header="0"/>
        </w:sectPr>
      </w:pPr>
    </w:p>
    <w:bookmarkStart w:id="483" w:name="page484"/>
    <w:bookmarkEnd w:id="483"/>
    <w:p>
      <w:pPr>
        <w:ind w:left="620" w:right="14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14.4</w:t>
      </w:r>
      <w:r>
        <w:rPr>
          <w:sz w:val="20"/>
          <w:szCs w:val="20"/>
          <w:color w:val="auto"/>
        </w:rPr>
        <w:tab/>
      </w:r>
      <w:r>
        <w:rPr>
          <w:rFonts w:ascii="Times New Roman" w:cs="Times New Roman" w:eastAsia="Times New Roman" w:hAnsi="Times New Roman"/>
          <w:sz w:val="18"/>
          <w:szCs w:val="18"/>
          <w:color w:val="auto"/>
        </w:rPr>
        <w:t>This Agreement shall be binding upon and for the benefit of all the Parties hereto and their respective inheritors, successors and the permitted assigns.</w:t>
      </w:r>
    </w:p>
    <w:p>
      <w:pPr>
        <w:spacing w:after="0" w:line="76" w:lineRule="exact"/>
        <w:rPr>
          <w:sz w:val="20"/>
          <w:szCs w:val="20"/>
          <w:color w:val="auto"/>
        </w:rPr>
      </w:pPr>
    </w:p>
    <w:p>
      <w:pPr>
        <w:ind w:left="62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Any Party’s failure to exercise the rights under this Agreement in time shall not be deemed as its waiver of such rights and would not affect its future exercise of such rights.</w:t>
      </w:r>
    </w:p>
    <w:p>
      <w:pPr>
        <w:spacing w:after="0" w:line="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Any attachment hereto is an integral part of and has the same effect with this Agreement.</w:t>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7"/>
          <w:szCs w:val="17"/>
          <w:color w:val="auto"/>
        </w:rPr>
        <w:t>This Agreement is made in two originals with each Party holding one and both originals are equally authentic.</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 text below)</w:t>
      </w:r>
    </w:p>
    <w:p>
      <w:pPr>
        <w:spacing w:after="0" w:line="1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980" w:top="266" w:right="89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t>
      </w:r>
      <w:r>
        <w:rPr>
          <w:rFonts w:ascii="Times New Roman" w:cs="Times New Roman" w:eastAsia="Times New Roman" w:hAnsi="Times New Roman"/>
          <w:sz w:val="18"/>
          <w:szCs w:val="18"/>
          <w:color w:val="auto"/>
        </w:rPr>
        <w:t>Signature Page of Exclusive Technology Consulting and Service Agreement)</w:t>
      </w:r>
    </w:p>
    <w:p>
      <w:pPr>
        <w:spacing w:after="0" w:line="2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WITNESS THEREOF, each Party hereto has caused this Agreement duly executed by their respective legal representative or duly authorized representative on its behalf as of the date first written above.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Jingdong Century Trade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5">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Jingdong Century Trade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6">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Jiasheng Investment Management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Jiasheng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7">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Jiasheng Investment Management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80"/>
          </w:cols>
          <w:pgMar w:left="560" w:top="264" w:right="1159" w:bottom="1440" w:gutter="0" w:footer="0" w:header="0"/>
        </w:sectPr>
      </w:pPr>
    </w:p>
    <w:bookmarkStart w:id="485" w:name="page486"/>
    <w:bookmarkEnd w:id="485"/>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Exhibit 1: List of Technology Consulting and Services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Party A will provide the following technology consulting and services to Party B:</w:t>
      </w:r>
    </w:p>
    <w:p>
      <w:pPr>
        <w:spacing w:after="0" w:line="124" w:lineRule="exact"/>
        <w:rPr>
          <w:sz w:val="20"/>
          <w:szCs w:val="20"/>
          <w:color w:val="auto"/>
        </w:rPr>
      </w:pPr>
    </w:p>
    <w:p>
      <w:pPr>
        <w:ind w:left="430" w:right="80" w:hanging="430"/>
        <w:spacing w:after="0" w:line="300" w:lineRule="auto"/>
        <w:tabs>
          <w:tab w:leader="none" w:pos="430"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research and development required in connection Party B’s business operations, including development, design and production of database software for information storage and other related technologies as well as granting license of such technology to Party B;</w:t>
      </w:r>
    </w:p>
    <w:p>
      <w:pPr>
        <w:spacing w:after="0" w:line="53" w:lineRule="exact"/>
        <w:rPr>
          <w:rFonts w:ascii="Times New Roman" w:cs="Times New Roman" w:eastAsia="Times New Roman" w:hAnsi="Times New Roman"/>
          <w:sz w:val="17"/>
          <w:szCs w:val="17"/>
          <w:color w:val="auto"/>
        </w:rPr>
      </w:pPr>
    </w:p>
    <w:p>
      <w:pPr>
        <w:ind w:left="430" w:right="620" w:hanging="430"/>
        <w:spacing w:after="0" w:line="270" w:lineRule="auto"/>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application and implementation for Party B’s business operations, including without limitation master design, installation, commissioning and trial operation of technical systems;</w:t>
      </w:r>
    </w:p>
    <w:p>
      <w:pPr>
        <w:spacing w:after="0" w:line="76" w:lineRule="exact"/>
        <w:rPr>
          <w:rFonts w:ascii="Times New Roman" w:cs="Times New Roman" w:eastAsia="Times New Roman" w:hAnsi="Times New Roman"/>
          <w:sz w:val="18"/>
          <w:szCs w:val="18"/>
          <w:color w:val="auto"/>
        </w:rPr>
      </w:pPr>
    </w:p>
    <w:p>
      <w:pPr>
        <w:ind w:left="430" w:hanging="430"/>
        <w:spacing w:after="0" w:line="270" w:lineRule="auto"/>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maintenance, supervision, commissioning and trouble shooting for Party B’s computer network equipment, including prompt customer information input to database, or promptly update database and customer interface, as well as other related technical services;</w:t>
      </w:r>
    </w:p>
    <w:p>
      <w:pPr>
        <w:spacing w:after="0" w:line="76" w:lineRule="exact"/>
        <w:rPr>
          <w:rFonts w:ascii="Times New Roman" w:cs="Times New Roman" w:eastAsia="Times New Roman" w:hAnsi="Times New Roman"/>
          <w:sz w:val="18"/>
          <w:szCs w:val="18"/>
          <w:color w:val="auto"/>
        </w:rPr>
      </w:pPr>
    </w:p>
    <w:p>
      <w:pPr>
        <w:jc w:val="both"/>
        <w:ind w:left="430" w:right="200" w:hanging="430"/>
        <w:spacing w:after="0" w:line="258" w:lineRule="auto"/>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 for procurement of equipment, software and hardware systems necessary for web-based business operations by Party B, including without limitation consulting and advising on selection, installation and commissioning of tool software, application software and technical platform, as well as the selection, type and function of complementary hardware facilities and equipment;</w:t>
      </w:r>
    </w:p>
    <w:p>
      <w:pPr>
        <w:spacing w:after="0" w:line="85" w:lineRule="exact"/>
        <w:rPr>
          <w:rFonts w:ascii="Times New Roman" w:cs="Times New Roman" w:eastAsia="Times New Roman" w:hAnsi="Times New Roman"/>
          <w:sz w:val="18"/>
          <w:szCs w:val="18"/>
          <w:color w:val="auto"/>
        </w:rPr>
      </w:pPr>
    </w:p>
    <w:p>
      <w:pPr>
        <w:ind w:left="430" w:right="60" w:hanging="430"/>
        <w:spacing w:after="0" w:line="253" w:lineRule="auto"/>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training and technical support for Party B’s employees, including without limitation providing raining on customer services or technologies, sharing knowledge and experience on installation and operation of systems and equipment, assisting to resolve any problem in connection with system and equipment installation and operation, consulting and advising on operation of any other web edition platform and software, and assisting to collect and compile information and contents;</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consulting and response to enquiries raised by Party B relating to network equipment, technical products and software; and</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technical services and consulting required by Party B for business operations.</w:t>
      </w:r>
    </w:p>
    <w:p>
      <w:pPr>
        <w:spacing w:after="0" w:line="150" w:lineRule="exact"/>
        <w:rPr>
          <w:sz w:val="20"/>
          <w:szCs w:val="20"/>
          <w:color w:val="auto"/>
        </w:rPr>
      </w:pPr>
    </w:p>
    <w:p>
      <w:pPr>
        <w:jc w:val="center"/>
        <w:ind w:right="-30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470"/>
          </w:cols>
          <w:pgMar w:left="550" w:top="264" w:right="879" w:bottom="1440" w:gutter="0" w:footer="0" w:header="0"/>
        </w:sectPr>
      </w:pPr>
    </w:p>
    <w:bookmarkStart w:id="486" w:name="page487"/>
    <w:bookmarkEnd w:id="486"/>
    <w:p>
      <w:pPr>
        <w:ind w:left="10" w:right="4760"/>
        <w:spacing w:after="0" w:line="37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Exhibit II: Calculation and Payment of Technology Consulting and Services Fee </w:t>
      </w:r>
      <w:r>
        <w:rPr>
          <w:rFonts w:ascii="Times New Roman" w:cs="Times New Roman" w:eastAsia="Times New Roman" w:hAnsi="Times New Roman"/>
          <w:sz w:val="18"/>
          <w:szCs w:val="18"/>
          <w:color w:val="auto"/>
        </w:rPr>
        <w:t>The amount of the service fee will be determined on the basis of:</w:t>
      </w:r>
    </w:p>
    <w:p>
      <w:pPr>
        <w:spacing w:after="0" w:line="1" w:lineRule="exact"/>
        <w:rPr>
          <w:sz w:val="20"/>
          <w:szCs w:val="20"/>
          <w:color w:val="auto"/>
        </w:rPr>
      </w:pPr>
    </w:p>
    <w:p>
      <w:pPr>
        <w:ind w:left="430" w:hanging="430"/>
        <w:spacing w:after="0"/>
        <w:tabs>
          <w:tab w:leader="none" w:pos="43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the technology and complexity of the consulting and management services;</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by Party A to provide technology consulting and management services; and</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contents and commercial value of the technology consulting and management services.</w:t>
      </w:r>
    </w:p>
    <w:p>
      <w:pPr>
        <w:spacing w:after="0" w:line="216" w:lineRule="exact"/>
        <w:rPr>
          <w:sz w:val="20"/>
          <w:szCs w:val="20"/>
          <w:color w:val="auto"/>
        </w:rPr>
      </w:pPr>
    </w:p>
    <w:p>
      <w:pPr>
        <w:ind w:left="10"/>
        <w:spacing w:after="0" w:line="251" w:lineRule="auto"/>
        <w:rPr>
          <w:sz w:val="20"/>
          <w:szCs w:val="20"/>
          <w:color w:val="auto"/>
        </w:rPr>
      </w:pPr>
      <w:r>
        <w:rPr>
          <w:rFonts w:ascii="Times New Roman" w:cs="Times New Roman" w:eastAsia="Times New Roman" w:hAnsi="Times New Roman"/>
          <w:sz w:val="18"/>
          <w:szCs w:val="18"/>
          <w:color w:val="auto"/>
        </w:rPr>
        <w:t>Party A will issue a fee statement based on the workload and commercial value of the technical services provided by Party B as well as the prices agreed by the Parties to Party B on quarterly basis. Party B will pay the consulting and services fee according to the time and amount set forth in the statement, provided that Party B will pay no less than RMB       as consulting and services fee (the “Quarterly Minimum Service Fee”) to Party A on quarterly basis. Party A may revise at any time the standards of consulting and services fee based on the amount and composition of the consulting and services fee payable by Party B.</w:t>
      </w:r>
    </w:p>
    <w:p>
      <w:pPr>
        <w:spacing w:after="0" w:line="187" w:lineRule="exact"/>
        <w:rPr>
          <w:sz w:val="20"/>
          <w:szCs w:val="20"/>
          <w:color w:val="auto"/>
        </w:rPr>
      </w:pPr>
    </w:p>
    <w:p>
      <w:pPr>
        <w:ind w:left="10" w:right="580"/>
        <w:spacing w:after="0" w:line="270" w:lineRule="auto"/>
        <w:rPr>
          <w:sz w:val="20"/>
          <w:szCs w:val="20"/>
          <w:color w:val="auto"/>
        </w:rPr>
      </w:pPr>
      <w:r>
        <w:rPr>
          <w:rFonts w:ascii="Times New Roman" w:cs="Times New Roman" w:eastAsia="Times New Roman" w:hAnsi="Times New Roman"/>
          <w:sz w:val="18"/>
          <w:szCs w:val="18"/>
          <w:color w:val="auto"/>
        </w:rPr>
        <w:t>The Quarterly Minimum Service Fee is subject to approval from Party A’s board of directors, and will be reviewed and revised no less than once yearly. Any revision and change of Quarterly Minimum Service Fee is subject to approval from Party A’s board of directors.</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70"/>
          </w:cols>
          <w:pgMar w:left="550" w:top="264" w:right="579" w:bottom="1440" w:gutter="0" w:footer="0" w:header="0"/>
        </w:sectPr>
      </w:pPr>
    </w:p>
    <w:bookmarkStart w:id="487" w:name="page488"/>
    <w:bookmarkEnd w:id="4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exclusive technology consulting and service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Calculation and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Payment of</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Technology</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2960" w:type="dxa"/>
            <w:vAlign w:val="bottom"/>
            <w:vMerge w:val="restart"/>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200" w:type="dxa"/>
            <w:vAlign w:val="bottom"/>
          </w:tcPr>
          <w:p>
            <w:pPr>
              <w:spacing w:after="0"/>
              <w:rPr>
                <w:sz w:val="12"/>
                <w:szCs w:val="12"/>
                <w:color w:val="auto"/>
              </w:rPr>
            </w:pPr>
          </w:p>
        </w:tc>
        <w:tc>
          <w:tcPr>
            <w:tcW w:w="30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Consulting and</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170"/>
        </w:trPr>
        <w:tc>
          <w:tcPr>
            <w:tcW w:w="3460" w:type="dxa"/>
            <w:vAlign w:val="bottom"/>
            <w:gridSpan w:val="2"/>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Services Fee</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60" w:type="dxa"/>
            <w:vAlign w:val="bottom"/>
            <w:gridSpan w:val="2"/>
          </w:tcPr>
          <w:p>
            <w:pPr>
              <w:spacing w:after="0" w:line="166" w:lineRule="exact"/>
              <w:rPr>
                <w:sz w:val="20"/>
                <w:szCs w:val="20"/>
                <w:color w:val="auto"/>
              </w:rPr>
            </w:pPr>
            <w:r>
              <w:rPr>
                <w:rFonts w:ascii="Times New Roman" w:cs="Times New Roman" w:eastAsia="Times New Roman" w:hAnsi="Times New Roman"/>
                <w:sz w:val="18"/>
                <w:szCs w:val="18"/>
                <w:color w:val="auto"/>
              </w:rPr>
              <w:t>Jiangsu Jingdong Bangneng Investment</w:t>
            </w:r>
          </w:p>
        </w:tc>
        <w:tc>
          <w:tcPr>
            <w:tcW w:w="296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Party A: Shanghai Shengdayuan</w:t>
            </w:r>
          </w:p>
        </w:tc>
        <w:tc>
          <w:tcPr>
            <w:tcW w:w="200" w:type="dxa"/>
            <w:vAlign w:val="bottom"/>
            <w:vMerge w:val="continue"/>
          </w:tcPr>
          <w:p>
            <w:pPr>
              <w:spacing w:after="0"/>
              <w:rPr>
                <w:sz w:val="14"/>
                <w:szCs w:val="14"/>
                <w:color w:val="auto"/>
              </w:rPr>
            </w:pPr>
          </w:p>
        </w:tc>
        <w:tc>
          <w:tcPr>
            <w:tcW w:w="2960" w:type="dxa"/>
            <w:vAlign w:val="bottom"/>
          </w:tcPr>
          <w:p>
            <w:pPr>
              <w:spacing w:after="0" w:line="166" w:lineRule="exact"/>
              <w:rPr>
                <w:sz w:val="20"/>
                <w:szCs w:val="20"/>
                <w:color w:val="auto"/>
              </w:rPr>
            </w:pPr>
            <w:r>
              <w:rPr>
                <w:rFonts w:ascii="Times New Roman" w:cs="Times New Roman" w:eastAsia="Times New Roman" w:hAnsi="Times New Roman"/>
                <w:sz w:val="18"/>
                <w:szCs w:val="18"/>
                <w:color w:val="auto"/>
              </w:rPr>
              <w:t>Same as this exhibit</w:t>
            </w:r>
          </w:p>
        </w:tc>
        <w:tc>
          <w:tcPr>
            <w:tcW w:w="100" w:type="dxa"/>
            <w:vAlign w:val="bottom"/>
            <w:vMerge w:val="continue"/>
          </w:tcPr>
          <w:p>
            <w:pPr>
              <w:spacing w:after="0"/>
              <w:rPr>
                <w:sz w:val="14"/>
                <w:szCs w:val="14"/>
                <w:color w:val="auto"/>
              </w:rPr>
            </w:pPr>
          </w:p>
        </w:tc>
        <w:tc>
          <w:tcPr>
            <w:tcW w:w="1100" w:type="dxa"/>
            <w:vAlign w:val="bottom"/>
          </w:tcPr>
          <w:p>
            <w:pPr>
              <w:jc w:val="center"/>
              <w:spacing w:after="0" w:line="166" w:lineRule="exact"/>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42"/>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Co., Ltd.</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Co., Ltd.</w:t>
            </w:r>
          </w:p>
        </w:tc>
        <w:tc>
          <w:tcPr>
            <w:tcW w:w="2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B: Jiangsu Jingdong Bangneng</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Management 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Jingdong Cai’ao E-commercial Co.,</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w w:val="98"/>
              </w:rPr>
              <w:t>Party A: Beijing Jingdong Century Trade</w:t>
            </w:r>
          </w:p>
        </w:tc>
        <w:tc>
          <w:tcPr>
            <w:tcW w:w="3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Same as this 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w:t>
            </w:r>
          </w:p>
        </w:tc>
        <w:tc>
          <w:tcPr>
            <w:tcW w:w="0" w:type="dxa"/>
            <w:vAlign w:val="bottom"/>
          </w:tcPr>
          <w:p>
            <w:pPr>
              <w:spacing w:after="0"/>
              <w:rPr>
                <w:sz w:val="1"/>
                <w:szCs w:val="1"/>
                <w:color w:val="auto"/>
              </w:rPr>
            </w:pPr>
          </w:p>
        </w:tc>
      </w:tr>
      <w:tr>
        <w:trPr>
          <w:trHeight w:val="22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Ltd.</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2026</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B: Shanghai Jingdong Cai’ao</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Ecommercial 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Guanyinghou Media Technology</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A: Suqian Daxi Information</w:t>
            </w:r>
          </w:p>
        </w:tc>
        <w:tc>
          <w:tcPr>
            <w:tcW w:w="3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Same as this 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December 11,</w:t>
            </w:r>
          </w:p>
        </w:tc>
        <w:tc>
          <w:tcPr>
            <w:tcW w:w="0" w:type="dxa"/>
            <w:vAlign w:val="bottom"/>
          </w:tcPr>
          <w:p>
            <w:pPr>
              <w:spacing w:after="0"/>
              <w:rPr>
                <w:sz w:val="1"/>
                <w:szCs w:val="1"/>
                <w:color w:val="auto"/>
              </w:rPr>
            </w:pPr>
          </w:p>
        </w:tc>
      </w:tr>
      <w:tr>
        <w:trPr>
          <w:trHeight w:val="22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Ltd.</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B: Suzhou Guanyinghou Media</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JPT E-Commerce Co., Ltd.</w:t>
            </w: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A: Beijing QGX Information</w:t>
            </w:r>
          </w:p>
        </w:tc>
        <w:tc>
          <w:tcPr>
            <w:tcW w:w="3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Same as this 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16,</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313"/>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Party B: Beijing JPT E-Commerce</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Co., Ltd.</w:t>
            </w:r>
          </w:p>
        </w:tc>
        <w:tc>
          <w:tcPr>
            <w:tcW w:w="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2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560" w:top="264" w:right="559" w:bottom="1440" w:gutter="0" w:footer="0" w:header="0"/>
        </w:sectPr>
      </w:pPr>
    </w:p>
    <w:bookmarkStart w:id="488" w:name="page489"/>
    <w:bookmarkEnd w:id="4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2">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Suqian Jiantong Enterprise Management Co.,</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Suqian Daxi Information</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 as this exhibit</w:t>
            </w: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6"/>
              </w:rPr>
              <w:t>April 18, 2019</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Co., 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4"/>
                <w:szCs w:val="24"/>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Suqian Jiantong Enterprise</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Co., 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Suqian Yueyang Information Technology Co.,</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Shanghai Shengdayuan</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 as this exhibit</w:t>
            </w: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January 1,</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Technology Co., Ltd.</w:t>
            </w:r>
          </w:p>
        </w:tc>
        <w:tc>
          <w:tcPr>
            <w:tcW w:w="2920" w:type="dxa"/>
            <w:vAlign w:val="bottom"/>
          </w:tcPr>
          <w:p>
            <w:pPr>
              <w:spacing w:after="0"/>
              <w:rPr>
                <w:sz w:val="19"/>
                <w:szCs w:val="19"/>
                <w:color w:val="auto"/>
              </w:rPr>
            </w:pP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4"/>
              </w:rPr>
              <w:t>2023</w:t>
            </w: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4"/>
                <w:szCs w:val="24"/>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Suqian Yueyang Information</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Co., 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Jiangsu Jucheng Space Technology Co., 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Suqiang Jingdong Baoying</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 as this exhibit</w:t>
            </w: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March 26,</w:t>
            </w:r>
          </w:p>
        </w:tc>
        <w:tc>
          <w:tcPr>
            <w:tcW w:w="0" w:type="dxa"/>
            <w:vAlign w:val="bottom"/>
          </w:tcPr>
          <w:p>
            <w:pPr>
              <w:spacing w:after="0"/>
              <w:rPr>
                <w:sz w:val="1"/>
                <w:szCs w:val="1"/>
                <w:color w:val="auto"/>
              </w:rPr>
            </w:pPr>
          </w:p>
        </w:tc>
      </w:tr>
      <w:tr>
        <w:trPr>
          <w:trHeight w:val="229"/>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Note: the name of the agreement is</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Technology Co., Ltd.</w:t>
            </w:r>
          </w:p>
        </w:tc>
        <w:tc>
          <w:tcPr>
            <w:tcW w:w="2920" w:type="dxa"/>
            <w:vAlign w:val="bottom"/>
          </w:tcPr>
          <w:p>
            <w:pPr>
              <w:spacing w:after="0"/>
              <w:rPr>
                <w:sz w:val="19"/>
                <w:szCs w:val="19"/>
                <w:color w:val="auto"/>
              </w:rPr>
            </w:pP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4"/>
              </w:rPr>
              <w:t>2026</w:t>
            </w:r>
          </w:p>
        </w:tc>
        <w:tc>
          <w:tcPr>
            <w:tcW w:w="0" w:type="dxa"/>
            <w:vAlign w:val="bottom"/>
          </w:tcPr>
          <w:p>
            <w:pPr>
              <w:spacing w:after="0"/>
              <w:rPr>
                <w:sz w:val="1"/>
                <w:szCs w:val="1"/>
                <w:color w:val="auto"/>
              </w:rPr>
            </w:pPr>
          </w:p>
        </w:tc>
      </w:tr>
      <w:tr>
        <w:trPr>
          <w:trHeight w:val="99"/>
        </w:trPr>
        <w:tc>
          <w:tcPr>
            <w:tcW w:w="3360" w:type="dxa"/>
            <w:vAlign w:val="bottom"/>
            <w:vMerge w:val="continue"/>
          </w:tcPr>
          <w:p>
            <w:pPr>
              <w:spacing w:after="0"/>
              <w:rPr>
                <w:sz w:val="8"/>
                <w:szCs w:val="8"/>
                <w:color w:val="auto"/>
              </w:rPr>
            </w:pPr>
          </w:p>
        </w:tc>
        <w:tc>
          <w:tcPr>
            <w:tcW w:w="31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Jiangsu Jucheng Space</w:t>
            </w:r>
          </w:p>
        </w:tc>
        <w:tc>
          <w:tcPr>
            <w:tcW w:w="2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 Co., Ltd.</w:t>
            </w:r>
          </w:p>
        </w:tc>
        <w:tc>
          <w:tcPr>
            <w:tcW w:w="2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Suqian Hanyu Technology Co., 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Jiangsu Huiji Space Technology</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Same as this exhibit</w:t>
            </w: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9"/>
              </w:rPr>
              <w:t>March 20,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 Ltd.</w:t>
            </w:r>
          </w:p>
        </w:tc>
        <w:tc>
          <w:tcPr>
            <w:tcW w:w="2920" w:type="dxa"/>
            <w:vAlign w:val="bottom"/>
          </w:tcPr>
          <w:p>
            <w:pPr>
              <w:spacing w:after="0"/>
              <w:rPr>
                <w:sz w:val="19"/>
                <w:szCs w:val="19"/>
                <w:color w:val="auto"/>
              </w:rPr>
            </w:pP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4"/>
              </w:rPr>
              <w:t>2026</w:t>
            </w: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4"/>
                <w:szCs w:val="24"/>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Suqian Hanyu Technology Co.,</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Beijing Epochal Capital Selection Network</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Jiangsu Rival Brand</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Substantially similar as this exhibit.</w:t>
            </w:r>
          </w:p>
        </w:tc>
        <w:tc>
          <w:tcPr>
            <w:tcW w:w="13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6"/>
              </w:rPr>
              <w:t>April 20, 2023</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Co., 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 the name of the agreement is</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Beijing Epochal Capital</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Selection Network Technology Co., Ltd.</w:t>
            </w:r>
          </w:p>
        </w:tc>
        <w:tc>
          <w:tcPr>
            <w:tcW w:w="2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Beijing M&amp;W Intelligent Mobility</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A: Beijing FarHorizon Excellence</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Substantially similar as this exhibit</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July 9, 2025</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Technology Co., Ltd.</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Living Co., Ltd.</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Note: the name of the agreement is</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Party B: Beijing M&amp;W Intelligent</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“Exclusive Business Cooperation</w:t>
            </w:r>
          </w:p>
        </w:tc>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Mobility Technology Co., Ltd.</w:t>
            </w:r>
          </w:p>
        </w:tc>
        <w:tc>
          <w:tcPr>
            <w:tcW w:w="2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Agreement”</w:t>
            </w:r>
          </w:p>
        </w:tc>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3360" w:type="dxa"/>
            <w:vAlign w:val="bottom"/>
          </w:tcPr>
          <w:p>
            <w:pPr>
              <w:spacing w:after="0"/>
              <w:rPr>
                <w:sz w:val="24"/>
                <w:szCs w:val="24"/>
                <w:color w:val="auto"/>
              </w:rPr>
            </w:pPr>
          </w:p>
        </w:tc>
        <w:tc>
          <w:tcPr>
            <w:tcW w:w="31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11</w:t>
            </w:r>
          </w:p>
        </w:tc>
        <w:tc>
          <w:tcPr>
            <w:tcW w:w="2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560" w:top="266" w:right="599" w:bottom="1440" w:gutter="0" w:footer="0" w:header="0"/>
        </w:sectPr>
      </w:pPr>
    </w:p>
    <w:bookmarkStart w:id="489" w:name="page490"/>
    <w:bookmarkEnd w:id="489"/>
    <w:p>
      <w:pPr>
        <w:jc w:val="right"/>
        <w:spacing w:after="0"/>
        <w:rPr>
          <w:sz w:val="20"/>
          <w:szCs w:val="20"/>
          <w:color w:val="auto"/>
        </w:rPr>
      </w:pPr>
      <w:r>
        <w:rPr>
          <w:rFonts w:ascii="Times New Roman" w:cs="Times New Roman" w:eastAsia="Times New Roman" w:hAnsi="Times New Roman"/>
          <w:sz w:val="18"/>
          <w:szCs w:val="18"/>
          <w:b w:val="1"/>
          <w:bCs w:val="1"/>
          <w:color w:val="auto"/>
        </w:rPr>
        <w:t>Exhibit 4.25</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Business Operations Agreement</w:t>
      </w:r>
    </w:p>
    <w:p>
      <w:pPr>
        <w:spacing w:after="0" w:line="216" w:lineRule="exact"/>
        <w:rPr>
          <w:sz w:val="20"/>
          <w:szCs w:val="20"/>
          <w:color w:val="auto"/>
        </w:rPr>
      </w:pPr>
    </w:p>
    <w:p>
      <w:pPr>
        <w:ind w:left="10" w:right="240"/>
        <w:spacing w:after="0" w:line="273" w:lineRule="auto"/>
        <w:rPr>
          <w:sz w:val="20"/>
          <w:szCs w:val="20"/>
          <w:color w:val="auto"/>
        </w:rPr>
      </w:pPr>
      <w:r>
        <w:rPr>
          <w:rFonts w:ascii="Times New Roman" w:cs="Times New Roman" w:eastAsia="Times New Roman" w:hAnsi="Times New Roman"/>
          <w:sz w:val="18"/>
          <w:szCs w:val="18"/>
          <w:color w:val="auto"/>
        </w:rPr>
        <w:t>This Business Operations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October 17, 2022, in Beijing, the People’s Republic of 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w:t>
      </w:r>
    </w:p>
    <w:p>
      <w:pPr>
        <w:spacing w:after="0" w:line="164" w:lineRule="exact"/>
        <w:rPr>
          <w:sz w:val="20"/>
          <w:szCs w:val="20"/>
          <w:color w:val="auto"/>
        </w:rPr>
      </w:pPr>
    </w:p>
    <w:p>
      <w:pPr>
        <w:ind w:left="10" w:right="300"/>
        <w:spacing w:after="0" w:line="273" w:lineRule="auto"/>
        <w:rPr>
          <w:sz w:val="20"/>
          <w:szCs w:val="20"/>
          <w:color w:val="auto"/>
        </w:rPr>
      </w:pPr>
      <w:r>
        <w:rPr>
          <w:rFonts w:ascii="Times New Roman" w:cs="Times New Roman" w:eastAsia="Times New Roman" w:hAnsi="Times New Roman"/>
          <w:sz w:val="18"/>
          <w:szCs w:val="18"/>
          <w:b w:val="1"/>
          <w:bCs w:val="1"/>
          <w:color w:val="auto"/>
        </w:rPr>
        <w:t>Beijing Jingdong Century Trade Co., Ltd.</w:t>
      </w:r>
      <w:r>
        <w:rPr>
          <w:rFonts w:ascii="Times New Roman" w:cs="Times New Roman" w:eastAsia="Times New Roman" w:hAnsi="Times New Roman"/>
          <w:sz w:val="18"/>
          <w:szCs w:val="18"/>
          <w:color w:val="auto"/>
        </w:rPr>
        <w:t>, with registered address at Room 201, 2/F, Tower C, No. 18 Kechuang 11 Street, Beijing Economic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Technological Development Zone, Beijing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10" w:right="500"/>
        <w:spacing w:after="0" w:line="273" w:lineRule="auto"/>
        <w:rPr>
          <w:sz w:val="20"/>
          <w:szCs w:val="20"/>
          <w:color w:val="auto"/>
        </w:rPr>
      </w:pPr>
      <w:r>
        <w:rPr>
          <w:rFonts w:ascii="Times New Roman" w:cs="Times New Roman" w:eastAsia="Times New Roman" w:hAnsi="Times New Roman"/>
          <w:sz w:val="18"/>
          <w:szCs w:val="18"/>
          <w:b w:val="1"/>
          <w:bCs w:val="1"/>
          <w:color w:val="auto"/>
        </w:rPr>
        <w:t>Beijing Jiasheng Investment Management Co., Ltd.</w:t>
      </w:r>
      <w:r>
        <w:rPr>
          <w:rFonts w:ascii="Times New Roman" w:cs="Times New Roman" w:eastAsia="Times New Roman" w:hAnsi="Times New Roman"/>
          <w:sz w:val="18"/>
          <w:szCs w:val="18"/>
          <w:color w:val="auto"/>
        </w:rPr>
        <w:t>, with registered address at Room 706, 7/F, Building 1, No. 18 Kechuang 11 Street, Beijing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and Technological Development Zone, Beijing (“</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Qin Miao</w:t>
      </w:r>
      <w:r>
        <w:rPr>
          <w:rFonts w:ascii="Times New Roman" w:cs="Times New Roman" w:eastAsia="Times New Roman" w:hAnsi="Times New Roman"/>
          <w:sz w:val="18"/>
          <w:szCs w:val="18"/>
          <w:color w:val="auto"/>
        </w:rPr>
        <w:t>, with PRC identification number of ***;</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Yayun Li</w:t>
      </w:r>
      <w:r>
        <w:rPr>
          <w:rFonts w:ascii="Times New Roman" w:cs="Times New Roman" w:eastAsia="Times New Roman" w:hAnsi="Times New Roman"/>
          <w:sz w:val="18"/>
          <w:szCs w:val="18"/>
          <w:color w:val="auto"/>
        </w:rPr>
        <w:t>, with PRC identification number of ***; and</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Pang Zhang</w:t>
      </w:r>
      <w:r>
        <w:rPr>
          <w:rFonts w:ascii="Times New Roman" w:cs="Times New Roman" w:eastAsia="Times New Roman" w:hAnsi="Times New Roman"/>
          <w:sz w:val="18"/>
          <w:szCs w:val="18"/>
          <w:color w:val="auto"/>
        </w:rPr>
        <w:t>, with PRC identification number of ***</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(Qin Miao, Yayun Li and Pang Zhang collectively, “</w:t>
      </w:r>
      <w:r>
        <w:rPr>
          <w:rFonts w:ascii="Times New Roman" w:cs="Times New Roman" w:eastAsia="Times New Roman" w:hAnsi="Times New Roman"/>
          <w:sz w:val="18"/>
          <w:szCs w:val="18"/>
          <w:b w:val="1"/>
          <w:bCs w:val="1"/>
          <w:color w:val="auto"/>
        </w:rPr>
        <w:t>Party C</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(Party A, Party B and Party C Individually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u w:val="single" w:color="auto"/>
          <w:color w:val="auto"/>
        </w:rPr>
        <w:t>WHEREAS</w:t>
      </w:r>
      <w:r>
        <w:rPr>
          <w:rFonts w:ascii="Times New Roman" w:cs="Times New Roman" w:eastAsia="Times New Roman" w:hAnsi="Times New Roman"/>
          <w:sz w:val="18"/>
          <w:szCs w:val="18"/>
          <w:b w:val="1"/>
          <w:bCs w:val="1"/>
          <w:color w:val="auto"/>
        </w:rPr>
        <w:t>:</w:t>
      </w:r>
    </w:p>
    <w:p>
      <w:pPr>
        <w:spacing w:after="0" w:line="126" w:lineRule="exact"/>
        <w:rPr>
          <w:sz w:val="20"/>
          <w:szCs w:val="20"/>
          <w:color w:val="auto"/>
        </w:rPr>
      </w:pPr>
    </w:p>
    <w:p>
      <w:pPr>
        <w:ind w:left="10" w:right="2960" w:hanging="10"/>
        <w:spacing w:after="0" w:line="383" w:lineRule="auto"/>
        <w:tabs>
          <w:tab w:leader="none" w:pos="433"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wholly foreign-owned enterprise duly incorporated and validly existing under the PRC laws; B Party B is a limited liability company duly incorporated and validly existing under the PRC laws;</w:t>
      </w:r>
    </w:p>
    <w:p>
      <w:pPr>
        <w:ind w:left="430" w:right="80" w:hanging="430"/>
        <w:spacing w:after="0" w:line="258" w:lineRule="auto"/>
        <w:tabs>
          <w:tab w:leader="none" w:pos="43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relationship has been established between Party A and Party B by entering into an Exclusive Consulting and Services Agreement, whereby Party B is required to make all payments to Party A thereunder. Therefore, the daily operations of Party B will have a material impact on its ability to pay the payables to Party A; and</w:t>
      </w:r>
    </w:p>
    <w:p>
      <w:pPr>
        <w:spacing w:after="0" w:line="86" w:lineRule="exact"/>
        <w:rPr>
          <w:sz w:val="20"/>
          <w:szCs w:val="20"/>
          <w:color w:val="auto"/>
        </w:rPr>
      </w:pPr>
    </w:p>
    <w:p>
      <w:pPr>
        <w:ind w:left="430" w:hanging="430"/>
        <w:spacing w:after="0"/>
        <w:tabs>
          <w:tab w:leader="none" w:pos="43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shareholders of Party B whose 45%, 30% and 25% equity interests are respectively owned by Qin Miao, Yayun Li and Pang Zhang.</w:t>
      </w:r>
    </w:p>
    <w:p>
      <w:pPr>
        <w:sectPr>
          <w:pgSz w:w="11900" w:h="16838" w:orient="portrait"/>
          <w:cols w:equalWidth="0" w:num="1">
            <w:col w:w="10790"/>
          </w:cols>
          <w:pgMar w:left="550" w:top="118" w:right="559" w:bottom="1440" w:gutter="0" w:footer="0" w:header="0"/>
        </w:sectPr>
      </w:pPr>
    </w:p>
    <w:bookmarkStart w:id="490" w:name="page491"/>
    <w:bookmarkEnd w:id="490"/>
    <w:p>
      <w:pPr>
        <w:ind w:left="10"/>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NOW, THEREFORE, the Parties hereby agree and intend to be legally bound as follows through friendly negotiations and in the principles of equity and mutual benefit:</w:t>
      </w:r>
    </w:p>
    <w:p>
      <w:pPr>
        <w:spacing w:after="0" w:line="312" w:lineRule="exact"/>
        <w:rPr>
          <w:sz w:val="20"/>
          <w:szCs w:val="20"/>
          <w:color w:val="auto"/>
        </w:rPr>
      </w:pPr>
    </w:p>
    <w:p>
      <w:pPr>
        <w:ind w:left="430" w:hanging="430"/>
        <w:spacing w:after="0"/>
        <w:tabs>
          <w:tab w:leader="none" w:pos="43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Negative Undertakings</w:t>
      </w:r>
    </w:p>
    <w:p>
      <w:pPr>
        <w:spacing w:after="0" w:line="112" w:lineRule="exact"/>
        <w:rPr>
          <w:rFonts w:ascii="Times New Roman" w:cs="Times New Roman" w:eastAsia="Times New Roman" w:hAnsi="Times New Roman"/>
          <w:sz w:val="18"/>
          <w:szCs w:val="18"/>
          <w:b w:val="1"/>
          <w:bCs w:val="1"/>
          <w:color w:val="auto"/>
        </w:rPr>
      </w:pPr>
    </w:p>
    <w:p>
      <w:pPr>
        <w:ind w:left="43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ensure Party B’s performance of the agreements between Party A and Party B and all its obligations owed to Party A, Party B and Party C hereby confirm and agree that unless with prior written consent from Party A or a third party appointed by Party A, Party B shall not conduct any transaction which may materially affect any of its assets, businesses, employees, duties, rights or operations, including but not limited to the following:</w:t>
      </w:r>
    </w:p>
    <w:p>
      <w:pPr>
        <w:spacing w:after="0" w:line="9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to conduct any business that is beyond the normal business scope or in a manner inconsistent with past practices;</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7"/>
          <w:szCs w:val="17"/>
          <w:color w:val="auto"/>
        </w:rPr>
        <w:t>to borrow money or incur any debt from any third party;</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7"/>
          <w:szCs w:val="17"/>
          <w:color w:val="auto"/>
        </w:rPr>
        <w:t>to change or dismiss any director or to dismiss and replace any senior management member;</w:t>
      </w:r>
    </w:p>
    <w:p>
      <w:pPr>
        <w:spacing w:after="0" w:line="123" w:lineRule="exact"/>
        <w:rPr>
          <w:rFonts w:ascii="Times New Roman" w:cs="Times New Roman" w:eastAsia="Times New Roman" w:hAnsi="Times New Roman"/>
          <w:sz w:val="18"/>
          <w:szCs w:val="18"/>
          <w:b w:val="1"/>
          <w:bCs w:val="1"/>
          <w:color w:val="auto"/>
        </w:rPr>
      </w:pPr>
    </w:p>
    <w:p>
      <w:pPr>
        <w:ind w:left="1050" w:right="6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1.4to sell to or acquire from any third party, or otherwise dispose any of its material assets or rights, including but not limited to any intellectual property rights;</w:t>
      </w:r>
    </w:p>
    <w:p>
      <w:pPr>
        <w:spacing w:after="0" w:line="76"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7"/>
          <w:szCs w:val="17"/>
          <w:color w:val="auto"/>
        </w:rPr>
        <w:t>to provide guarantee in favor of any third party or impose any encumbrance upon any of its assets (including intellectual property rights);</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7"/>
          <w:szCs w:val="17"/>
          <w:color w:val="auto"/>
        </w:rPr>
        <w:t>to amend its articles of association or change its scope of business;</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7"/>
          <w:szCs w:val="17"/>
          <w:color w:val="auto"/>
        </w:rPr>
        <w:t>to change its ordinary course of business or modify any material internal bylaws or systems;</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7"/>
          <w:szCs w:val="17"/>
          <w:color w:val="auto"/>
        </w:rPr>
        <w:t>to assign any of the rights or obligations under this Agreement to any third party;</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7"/>
          <w:szCs w:val="17"/>
          <w:color w:val="auto"/>
        </w:rPr>
        <w:t>to make significant adjustment to any of its business operations, marketing strategies, operation policies or client relations; and</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17"/>
          <w:szCs w:val="17"/>
          <w:color w:val="auto"/>
        </w:rPr>
        <w:t>to make any form of distribution of dividend or bonus.</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Operational and Human Resource Management</w:t>
      </w:r>
    </w:p>
    <w:p>
      <w:pPr>
        <w:spacing w:after="0" w:line="125" w:lineRule="exact"/>
        <w:rPr>
          <w:rFonts w:ascii="Times New Roman" w:cs="Times New Roman" w:eastAsia="Times New Roman" w:hAnsi="Times New Roman"/>
          <w:sz w:val="18"/>
          <w:szCs w:val="18"/>
          <w:b w:val="1"/>
          <w:bCs w:val="1"/>
          <w:color w:val="auto"/>
        </w:rPr>
      </w:pPr>
    </w:p>
    <w:p>
      <w:pPr>
        <w:ind w:left="1050" w:right="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2.1Party B and Party C hereby agree to accept and strictly perform the comments and instructions from Party A from time to time regarding employment and dismissal of its employees, the daily business management and financial management.</w:t>
      </w:r>
    </w:p>
    <w:p>
      <w:pPr>
        <w:spacing w:after="0" w:line="76" w:lineRule="exact"/>
        <w:rPr>
          <w:rFonts w:ascii="Times New Roman" w:cs="Times New Roman" w:eastAsia="Times New Roman" w:hAnsi="Times New Roman"/>
          <w:sz w:val="18"/>
          <w:szCs w:val="18"/>
          <w:b w:val="1"/>
          <w:bCs w:val="1"/>
          <w:color w:val="auto"/>
        </w:rPr>
      </w:pPr>
    </w:p>
    <w:p>
      <w:pPr>
        <w:jc w:val="both"/>
        <w:ind w:left="1050" w:right="200" w:hanging="634"/>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7"/>
          <w:szCs w:val="17"/>
          <w:color w:val="auto"/>
        </w:rPr>
        <w:t>Party B and Party C hereby jointly and severally agree that Party C shall appoint the person elected in accordance with the procedures required by applicable laws and regulations and the articles of association of Party B or designated by Party A as director (or managing director) or supervisor of Party B, and cause such director to elect the person recommended by Party A as the chairman of the board (if any), and appoint the persons designated by Party A as Party B’s General Manager, Chief Financial Officer, and other officers.</w:t>
      </w:r>
    </w:p>
    <w:p>
      <w:pPr>
        <w:spacing w:after="0" w:line="1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90"/>
          </w:cols>
          <w:pgMar w:left="550" w:top="266" w:right="559" w:bottom="1440" w:gutter="0" w:footer="0" w:header="0"/>
        </w:sectPr>
      </w:pPr>
    </w:p>
    <w:bookmarkStart w:id="491" w:name="page492"/>
    <w:bookmarkEnd w:id="491"/>
    <w:p>
      <w:pPr>
        <w:jc w:val="both"/>
        <w:ind w:left="1050" w:right="32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68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4">
                      <a:extLst>
                        <a:ext uri="{28A0092B-C50C-407E-A947-70E740481C1C}"/>
                      </a:extLst>
                    </a:blip>
                    <a:srcRect/>
                    <a:stretch>
                      <a:fillRect/>
                    </a:stretch>
                  </pic:blipFill>
                  <pic:spPr bwMode="auto">
                    <a:xfrm>
                      <a:off x="0" y="0"/>
                      <a:ext cx="7177405" cy="36830"/>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8"/>
          <w:szCs w:val="18"/>
          <w:color w:val="auto"/>
        </w:rPr>
        <w:t>If any of the above directors or officers resigns or is dismissed by Party A, he or she will lose the qualification to hold any position in Party B and, under such circumstance, Party C shall remove such person from his or her position in Party B and immediately elect or appoint any other candidate designated by Party A to assume such position.</w:t>
      </w:r>
    </w:p>
    <w:p>
      <w:pPr>
        <w:spacing w:after="0" w:line="86" w:lineRule="exact"/>
        <w:rPr>
          <w:sz w:val="20"/>
          <w:szCs w:val="20"/>
          <w:color w:val="auto"/>
        </w:rPr>
      </w:pPr>
    </w:p>
    <w:p>
      <w:pPr>
        <w:ind w:left="1050" w:right="70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For the purpose of Section 2.3, Party C shall effect all internal or external procedures necessary to accomplish the dismissal and appointment in accordance with relevant laws and regulations, the articles of association of Party B and this Agreement.</w:t>
      </w:r>
    </w:p>
    <w:p>
      <w:pPr>
        <w:spacing w:after="0" w:line="76" w:lineRule="exact"/>
        <w:rPr>
          <w:sz w:val="20"/>
          <w:szCs w:val="20"/>
          <w:color w:val="auto"/>
        </w:rPr>
      </w:pPr>
    </w:p>
    <w:p>
      <w:pPr>
        <w:ind w:left="1050" w:right="20" w:hanging="633"/>
        <w:spacing w:after="0" w:line="250" w:lineRule="auto"/>
        <w:tabs>
          <w:tab w:leader="none" w:pos="1029"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Party C hereby agree to, upon execution of this Agreement, simultaneously sign a Power of Attorney whereby Party C shall authorize irrevocably any individual appointed by Party A to exercise shareholders’ rights, including the full voting right of a shareholder at Party B’s shareholders’ meetings. Party C further agrees to replace the authorized person appointed according to the above mentioned power of attorney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at any time pursuant to the requirements of Party A by revoking its authorization to the Trustee and granting the same authorization to such other person designated by Party A by execution of a power of attorney in the form and substance similar to that contemplated in the preceding sentence with immediate effect.</w:t>
      </w:r>
    </w:p>
    <w:p>
      <w:pPr>
        <w:spacing w:after="0" w:line="330" w:lineRule="exact"/>
        <w:rPr>
          <w:sz w:val="20"/>
          <w:szCs w:val="20"/>
          <w:color w:val="auto"/>
        </w:rPr>
      </w:pPr>
    </w:p>
    <w:p>
      <w:pPr>
        <w:ind w:left="430" w:hanging="430"/>
        <w:spacing w:after="0"/>
        <w:tabs>
          <w:tab w:leader="none" w:pos="43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Information</w:t>
      </w:r>
    </w:p>
    <w:p>
      <w:pPr>
        <w:spacing w:after="0" w:line="112" w:lineRule="exact"/>
        <w:rPr>
          <w:rFonts w:ascii="Times New Roman" w:cs="Times New Roman" w:eastAsia="Times New Roman" w:hAnsi="Times New Roman"/>
          <w:sz w:val="18"/>
          <w:szCs w:val="18"/>
          <w:b w:val="1"/>
          <w:bCs w:val="1"/>
          <w:color w:val="auto"/>
        </w:rPr>
      </w:pPr>
    </w:p>
    <w:p>
      <w:pPr>
        <w:ind w:left="43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be provided with any information regarding operations, clients, financial conditions and employees of Party B and have access to relevant materials of Party B in connection with exercising any of the rights authorized to it. The right of information provided in this Section 3 shall be the same with the right to access Party B’s information by any of its shareholders, and will be exercised with sufficient facility from Party B without any interference.</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112" w:lineRule="exact"/>
        <w:rPr>
          <w:rFonts w:ascii="Times New Roman" w:cs="Times New Roman" w:eastAsia="Times New Roman" w:hAnsi="Times New Roman"/>
          <w:sz w:val="18"/>
          <w:szCs w:val="18"/>
          <w:b w:val="1"/>
          <w:bCs w:val="1"/>
          <w:color w:val="auto"/>
        </w:rPr>
      </w:pPr>
    </w:p>
    <w:p>
      <w:pPr>
        <w:ind w:left="430" w:right="4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agreed by the Parties that unless caused by the material neglect or willful misconduct of Party A, Party A will not be held liable for any indemnity by any other Party or any third Party due to the Trustee’s exercise of any of its rights.</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by Party C</w:t>
      </w:r>
    </w:p>
    <w:p>
      <w:pPr>
        <w:spacing w:after="0" w:line="125" w:lineRule="exact"/>
        <w:rPr>
          <w:rFonts w:ascii="Times New Roman" w:cs="Times New Roman" w:eastAsia="Times New Roman" w:hAnsi="Times New Roman"/>
          <w:sz w:val="18"/>
          <w:szCs w:val="18"/>
          <w:b w:val="1"/>
          <w:bCs w:val="1"/>
          <w:color w:val="auto"/>
        </w:rPr>
      </w:pPr>
    </w:p>
    <w:p>
      <w:pPr>
        <w:ind w:left="1050" w:right="4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5.1Party C, in the capacity of natural person, is Chinese citizens having full civil capabilities to execute, deliver and perform this Agreement and perform its obligations hereunder or, in the capacity of legal person, is a limited liability company duly incorporated and validly existing under the PRC laws, has full and independent capabilities to execute, deliver and perform this Agreement.</w:t>
      </w:r>
    </w:p>
    <w:p>
      <w:pPr>
        <w:spacing w:after="0" w:line="8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Party C has the right to execute, deliver and perform this Agreement without any approval or authorization.</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70"/>
          </w:cols>
          <w:pgMar w:left="550" w:top="265" w:right="579" w:bottom="1440" w:gutter="0" w:footer="0" w:header="0"/>
        </w:sectPr>
      </w:pPr>
    </w:p>
    <w:bookmarkStart w:id="492" w:name="page493"/>
    <w:bookmarkEnd w:id="492"/>
    <w:p>
      <w:pPr>
        <w:ind w:left="1050" w:right="44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18"/>
          <w:szCs w:val="18"/>
          <w:color w:val="auto"/>
        </w:rPr>
        <w:t>None of Party C’s execution and performance of this Agreement is in violation of any of its articles of association, or any laws, regulations, governmental approvals, authorizations, notices or other documents binding upon or having effect upon Party C, or any contracts with or any covenants to any third party by Party C.</w:t>
      </w:r>
    </w:p>
    <w:p>
      <w:pPr>
        <w:spacing w:after="0" w:line="8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Once executed, this Agreement will constitute legal and valid obligations enforceable against Party C.</w:t>
      </w:r>
    </w:p>
    <w:p>
      <w:pPr>
        <w:spacing w:after="0" w:line="124" w:lineRule="exact"/>
        <w:rPr>
          <w:sz w:val="20"/>
          <w:szCs w:val="20"/>
          <w:color w:val="auto"/>
        </w:rPr>
      </w:pPr>
    </w:p>
    <w:p>
      <w:pPr>
        <w:ind w:left="1050" w:right="20" w:hanging="633"/>
        <w:spacing w:after="0" w:line="280" w:lineRule="auto"/>
        <w:tabs>
          <w:tab w:leader="none" w:pos="1029"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Unless otherwise provided under this Agreement or the Equity Pledge Agreement, there is no mortgage, pledge or any other security interest, or restrictive agreement with any third party, or offer to transfer to any third party, or covenant in response to any offer to buy from any third party, or any agreement with any third party to transfer, in each case regarding any of Party B’s equity interests by Party C.</w:t>
      </w:r>
    </w:p>
    <w:p>
      <w:pPr>
        <w:spacing w:after="0" w:line="69" w:lineRule="exact"/>
        <w:rPr>
          <w:sz w:val="20"/>
          <w:szCs w:val="20"/>
          <w:color w:val="auto"/>
        </w:rPr>
      </w:pPr>
    </w:p>
    <w:p>
      <w:pPr>
        <w:ind w:left="105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Party C will be in strict compliance with this Agreement and actively perform its obligations hereunder. Party C will also cause Party B to be in strict compliance with this Agreement and refrain from any action or omission which may affect validity or enforceability of this Agreement.</w:t>
      </w:r>
    </w:p>
    <w:p>
      <w:pPr>
        <w:spacing w:after="0" w:line="322" w:lineRule="exact"/>
        <w:rPr>
          <w:sz w:val="20"/>
          <w:szCs w:val="20"/>
          <w:color w:val="auto"/>
        </w:rPr>
      </w:pPr>
    </w:p>
    <w:p>
      <w:pPr>
        <w:ind w:left="430" w:hanging="430"/>
        <w:spacing w:after="0"/>
        <w:tabs>
          <w:tab w:leader="none" w:pos="43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by Party B</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7"/>
          <w:szCs w:val="17"/>
          <w:color w:val="auto"/>
        </w:rPr>
        <w:t>Party B is a limited liability company duly incorporated and validly existing under the PRC laws.</w:t>
      </w:r>
    </w:p>
    <w:p>
      <w:pPr>
        <w:spacing w:after="0" w:line="12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7"/>
          <w:szCs w:val="17"/>
          <w:color w:val="auto"/>
        </w:rPr>
        <w:t>Party B has received all consents and authorizations necessary and desirable to execute, deliver and perform this Agreement.</w:t>
      </w:r>
    </w:p>
    <w:p>
      <w:pPr>
        <w:spacing w:after="0" w:line="123" w:lineRule="exact"/>
        <w:rPr>
          <w:rFonts w:ascii="Times New Roman" w:cs="Times New Roman" w:eastAsia="Times New Roman" w:hAnsi="Times New Roman"/>
          <w:sz w:val="18"/>
          <w:szCs w:val="18"/>
          <w:b w:val="1"/>
          <w:bCs w:val="1"/>
          <w:color w:val="auto"/>
        </w:rPr>
      </w:pPr>
    </w:p>
    <w:p>
      <w:pPr>
        <w:ind w:left="1050" w:right="5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6.3Party C will be in strict compliance with this Agreement, actively perform its obligations hereunder, and refrain from any action or omission which may affect validity or enforceability of this Agreement.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Liability</w:t>
      </w:r>
    </w:p>
    <w:p>
      <w:pPr>
        <w:spacing w:after="0" w:line="125" w:lineRule="exact"/>
        <w:rPr>
          <w:rFonts w:ascii="Times New Roman" w:cs="Times New Roman" w:eastAsia="Times New Roman" w:hAnsi="Times New Roman"/>
          <w:sz w:val="18"/>
          <w:szCs w:val="18"/>
          <w:b w:val="1"/>
          <w:bCs w:val="1"/>
          <w:color w:val="auto"/>
        </w:rPr>
      </w:pPr>
    </w:p>
    <w:p>
      <w:pPr>
        <w:ind w:left="1050" w:right="3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7.1Subject to provisions under Section 4 of this Agreement, Party B and Party C shall jointly and severally indemnify and hold harmless Party A and any of its shareholders, directors, employees, affiliates, agents, successors and trustees from any claim, harm, expenses, indemnities, liabilities, fines or any other loss or damages arising from:</w:t>
      </w:r>
    </w:p>
    <w:p>
      <w:pPr>
        <w:spacing w:after="0" w:line="8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color w:val="auto"/>
        </w:rPr>
        <w:t>any breach or failure to perform this Agreement by Party C and/or Party B; or</w:t>
      </w:r>
    </w:p>
    <w:p>
      <w:pPr>
        <w:spacing w:after="0" w:line="124"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any material neglect or willful misconduct, or any breach of applicable laws or regulations by Party C and/or Party B.</w:t>
      </w:r>
    </w:p>
    <w:p>
      <w:pPr>
        <w:spacing w:after="0" w:line="124" w:lineRule="exact"/>
        <w:rPr>
          <w:sz w:val="20"/>
          <w:szCs w:val="20"/>
          <w:color w:val="auto"/>
        </w:rPr>
      </w:pPr>
    </w:p>
    <w:p>
      <w:pPr>
        <w:ind w:left="1050" w:right="16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Without prejudice to the indemnity liability provided under Section 7.1, Party A may require Party C and Party B to stop or prevent any breach of this Agreement, and/or require Party C and Party B to perform its obligations under this Agreement.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90"/>
          </w:cols>
          <w:pgMar w:left="550" w:top="266" w:right="559" w:bottom="1440" w:gutter="0" w:footer="0" w:header="0"/>
        </w:sectPr>
      </w:pPr>
    </w:p>
    <w:bookmarkStart w:id="493" w:name="page494"/>
    <w:bookmarkEnd w:id="493"/>
    <w:p>
      <w:pPr>
        <w:ind w:left="430" w:hanging="430"/>
        <w:spacing w:after="0"/>
        <w:tabs>
          <w:tab w:leader="none" w:pos="43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Confidentiality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acknowledges and confirms that the existence and terms of this Agreement, as well as any oral or written information exchanged among the Parties in connection with preparation or performance of this Agreement, will be confidential information. Each of Party C and party B will keep all confidential information in confidence and, without prior written consent from Party A, may not disclose any confidential information to any third party, unless such information (a) is in the public domain (not due to unauthorized disclosure by the receiving Party); (b) is required for disclosure by any applicable laws or regulations, rules of any exchange, or requirements or orders from any government authority or court having jurisdiction; or (c) is disclosed by Party C or Party B to any of its legal or financial advisors on as-needed basis, provided that such legal or financial advisor shall comply with the confidentiality obligations similar to this Section 8. Disclosure of any confidential information by any person or entity engaged by Party C or Party B shall be deemed as disclosure of such information by Party C and/or Party B, and consequently Party C and/or Party B shall be held liable for beach of this Agreement.</w:t>
      </w:r>
    </w:p>
    <w:p>
      <w:pPr>
        <w:spacing w:after="0" w:line="333"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Agreements</w:t>
      </w:r>
    </w:p>
    <w:p>
      <w:pPr>
        <w:spacing w:after="0" w:line="125" w:lineRule="exact"/>
        <w:rPr>
          <w:rFonts w:ascii="Times New Roman" w:cs="Times New Roman" w:eastAsia="Times New Roman" w:hAnsi="Times New Roman"/>
          <w:sz w:val="18"/>
          <w:szCs w:val="18"/>
          <w:b w:val="1"/>
          <w:bCs w:val="1"/>
          <w:color w:val="auto"/>
        </w:rPr>
      </w:pPr>
    </w:p>
    <w:p>
      <w:pPr>
        <w:ind w:left="1050" w:right="3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9.1This Agreement shall be binding on and inure to the benefit of each of the Parties and their respective successors, heirs and permitted assigns. Without prior written consent from Party A, Party C may not transfer any of its rights, interests or obligations under this Agreement.</w:t>
      </w:r>
    </w:p>
    <w:p>
      <w:pPr>
        <w:spacing w:after="0" w:line="85" w:lineRule="exact"/>
        <w:rPr>
          <w:rFonts w:ascii="Times New Roman" w:cs="Times New Roman" w:eastAsia="Times New Roman" w:hAnsi="Times New Roman"/>
          <w:sz w:val="18"/>
          <w:szCs w:val="18"/>
          <w:b w:val="1"/>
          <w:bCs w:val="1"/>
          <w:color w:val="auto"/>
        </w:rPr>
      </w:pPr>
    </w:p>
    <w:p>
      <w:pPr>
        <w:ind w:left="1050" w:right="1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9.2Party C hereby agrees that Party A may transfer any of its rights and obligations under this Agreement to any third party at its discretion with notice to Party C in writing but without consent from Party C.</w:t>
      </w:r>
    </w:p>
    <w:p>
      <w:pPr>
        <w:spacing w:after="0" w:line="76" w:lineRule="exact"/>
        <w:rPr>
          <w:rFonts w:ascii="Times New Roman" w:cs="Times New Roman" w:eastAsia="Times New Roman" w:hAnsi="Times New Roman"/>
          <w:sz w:val="18"/>
          <w:szCs w:val="18"/>
          <w:b w:val="1"/>
          <w:bCs w:val="1"/>
          <w:color w:val="auto"/>
        </w:rPr>
      </w:pPr>
    </w:p>
    <w:p>
      <w:pPr>
        <w:ind w:left="1050" w:right="5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9.3If any agreement between Party A and Party B terminates or expires, Party A will have the right to terminate all of the agreements between Party A and Party B including, among others, the Exclusive Consulting and Services Agreement.</w:t>
      </w:r>
    </w:p>
    <w:p>
      <w:pPr>
        <w:spacing w:after="0" w:line="76" w:lineRule="exact"/>
        <w:rPr>
          <w:rFonts w:ascii="Times New Roman" w:cs="Times New Roman" w:eastAsia="Times New Roman" w:hAnsi="Times New Roman"/>
          <w:sz w:val="18"/>
          <w:szCs w:val="18"/>
          <w:b w:val="1"/>
          <w:bCs w:val="1"/>
          <w:color w:val="auto"/>
        </w:rPr>
      </w:pPr>
    </w:p>
    <w:p>
      <w:pPr>
        <w:ind w:left="1050" w:right="120" w:hanging="634"/>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9.4Considering the business relationship between Party A and Party B has been established through execution of the Exclusive Consulting and Services Agreement, and daily business activities of Party B will have a material impact on Party B’s ability to pay the payables to Party A, Party C agrees that subject to Section 1 of this Agreement, any dividend, distribution or other gain or interest received by it as shareholder of Party B will be immediately, unconditionally and freely paid or transferred to Party A, and provide any document or take any action necessary to accomplish such payment or transfer at the request of Party A.</w:t>
      </w:r>
    </w:p>
    <w:p>
      <w:pPr>
        <w:spacing w:after="0" w:line="94" w:lineRule="exact"/>
        <w:rPr>
          <w:rFonts w:ascii="Times New Roman" w:cs="Times New Roman" w:eastAsia="Times New Roman" w:hAnsi="Times New Roman"/>
          <w:sz w:val="18"/>
          <w:szCs w:val="18"/>
          <w:b w:val="1"/>
          <w:bCs w:val="1"/>
          <w:color w:val="auto"/>
        </w:rPr>
      </w:pPr>
    </w:p>
    <w:p>
      <w:pPr>
        <w:ind w:left="1050" w:right="6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9.5Party C will provide assistance sufficient for the Trustee to exercise any right authorized to it, including without limitation prompt signing any resolution of the shareholders or any other relevant legal document when it is necessary to do so (including required in connection with any approval, registration and filing from or with any government authority). Party C hereby confirms that its covenants under Section 9.5 of this Agreement will not restrict its authorization of any right to the Trustee.</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70"/>
          </w:cols>
          <w:pgMar w:left="550" w:top="264" w:right="579" w:bottom="1440" w:gutter="0" w:footer="0" w:header="0"/>
        </w:sectPr>
      </w:pPr>
    </w:p>
    <w:bookmarkStart w:id="494" w:name="page495"/>
    <w:bookmarkEnd w:id="494"/>
    <w:p>
      <w:pPr>
        <w:ind w:left="430" w:hanging="430"/>
        <w:spacing w:after="0"/>
        <w:tabs>
          <w:tab w:leader="none" w:pos="43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Entire Agreements and Amendments</w:t>
      </w:r>
    </w:p>
    <w:p>
      <w:pPr>
        <w:spacing w:after="0" w:line="125" w:lineRule="exact"/>
        <w:rPr>
          <w:rFonts w:ascii="Times New Roman" w:cs="Times New Roman" w:eastAsia="Times New Roman" w:hAnsi="Times New Roman"/>
          <w:sz w:val="18"/>
          <w:szCs w:val="18"/>
          <w:b w:val="1"/>
          <w:bCs w:val="1"/>
          <w:color w:val="auto"/>
        </w:rPr>
      </w:pPr>
    </w:p>
    <w:p>
      <w:pPr>
        <w:ind w:left="105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10.1This Agreement and all agreements and/or documents referred to or expressly included herein represent all agreements among the Parties regarding the subject matter hereof, and supersede all previous agreements, contracts, understandings and communications among all the Parties, oral or written, with respect to the subject matters of this Agreement.</w:t>
      </w:r>
    </w:p>
    <w:p>
      <w:pPr>
        <w:spacing w:after="0" w:line="85" w:lineRule="exact"/>
        <w:rPr>
          <w:rFonts w:ascii="Times New Roman" w:cs="Times New Roman" w:eastAsia="Times New Roman" w:hAnsi="Times New Roman"/>
          <w:sz w:val="18"/>
          <w:szCs w:val="18"/>
          <w:b w:val="1"/>
          <w:bCs w:val="1"/>
          <w:color w:val="auto"/>
        </w:rPr>
      </w:pPr>
    </w:p>
    <w:p>
      <w:pPr>
        <w:ind w:left="1050" w:right="2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10.2Any amendment of this Agreement will not be effective without agreement of the Parties in writing. Any amendment and supplement duly executed by the Parties shall be an integral part of and have the same effect with this Agreement.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shall be governed by and construed in accordance with the PRC laws.</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p>
    <w:p>
      <w:pPr>
        <w:spacing w:after="0" w:line="125" w:lineRule="exact"/>
        <w:rPr>
          <w:rFonts w:ascii="Times New Roman" w:cs="Times New Roman" w:eastAsia="Times New Roman" w:hAnsi="Times New Roman"/>
          <w:sz w:val="18"/>
          <w:szCs w:val="18"/>
          <w:b w:val="1"/>
          <w:bCs w:val="1"/>
          <w:color w:val="auto"/>
        </w:rPr>
      </w:pPr>
    </w:p>
    <w:p>
      <w:pPr>
        <w:ind w:left="1050" w:right="16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12.1Any dispute arising from or in connection with this Agreement will be settled through negotiations and, if the negotiations fail, be submitted to Beijing Arbitration Commission (“</w:t>
      </w:r>
      <w:r>
        <w:rPr>
          <w:rFonts w:ascii="Times New Roman" w:cs="Times New Roman" w:eastAsia="Times New Roman" w:hAnsi="Times New Roman"/>
          <w:sz w:val="18"/>
          <w:szCs w:val="18"/>
          <w:b w:val="1"/>
          <w:bCs w:val="1"/>
          <w:color w:val="auto"/>
        </w:rPr>
        <w:t>BAC</w:t>
      </w:r>
      <w:r>
        <w:rPr>
          <w:rFonts w:ascii="Times New Roman" w:cs="Times New Roman" w:eastAsia="Times New Roman" w:hAnsi="Times New Roman"/>
          <w:sz w:val="18"/>
          <w:szCs w:val="18"/>
          <w:color w:val="auto"/>
        </w:rPr>
        <w:t>”) for arbitration in accordance with its rules then effect. The arbitration shall take place in Beijing. The language of arbitration shall be in Chinese. The arbitrary award shall be final and binding upon each of the Parties. This Section 12.1 will survive termination or expiration of this Agreement.</w:t>
      </w:r>
    </w:p>
    <w:p>
      <w:pPr>
        <w:spacing w:after="0" w:line="9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7"/>
          <w:szCs w:val="17"/>
          <w:color w:val="auto"/>
        </w:rPr>
        <w:t>each of the Parties shall continue to perform its obligations under this Agreement in good faith other than the matter under dispute.</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3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p>
    <w:p>
      <w:pPr>
        <w:spacing w:after="0" w:line="112" w:lineRule="exact"/>
        <w:rPr>
          <w:rFonts w:ascii="Times New Roman" w:cs="Times New Roman" w:eastAsia="Times New Roman" w:hAnsi="Times New Roman"/>
          <w:sz w:val="18"/>
          <w:szCs w:val="18"/>
          <w:b w:val="1"/>
          <w:bCs w:val="1"/>
          <w:color w:val="auto"/>
        </w:rPr>
      </w:pPr>
    </w:p>
    <w:p>
      <w:pPr>
        <w:ind w:left="430" w:right="52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notices given by any of the Parties regarding any of its rights or obligations under this Agreement shall be made in writing and delivered in person, by registered mail, postage prepaid mail, recognized courier service or facsimile to the following addresses.</w:t>
      </w:r>
    </w:p>
    <w:p>
      <w:pPr>
        <w:spacing w:after="0" w:line="193"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color w:val="auto"/>
        </w:rPr>
        <w:t xml:space="preserve">If to Party A: </w:t>
      </w:r>
      <w:r>
        <w:rPr>
          <w:rFonts w:ascii="Times New Roman" w:cs="Times New Roman" w:eastAsia="Times New Roman" w:hAnsi="Times New Roman"/>
          <w:sz w:val="18"/>
          <w:szCs w:val="18"/>
          <w:b w:val="1"/>
          <w:bCs w:val="1"/>
          <w:color w:val="auto"/>
        </w:rPr>
        <w:t>Beijing Jingdong Century Trade Co., Ltd.</w:t>
      </w:r>
    </w:p>
    <w:p>
      <w:pPr>
        <w:spacing w:after="0" w:line="218" w:lineRule="exact"/>
        <w:rPr>
          <w:sz w:val="20"/>
          <w:szCs w:val="20"/>
          <w:color w:val="auto"/>
        </w:rPr>
      </w:pPr>
    </w:p>
    <w:p>
      <w:pPr>
        <w:ind w:left="1130"/>
        <w:spacing w:after="0"/>
        <w:tabs>
          <w:tab w:leader="none" w:pos="260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63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60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60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50"/>
          </w:cols>
          <w:pgMar w:left="550" w:top="264" w:right="599" w:bottom="1440" w:gutter="0" w:footer="0" w:header="0"/>
        </w:sectPr>
      </w:pPr>
    </w:p>
    <w:bookmarkStart w:id="495" w:name="page496"/>
    <w:bookmarkEnd w:id="495"/>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Attention:</w:t>
      </w:r>
      <w:r>
        <w:rPr>
          <w:sz w:val="20"/>
          <w:szCs w:val="20"/>
          <w:color w:val="auto"/>
        </w:rPr>
        <w:tab/>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color w:val="auto"/>
        </w:rPr>
        <w:t xml:space="preserve">If to Party B: </w:t>
      </w:r>
      <w:r>
        <w:rPr>
          <w:rFonts w:ascii="Times New Roman" w:cs="Times New Roman" w:eastAsia="Times New Roman" w:hAnsi="Times New Roman"/>
          <w:sz w:val="18"/>
          <w:szCs w:val="18"/>
          <w:b w:val="1"/>
          <w:bCs w:val="1"/>
          <w:color w:val="auto"/>
        </w:rPr>
        <w:t>Beijing Jiasheng Investment Management Co., Ltd.</w:t>
      </w:r>
      <w:r>
        <w:rPr>
          <w:rFonts w:ascii="Times New Roman" w:cs="Times New Roman" w:eastAsia="Times New Roman" w:hAnsi="Times New Roman"/>
          <w:sz w:val="18"/>
          <w:szCs w:val="18"/>
          <w:color w:val="auto"/>
        </w:rPr>
        <w:t xml:space="preserve"> with registered address at</w:t>
      </w:r>
    </w:p>
    <w:p>
      <w:pPr>
        <w:spacing w:after="0" w:line="218"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73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color w:val="auto"/>
        </w:rPr>
        <w:t>If to Party C:</w:t>
      </w:r>
    </w:p>
    <w:p>
      <w:pPr>
        <w:spacing w:after="0" w:line="214"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73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73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13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73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130"/>
        <w:spacing w:after="0"/>
        <w:tabs>
          <w:tab w:leader="none" w:pos="270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ind w:left="430" w:hanging="430"/>
        <w:spacing w:after="0"/>
        <w:tabs>
          <w:tab w:leader="none" w:pos="430" w:val="left"/>
        </w:tabs>
        <w:numPr>
          <w:ilvl w:val="0"/>
          <w:numId w:val="3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Term and Others</w:t>
      </w:r>
    </w:p>
    <w:p>
      <w:pPr>
        <w:spacing w:after="0" w:line="125" w:lineRule="exact"/>
        <w:rPr>
          <w:rFonts w:ascii="Times New Roman" w:cs="Times New Roman" w:eastAsia="Times New Roman" w:hAnsi="Times New Roman"/>
          <w:sz w:val="18"/>
          <w:szCs w:val="18"/>
          <w:b w:val="1"/>
          <w:bCs w:val="1"/>
          <w:color w:val="auto"/>
        </w:rPr>
      </w:pPr>
    </w:p>
    <w:p>
      <w:pPr>
        <w:ind w:left="105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14.1Any written consent, proposal, appointment relating to Party A under this Agreement and any other decision having material effect upon daily business operations of Party B will be made by the board of directors/managing director of Party A.</w:t>
      </w:r>
    </w:p>
    <w:p>
      <w:pPr>
        <w:spacing w:after="0" w:line="76" w:lineRule="exact"/>
        <w:rPr>
          <w:rFonts w:ascii="Times New Roman" w:cs="Times New Roman" w:eastAsia="Times New Roman" w:hAnsi="Times New Roman"/>
          <w:sz w:val="18"/>
          <w:szCs w:val="18"/>
          <w:b w:val="1"/>
          <w:bCs w:val="1"/>
          <w:color w:val="auto"/>
        </w:rPr>
      </w:pPr>
    </w:p>
    <w:p>
      <w:pPr>
        <w:ind w:left="1050" w:right="300" w:hanging="634"/>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w:t>
      </w:r>
      <w:r>
        <w:rPr>
          <w:rFonts w:ascii="Times New Roman" w:cs="Times New Roman" w:eastAsia="Times New Roman" w:hAnsi="Times New Roman"/>
          <w:sz w:val="17"/>
          <w:szCs w:val="17"/>
          <w:color w:val="auto"/>
        </w:rPr>
        <w:t>The term of this Agreement will commence as of the date hereof and, unless early terminated by Party A, expire upon dissolution of Party B under the PRC laws. At the request of Party A, the Parties may extend the term of this Agreement prior to its expiration, and enter into separate business operation agreement or continue to perform this Agreement, in each case at the request of Party A.</w:t>
      </w:r>
    </w:p>
    <w:p>
      <w:pPr>
        <w:spacing w:after="0" w:line="69" w:lineRule="exact"/>
        <w:rPr>
          <w:rFonts w:ascii="Times New Roman" w:cs="Times New Roman" w:eastAsia="Times New Roman" w:hAnsi="Times New Roman"/>
          <w:sz w:val="18"/>
          <w:szCs w:val="18"/>
          <w:b w:val="1"/>
          <w:bCs w:val="1"/>
          <w:color w:val="auto"/>
        </w:rPr>
      </w:pPr>
    </w:p>
    <w:p>
      <w:pPr>
        <w:ind w:left="1050" w:right="6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14.3Neither Party B nor Party C may terminate this Agreement during the term hereof. Party A shall have the right to terminate this Agreement at any time with written notice to Party B and Party C no less than thirty (30) days in advance.</w:t>
      </w:r>
    </w:p>
    <w:p>
      <w:pPr>
        <w:spacing w:after="0" w:line="103"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90"/>
          </w:cols>
          <w:pgMar w:left="550" w:top="266" w:right="659" w:bottom="1440" w:gutter="0" w:footer="0" w:header="0"/>
        </w:sectPr>
      </w:pPr>
    </w:p>
    <w:bookmarkStart w:id="496" w:name="page497"/>
    <w:bookmarkEnd w:id="496"/>
    <w:p>
      <w:pPr>
        <w:ind w:left="620" w:hanging="633"/>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14.4</w:t>
      </w:r>
      <w:r>
        <w:rPr>
          <w:sz w:val="20"/>
          <w:szCs w:val="20"/>
          <w:color w:val="auto"/>
        </w:rPr>
        <w:tab/>
      </w:r>
      <w:r>
        <w:rPr>
          <w:rFonts w:ascii="Times New Roman" w:cs="Times New Roman" w:eastAsia="Times New Roman" w:hAnsi="Times New Roman"/>
          <w:sz w:val="18"/>
          <w:szCs w:val="18"/>
          <w:color w:val="auto"/>
        </w:rPr>
        <w:t>It is confirmed by the Parties that this Agreement represent their fair and reasonable agreements made on the basis of equity and mutual benefits. If any clause hereof is held invalid or unenforceable under applicable laws, such clause shall be deemed to have been deleted from this Agreement and invalid, and the remainder of this Agreement will continue to have effect and be deemed to have excluded such clause. The Parties will negotiate to replace the deleted clause with legal, valid one acceptable to each of the Parties.</w:t>
      </w:r>
    </w:p>
    <w:p>
      <w:pPr>
        <w:spacing w:after="0" w:line="92" w:lineRule="exact"/>
        <w:rPr>
          <w:sz w:val="20"/>
          <w:szCs w:val="20"/>
          <w:color w:val="auto"/>
        </w:rPr>
      </w:pPr>
    </w:p>
    <w:p>
      <w:pPr>
        <w:ind w:left="620" w:right="80" w:hanging="63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Any failure or delay on the part of any Party to exercise any rights, powers or privileges hereunder shall not operate as a waiver thereof. Any single or partial exercise of such rights, powers or privileges shall not preclude any further exercise of such rights, powers or privileges.</w:t>
      </w:r>
    </w:p>
    <w:p>
      <w:pPr>
        <w:spacing w:after="0" w:line="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color w:val="auto"/>
        </w:rPr>
        <w:t>This Agreement is in five originals with each Party holding one thereof. Each of the originals has the same effect.</w:t>
      </w:r>
    </w:p>
    <w:p>
      <w:pPr>
        <w:spacing w:after="0" w:line="2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[Remaining intentionally left blank]</w:t>
      </w:r>
    </w:p>
    <w:p>
      <w:pPr>
        <w:spacing w:after="0" w:line="1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80"/>
          </w:cols>
          <w:pgMar w:left="980" w:top="266" w:right="639" w:bottom="1440" w:gutter="0" w:footer="0" w:header="0"/>
        </w:sectPr>
      </w:pPr>
    </w:p>
    <w:bookmarkStart w:id="497" w:name="page498"/>
    <w:bookmarkEnd w:id="497"/>
    <w:p>
      <w:pPr>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WITNESS WHEREOF, the Parties hereto have caused this Agreement to be duly executed on their behalf by a duly authorized representative as of the date first written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Jingdong Century Trade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1">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Jingdong Century Trade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2">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BEIJING JIASHENG INVESTMENT MANAGEMENT CO., LTD.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Jiasheng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3">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Jiasheng Investment Management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4">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5">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6">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7">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0"/>
          </w:cols>
          <w:pgMar w:left="560" w:top="266" w:right="73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11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business operations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180" w:type="dxa"/>
            <w:vAlign w:val="bottom"/>
          </w:tcPr>
          <w:p>
            <w:pPr>
              <w:spacing w:after="0"/>
              <w:rPr>
                <w:sz w:val="14"/>
                <w:szCs w:val="14"/>
                <w:color w:val="auto"/>
              </w:rPr>
            </w:pPr>
          </w:p>
        </w:tc>
        <w:tc>
          <w:tcPr>
            <w:tcW w:w="344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100" w:type="dxa"/>
            <w:vAlign w:val="bottom"/>
          </w:tcPr>
          <w:p>
            <w:pPr>
              <w:spacing w:after="0"/>
              <w:rPr>
                <w:sz w:val="14"/>
                <w:szCs w:val="1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72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Jiangsu Jingdong Bangneng Investment Management Co., Ltd.</w:t>
            </w:r>
          </w:p>
        </w:tc>
        <w:tc>
          <w:tcPr>
            <w:tcW w:w="180" w:type="dxa"/>
            <w:vAlign w:val="bottom"/>
            <w:vMerge w:val="continue"/>
          </w:tcPr>
          <w:p>
            <w:pPr>
              <w:spacing w:after="0"/>
              <w:rPr>
                <w:sz w:val="9"/>
                <w:szCs w:val="9"/>
                <w:color w:val="auto"/>
              </w:rPr>
            </w:pPr>
          </w:p>
        </w:tc>
        <w:tc>
          <w:tcPr>
            <w:tcW w:w="34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Party A: Shanghai Shengdayuan Information Technology</w:t>
            </w:r>
          </w:p>
        </w:tc>
        <w:tc>
          <w:tcPr>
            <w:tcW w:w="100" w:type="dxa"/>
            <w:vAlign w:val="bottom"/>
            <w:vMerge w:val="continue"/>
          </w:tcPr>
          <w:p>
            <w:pPr>
              <w:spacing w:after="0"/>
              <w:rPr>
                <w:sz w:val="9"/>
                <w:szCs w:val="9"/>
                <w:color w:val="auto"/>
              </w:rPr>
            </w:pPr>
          </w:p>
        </w:tc>
        <w:tc>
          <w:tcPr>
            <w:tcW w:w="33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September 30, 2022</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 Ltd.</w:t>
            </w: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Jiangsu Jingdong Bangneng Investment</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Management Co., Ltd.</w:t>
            </w: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C: Qin Miao, Yayun Li and Pang Zhang</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Shanghai Jingdong Cai’ao E-commercial Co., Ltd.</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A: Beijing Jingdong Century Trade Co., Ltd.</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March 26, 2026</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Shanghai Jingdong Cai’ao E-commercial Co., Ltd.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C: Qin Miao, Tingting Sui and Pang Zhang</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Suzhou Guanyinghou Media Technology Co., Ltd.</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A: Suqian Daxi Information Technology Co., Ltd.</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December 11, 2017</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Suzhou Guanyinghou Media Technology Co., Ltd.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C: Qian Yang</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Beijing JPT E-Commerce Co., Ltd.</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A: Beijing QGX Information Technology Co., Ltd.</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September 16, 2022</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Beijing JPT E-Commerce Co., Ltd.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C: Yayun Li and Pang Zhang</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Suqian Jiantong Enterprise Management Co., Ltd.</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A: Suqian Daxi Information Technology Co., Ltd.</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April 18, 2019</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Suqian Jiantong Enterprise Management Co., Ltd.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 C: Xinshi Wang, Suzhou Guanyinghou Media</w:t>
            </w:r>
          </w:p>
        </w:tc>
        <w:tc>
          <w:tcPr>
            <w:tcW w:w="1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Technology Co., Ltd.</w:t>
            </w: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Suqian Yueyang Information Technology Co., Ltd.</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A: Shanghai Shengdayuan Information Technology</w:t>
            </w:r>
          </w:p>
        </w:tc>
        <w:tc>
          <w:tcPr>
            <w:tcW w:w="3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February 4, 2026</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 Ltd.</w:t>
            </w: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B: Suqian Yueyang Information Technology Co., Ltd.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Party C: Tingting Sui, Saili Tan and Pang Zhang</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560" w:top="264" w:right="559"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18"/>
          <w:szCs w:val="18"/>
          <w:b w:val="1"/>
          <w:bCs w:val="1"/>
          <w:color w:val="auto"/>
        </w:rPr>
        <w:t>Exhibit 4.26</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EXCLUSIVE PURCHASE OPTION AGREEMENT</w:t>
      </w:r>
    </w:p>
    <w:p>
      <w:pPr>
        <w:spacing w:after="0" w:line="21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7"/>
          <w:szCs w:val="17"/>
          <w:color w:val="auto"/>
        </w:rPr>
        <w:t>This EXCLUSIVE PURCHASE OPTION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October 17, 2022, is made in Beijing, People’s Republic of</w:t>
      </w:r>
    </w:p>
    <w:p>
      <w:pPr>
        <w:spacing w:after="0" w:line="3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China (the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w:t>
      </w:r>
    </w:p>
    <w:p>
      <w:pPr>
        <w:spacing w:after="0" w:line="197" w:lineRule="exact"/>
        <w:rPr>
          <w:sz w:val="20"/>
          <w:szCs w:val="20"/>
          <w:color w:val="auto"/>
        </w:rPr>
      </w:pPr>
    </w:p>
    <w:p>
      <w:pPr>
        <w:ind w:left="10" w:right="80"/>
        <w:spacing w:after="0" w:line="273" w:lineRule="auto"/>
        <w:rPr>
          <w:sz w:val="20"/>
          <w:szCs w:val="20"/>
          <w:color w:val="auto"/>
        </w:rPr>
      </w:pPr>
      <w:r>
        <w:rPr>
          <w:rFonts w:ascii="Times New Roman" w:cs="Times New Roman" w:eastAsia="Times New Roman" w:hAnsi="Times New Roman"/>
          <w:sz w:val="18"/>
          <w:szCs w:val="18"/>
          <w:b w:val="1"/>
          <w:bCs w:val="1"/>
          <w:color w:val="auto"/>
        </w:rPr>
        <w:t>Party A: Beijing Jingdong Century Trade Co., Ltd.</w:t>
      </w:r>
      <w:r>
        <w:rPr>
          <w:rFonts w:ascii="Times New Roman" w:cs="Times New Roman" w:eastAsia="Times New Roman" w:hAnsi="Times New Roman"/>
          <w:sz w:val="18"/>
          <w:szCs w:val="18"/>
          <w:color w:val="auto"/>
        </w:rPr>
        <w:t>, a wholly foreign owned company incorporated in the PRC with registered address at Room 201,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2/F, Tower C, No. 18 Kechuang 11 Street, Beijing Economic and Technological Development Zone, Beijing;</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Party B: Qin Miao</w:t>
      </w:r>
      <w:r>
        <w:rPr>
          <w:rFonts w:ascii="Times New Roman" w:cs="Times New Roman" w:eastAsia="Times New Roman" w:hAnsi="Times New Roman"/>
          <w:sz w:val="18"/>
          <w:szCs w:val="18"/>
          <w:color w:val="auto"/>
        </w:rPr>
        <w:t>, with PRC identification number of ***;</w:t>
      </w:r>
    </w:p>
    <w:p>
      <w:pPr>
        <w:spacing w:after="0" w:line="21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Yayun Li</w:t>
      </w:r>
      <w:r>
        <w:rPr>
          <w:rFonts w:ascii="Times New Roman" w:cs="Times New Roman" w:eastAsia="Times New Roman" w:hAnsi="Times New Roman"/>
          <w:sz w:val="18"/>
          <w:szCs w:val="18"/>
          <w:color w:val="auto"/>
        </w:rPr>
        <w:t>, with PRC identification number of ***; and</w:t>
      </w:r>
    </w:p>
    <w:p>
      <w:pPr>
        <w:spacing w:after="0" w:line="21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Pang Zhang</w:t>
      </w:r>
      <w:r>
        <w:rPr>
          <w:rFonts w:ascii="Times New Roman" w:cs="Times New Roman" w:eastAsia="Times New Roman" w:hAnsi="Times New Roman"/>
          <w:sz w:val="18"/>
          <w:szCs w:val="18"/>
          <w:color w:val="auto"/>
        </w:rPr>
        <w:t>, with PRC identification number of ***</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ind w:left="10" w:right="100"/>
        <w:spacing w:after="0" w:line="303" w:lineRule="auto"/>
        <w:rPr>
          <w:sz w:val="20"/>
          <w:szCs w:val="20"/>
          <w:color w:val="auto"/>
        </w:rPr>
      </w:pPr>
      <w:r>
        <w:rPr>
          <w:rFonts w:ascii="Times New Roman" w:cs="Times New Roman" w:eastAsia="Times New Roman" w:hAnsi="Times New Roman"/>
          <w:sz w:val="17"/>
          <w:szCs w:val="17"/>
          <w:b w:val="1"/>
          <w:bCs w:val="1"/>
          <w:color w:val="auto"/>
        </w:rPr>
        <w:t>Party C: Beijing Jiasheng Investment Management Co., Ltd.</w:t>
      </w:r>
      <w:r>
        <w:rPr>
          <w:rFonts w:ascii="Times New Roman" w:cs="Times New Roman" w:eastAsia="Times New Roman" w:hAnsi="Times New Roman"/>
          <w:sz w:val="17"/>
          <w:szCs w:val="17"/>
          <w:color w:val="auto"/>
        </w:rPr>
        <w:t>, a limited liability company incorporated and existing under the laws of the PRC,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address at Room 706, 7/F, Building 1, No. 18 Kechuang 11 Street, Beijing Economic and Technological Development Zone, Beijing.</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(Party A, Party B and Party C individually being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6" w:lineRule="exact"/>
        <w:rPr>
          <w:sz w:val="20"/>
          <w:szCs w:val="20"/>
          <w:color w:val="auto"/>
        </w:rPr>
      </w:pPr>
    </w:p>
    <w:p>
      <w:pPr>
        <w:ind w:left="430" w:right="480" w:hanging="430"/>
        <w:spacing w:after="0" w:line="270" w:lineRule="auto"/>
        <w:tabs>
          <w:tab w:leader="none" w:pos="43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C is a limited liability company duly incorporated and validly existing under the PRC laws. Party B has an aggregate holding of 100% equity interests in Party C, with Qin Miao, Yayun Li and Pang Zhang holding 45%, 30% and 25% thereof, respectively;</w:t>
      </w:r>
    </w:p>
    <w:p>
      <w:pPr>
        <w:spacing w:after="0" w:line="74" w:lineRule="exact"/>
        <w:rPr>
          <w:rFonts w:ascii="Times New Roman" w:cs="Times New Roman" w:eastAsia="Times New Roman" w:hAnsi="Times New Roman"/>
          <w:sz w:val="18"/>
          <w:szCs w:val="18"/>
          <w:color w:val="auto"/>
        </w:rPr>
      </w:pPr>
    </w:p>
    <w:p>
      <w:pPr>
        <w:ind w:left="430" w:right="80" w:hanging="430"/>
        <w:spacing w:after="0" w:line="273" w:lineRule="auto"/>
        <w:tabs>
          <w:tab w:leader="none" w:pos="43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and Party C have made a Loan Agreement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and an Equity Pledge Agreement (the “</w:t>
      </w:r>
      <w:r>
        <w:rPr>
          <w:rFonts w:ascii="Times New Roman" w:cs="Times New Roman" w:eastAsia="Times New Roman" w:hAnsi="Times New Roman"/>
          <w:sz w:val="18"/>
          <w:szCs w:val="18"/>
          <w:b w:val="1"/>
          <w:bCs w:val="1"/>
          <w:color w:val="auto"/>
        </w:rPr>
        <w:t>Equity Pledge Agreement</w:t>
      </w:r>
      <w:r>
        <w:rPr>
          <w:rFonts w:ascii="Times New Roman" w:cs="Times New Roman" w:eastAsia="Times New Roman" w:hAnsi="Times New Roman"/>
          <w:sz w:val="18"/>
          <w:szCs w:val="18"/>
          <w:color w:val="auto"/>
        </w:rPr>
        <w:t>”) dated October 17, 2022; and</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the Parties hereby agree as follows through negotiations:</w:t>
      </w:r>
    </w:p>
    <w:p>
      <w:pPr>
        <w:spacing w:after="0" w:line="359" w:lineRule="exact"/>
        <w:rPr>
          <w:sz w:val="20"/>
          <w:szCs w:val="20"/>
          <w:color w:val="auto"/>
        </w:rPr>
      </w:pPr>
    </w:p>
    <w:p>
      <w:pPr>
        <w:ind w:left="430" w:hanging="430"/>
        <w:spacing w:after="0"/>
        <w:tabs>
          <w:tab w:leader="none" w:pos="430" w:val="left"/>
        </w:tabs>
        <w:numPr>
          <w:ilvl w:val="0"/>
          <w:numId w:val="3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Equity Interests</w:t>
      </w:r>
    </w:p>
    <w:p>
      <w:pPr>
        <w:spacing w:after="0" w:line="12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Grant of Right</w:t>
      </w:r>
    </w:p>
    <w:p>
      <w:pPr>
        <w:spacing w:after="0" w:line="110"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Party B hereby exclusively and irrevocably grants Party A an exclusive option to purchase or designate one or several person(s) (the</w:t>
      </w:r>
    </w:p>
    <w:p>
      <w:pPr>
        <w:spacing w:after="0" w:line="22" w:lineRule="exact"/>
        <w:rPr>
          <w:sz w:val="20"/>
          <w:szCs w:val="20"/>
          <w:color w:val="auto"/>
        </w:rPr>
      </w:pPr>
    </w:p>
    <w:p>
      <w:pPr>
        <w:ind w:left="1070" w:right="8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Person</w:t>
      </w:r>
      <w:r>
        <w:rPr>
          <w:rFonts w:ascii="Times New Roman" w:cs="Times New Roman" w:eastAsia="Times New Roman" w:hAnsi="Times New Roman"/>
          <w:sz w:val="18"/>
          <w:szCs w:val="18"/>
          <w:color w:val="auto"/>
        </w:rPr>
        <w:t>”) to purchase all or any part of the equity interests held by Party B in Party C (the “</w:t>
      </w:r>
      <w:r>
        <w:rPr>
          <w:rFonts w:ascii="Times New Roman" w:cs="Times New Roman" w:eastAsia="Times New Roman" w:hAnsi="Times New Roman"/>
          <w:sz w:val="18"/>
          <w:szCs w:val="18"/>
          <w:b w:val="1"/>
          <w:bCs w:val="1"/>
          <w:color w:val="auto"/>
        </w:rPr>
        <w:t>Purchase Option</w:t>
      </w:r>
      <w:r>
        <w:rPr>
          <w:rFonts w:ascii="Times New Roman" w:cs="Times New Roman" w:eastAsia="Times New Roman" w:hAnsi="Times New Roman"/>
          <w:sz w:val="18"/>
          <w:szCs w:val="18"/>
          <w:color w:val="auto"/>
        </w:rPr>
        <w:t>”) at any time from Party B at the price specified in Article 1.3 of this Agreement in accordance with the procedures determined by Party A at its own discretion and to the extent permitted by the PRC laws. No party other than Party A and the Designated Person may have the Purchase Option. Party C hereby agrees Party B to grant the Purchase Option to Party A. For purpose of this Section 1.1 and this Agreement, “person” means any individual, corporation, joint venture, partnership, enterprise, trust or non-corporation organization.</w:t>
      </w:r>
    </w:p>
    <w:p>
      <w:pPr>
        <w:sectPr>
          <w:pgSz w:w="11900" w:h="16838" w:orient="portrait"/>
          <w:cols w:equalWidth="0" w:num="1">
            <w:col w:w="10790"/>
          </w:cols>
          <w:pgMar w:left="550" w:top="118" w:right="559" w:bottom="1440" w:gutter="0" w:footer="0" w:header="0"/>
        </w:sectPr>
      </w:pPr>
    </w:p>
    <w:bookmarkStart w:id="500" w:name="page501"/>
    <w:bookmarkEnd w:id="500"/>
    <w:p>
      <w:pPr>
        <w:spacing w:after="0"/>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1.2</w:t>
      </w:r>
      <w:r>
        <w:rPr>
          <w:sz w:val="20"/>
          <w:szCs w:val="20"/>
          <w:color w:val="auto"/>
        </w:rPr>
        <w:tab/>
      </w:r>
      <w:r>
        <w:rPr>
          <w:rFonts w:ascii="Times New Roman" w:cs="Times New Roman" w:eastAsia="Times New Roman" w:hAnsi="Times New Roman"/>
          <w:sz w:val="18"/>
          <w:szCs w:val="18"/>
          <w:color w:val="auto"/>
        </w:rPr>
        <w:t>Procedures</w:t>
      </w:r>
    </w:p>
    <w:p>
      <w:pPr>
        <w:spacing w:after="0" w:line="110" w:lineRule="exact"/>
        <w:rPr>
          <w:sz w:val="20"/>
          <w:szCs w:val="20"/>
          <w:color w:val="auto"/>
        </w:rPr>
      </w:pPr>
    </w:p>
    <w:p>
      <w:pPr>
        <w:ind w:left="640" w:right="240"/>
        <w:spacing w:after="0" w:line="253" w:lineRule="auto"/>
        <w:rPr>
          <w:sz w:val="20"/>
          <w:szCs w:val="20"/>
          <w:color w:val="auto"/>
        </w:rPr>
      </w:pPr>
      <w:r>
        <w:rPr>
          <w:rFonts w:ascii="Times New Roman" w:cs="Times New Roman" w:eastAsia="Times New Roman" w:hAnsi="Times New Roman"/>
          <w:sz w:val="18"/>
          <w:szCs w:val="18"/>
          <w:color w:val="auto"/>
        </w:rPr>
        <w:t>Party A may exercise the Purchase Option subject to its compliance with the PRC laws and regulations. Upon exercising the Purchase Option, Party A will issue a written notice (the “</w:t>
      </w:r>
      <w:r>
        <w:rPr>
          <w:rFonts w:ascii="Times New Roman" w:cs="Times New Roman" w:eastAsia="Times New Roman" w:hAnsi="Times New Roman"/>
          <w:sz w:val="18"/>
          <w:szCs w:val="18"/>
          <w:b w:val="1"/>
          <w:bCs w:val="1"/>
          <w:color w:val="auto"/>
        </w:rPr>
        <w:t>Equity Interest Purchase Notice</w:t>
      </w:r>
      <w:r>
        <w:rPr>
          <w:rFonts w:ascii="Times New Roman" w:cs="Times New Roman" w:eastAsia="Times New Roman" w:hAnsi="Times New Roman"/>
          <w:sz w:val="18"/>
          <w:szCs w:val="18"/>
          <w:color w:val="auto"/>
        </w:rPr>
        <w:t>”) to Party B which notice will specify: (i) Party A’s decision to exercise the Purchase Option; (ii) the percentage of equity interest to be purchased from Party B (the “</w:t>
      </w:r>
      <w:r>
        <w:rPr>
          <w:rFonts w:ascii="Times New Roman" w:cs="Times New Roman" w:eastAsia="Times New Roman" w:hAnsi="Times New Roman"/>
          <w:sz w:val="18"/>
          <w:szCs w:val="18"/>
          <w:b w:val="1"/>
          <w:bCs w:val="1"/>
          <w:color w:val="auto"/>
        </w:rPr>
        <w:t>Purchased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(iii) the date of purchase/equity interest transfer, and (iv) and the purchase price.</w:t>
      </w:r>
    </w:p>
    <w:p>
      <w:pPr>
        <w:spacing w:after="0" w:line="33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Purchase Price</w:t>
      </w:r>
    </w:p>
    <w:p>
      <w:pPr>
        <w:spacing w:after="0" w:line="122" w:lineRule="exact"/>
        <w:rPr>
          <w:sz w:val="20"/>
          <w:szCs w:val="20"/>
          <w:color w:val="auto"/>
        </w:rPr>
      </w:pPr>
    </w:p>
    <w:p>
      <w:pPr>
        <w:ind w:left="1280" w:right="200" w:hanging="634"/>
        <w:spacing w:after="0" w:line="259" w:lineRule="auto"/>
        <w:tabs>
          <w:tab w:leader="none" w:pos="126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When Party A exercises the Purchase Option, the purchase price of the Purchased Equity Interest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equal to the registered capital paid by Party B for the Purchased Equity Interest, unless applicable PRC laws and regulations require appraisal of the Purchased Equity Interest or any other restriction on the Purchase Price.</w:t>
      </w:r>
    </w:p>
    <w:p>
      <w:pPr>
        <w:spacing w:after="0" w:line="85" w:lineRule="exact"/>
        <w:rPr>
          <w:sz w:val="20"/>
          <w:szCs w:val="20"/>
          <w:color w:val="auto"/>
        </w:rPr>
      </w:pPr>
    </w:p>
    <w:p>
      <w:pPr>
        <w:ind w:left="1280" w:right="40" w:hanging="634"/>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If applicable PRC laws require appraisal of the Purchased Equity Interest or any other restrictions on the Purchase Price in connection with exercise of the Purchase Option by Parties A, Party A and Party B agree that the Purchase Price of the Purchased Equity Interest shall be the lowest price permissible under applicable laws. If the lowest price permissible under applicable laws is higher than the registered capital corresponding to the Purchased Equity Interest, the amount of the exceeding balance shall be repaid to Party A by Party B according to the Loan Agreement.</w:t>
      </w:r>
    </w:p>
    <w:p>
      <w:pPr>
        <w:spacing w:after="0" w:line="9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Transfer of the Purchased Equity Interest</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When Party A exercises the Purchase Option:</w:t>
      </w:r>
    </w:p>
    <w:p>
      <w:pPr>
        <w:spacing w:after="0" w:line="124" w:lineRule="exact"/>
        <w:rPr>
          <w:sz w:val="20"/>
          <w:szCs w:val="20"/>
          <w:color w:val="auto"/>
        </w:rPr>
      </w:pPr>
    </w:p>
    <w:p>
      <w:pPr>
        <w:ind w:left="1280" w:right="60" w:hanging="634"/>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Party B shall cause Party C to promptly convene a shareholders’ meeting, during which a resolution shall be adopted to approve transfer of the equity interest to Party A and/or the Designated Person and waiver of its right of first refusal regarding the Purchased Equity Interest by Party B;</w:t>
      </w:r>
    </w:p>
    <w:p>
      <w:pPr>
        <w:spacing w:after="0" w:line="86" w:lineRule="exact"/>
        <w:rPr>
          <w:sz w:val="20"/>
          <w:szCs w:val="20"/>
          <w:color w:val="auto"/>
        </w:rPr>
      </w:pPr>
    </w:p>
    <w:p>
      <w:pPr>
        <w:ind w:left="1280" w:right="220" w:hanging="634"/>
        <w:spacing w:after="0" w:line="270" w:lineRule="auto"/>
        <w:tabs>
          <w:tab w:leader="none" w:pos="12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Party B shall enter into an equity interest transfer agreement with Party A and/ or the Designated Person pursuant to the terms and conditions of this Agreement and the Purchase Notice;</w:t>
      </w:r>
    </w:p>
    <w:p>
      <w:pPr>
        <w:spacing w:after="0" w:line="76" w:lineRule="exact"/>
        <w:rPr>
          <w:sz w:val="20"/>
          <w:szCs w:val="20"/>
          <w:color w:val="auto"/>
        </w:rPr>
      </w:pPr>
    </w:p>
    <w:p>
      <w:pPr>
        <w:ind w:left="1280" w:hanging="634"/>
        <w:spacing w:after="0" w:line="249" w:lineRule="auto"/>
        <w:tabs>
          <w:tab w:leader="none" w:pos="126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The Parties shall execute all other contracts, agreements or documents, obtain all governmental approvals and consents, and conduct all actions that are necessary to transfer the ownership of the Purchased Equity Interest to Party A and or the Designated Person free from any security interest and cause Party A and/or the Designated Person to be registered as the owner of the Purchased Equity Interest. For the purpose of this Section l.4.3 and this Agreement, “</w:t>
      </w:r>
      <w:r>
        <w:rPr>
          <w:rFonts w:ascii="Times New Roman" w:cs="Times New Roman" w:eastAsia="Times New Roman" w:hAnsi="Times New Roman"/>
          <w:sz w:val="18"/>
          <w:szCs w:val="18"/>
          <w:b w:val="1"/>
          <w:bCs w:val="1"/>
          <w:color w:val="auto"/>
        </w:rPr>
        <w:t>Security Interest</w:t>
      </w:r>
      <w:r>
        <w:rPr>
          <w:rFonts w:ascii="Times New Roman" w:cs="Times New Roman" w:eastAsia="Times New Roman" w:hAnsi="Times New Roman"/>
          <w:sz w:val="18"/>
          <w:szCs w:val="18"/>
          <w:color w:val="auto"/>
        </w:rPr>
        <w:t>” includes guarantees, mortgages, pledges, third-party rights or interests, any purchase option, right of acquisition, right of first refusal, right of set-off, ownership detainment or other security arrangements, but excludes any security interest arising from this Agreement or the Equity Pledge Agreement.</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60"/>
          </w:cols>
          <w:pgMar w:left="980" w:top="265" w:right="559" w:bottom="1440" w:gutter="0" w:footer="0" w:header="0"/>
        </w:sectPr>
      </w:pPr>
    </w:p>
    <w:bookmarkStart w:id="501" w:name="page502"/>
    <w:bookmarkEnd w:id="501"/>
    <w:p>
      <w:pPr>
        <w:ind w:left="171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1.4.4</w:t>
      </w:r>
      <w:r>
        <w:rPr>
          <w:sz w:val="20"/>
          <w:szCs w:val="20"/>
          <w:color w:val="auto"/>
        </w:rPr>
        <w:tab/>
      </w:r>
      <w:r>
        <w:rPr>
          <w:rFonts w:ascii="Times New Roman" w:cs="Times New Roman" w:eastAsia="Times New Roman" w:hAnsi="Times New Roman"/>
          <w:sz w:val="18"/>
          <w:szCs w:val="18"/>
          <w:color w:val="auto"/>
        </w:rPr>
        <w:t>Party B and Party C shall unconditionally use its best efforts to assist Party A in obtaining the governmental approvals, permits, registrations, filings and complete all formalities necessary for the transfer of the Purchased Equity Interest.</w:t>
      </w:r>
    </w:p>
    <w:p>
      <w:pPr>
        <w:spacing w:after="0" w:line="312" w:lineRule="exact"/>
        <w:rPr>
          <w:sz w:val="20"/>
          <w:szCs w:val="20"/>
          <w:color w:val="auto"/>
        </w:rPr>
      </w:pPr>
    </w:p>
    <w:p>
      <w:pPr>
        <w:ind w:left="430" w:hanging="430"/>
        <w:spacing w:after="0"/>
        <w:tabs>
          <w:tab w:leader="none" w:pos="430" w:val="left"/>
        </w:tabs>
        <w:numPr>
          <w:ilvl w:val="0"/>
          <w:numId w:val="3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regarding the Equity Interest</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Party C hereby covenants that:</w:t>
      </w:r>
    </w:p>
    <w:p>
      <w:pPr>
        <w:spacing w:after="0" w:line="124" w:lineRule="exact"/>
        <w:rPr>
          <w:sz w:val="20"/>
          <w:szCs w:val="20"/>
          <w:color w:val="auto"/>
        </w:rPr>
      </w:pPr>
    </w:p>
    <w:p>
      <w:pPr>
        <w:jc w:val="both"/>
        <w:ind w:left="1710" w:right="40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Without prior written consent by Party A, it will not supplement, change or amend the Articles of Association, increase or decrease the registered capital, or otherwise change the registered capital structure of Party C;</w:t>
      </w:r>
    </w:p>
    <w:p>
      <w:pPr>
        <w:spacing w:after="0" w:line="76" w:lineRule="exact"/>
        <w:rPr>
          <w:sz w:val="20"/>
          <w:szCs w:val="20"/>
          <w:color w:val="auto"/>
        </w:rPr>
      </w:pPr>
    </w:p>
    <w:p>
      <w:pPr>
        <w:jc w:val="both"/>
        <w:ind w:left="1710" w:right="40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It will maintain due existence of Party C, prudently and effectively operate and handle its business in accordance with fair financial and business standards and customs;</w:t>
      </w:r>
    </w:p>
    <w:p>
      <w:pPr>
        <w:spacing w:after="0" w:line="76" w:lineRule="exact"/>
        <w:rPr>
          <w:sz w:val="20"/>
          <w:szCs w:val="20"/>
          <w:color w:val="auto"/>
        </w:rPr>
      </w:pPr>
    </w:p>
    <w:p>
      <w:pPr>
        <w:jc w:val="both"/>
        <w:ind w:left="1710" w:right="400" w:hanging="634"/>
        <w:spacing w:after="0" w:line="258" w:lineRule="auto"/>
        <w:tabs>
          <w:tab w:leader="none" w:pos="1689"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Without prior written consent of Party A and as of the date of this Agreement, it will not sell, transfer, pledge or otherwise dispose any legal or beneficial interest of any assets, businesses or income of Party C, or permit existence of such security interest;</w:t>
      </w:r>
    </w:p>
    <w:p>
      <w:pPr>
        <w:spacing w:after="0" w:line="8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Without prior written consent by Party A, it will not incur, inherit, guarantee or allow the existence of any debt, except for</w:t>
      </w:r>
    </w:p>
    <w:p>
      <w:pPr>
        <w:spacing w:after="0" w:line="22" w:lineRule="exact"/>
        <w:rPr>
          <w:sz w:val="20"/>
          <w:szCs w:val="20"/>
          <w:color w:val="auto"/>
        </w:rPr>
      </w:pPr>
    </w:p>
    <w:p>
      <w:pPr>
        <w:ind w:left="1710" w:right="520" w:hanging="4"/>
        <w:spacing w:after="0" w:line="250" w:lineRule="auto"/>
        <w:tabs>
          <w:tab w:leader="none" w:pos="192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incurred during its ordinary course of business rather than from borrowing; and (ii) any debt which has been disclosed to and obtained the written consent from Party A;</w:t>
      </w:r>
    </w:p>
    <w:p>
      <w:pPr>
        <w:spacing w:after="0" w:line="93" w:lineRule="exact"/>
        <w:rPr>
          <w:sz w:val="20"/>
          <w:szCs w:val="20"/>
          <w:color w:val="auto"/>
        </w:rPr>
      </w:pPr>
    </w:p>
    <w:p>
      <w:pPr>
        <w:ind w:left="1710" w:right="38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It will continue all business operations normally to maintain its asset value, and refrain from any action/omission that may adversely affect its business operations and asset value;</w:t>
      </w:r>
    </w:p>
    <w:p>
      <w:pPr>
        <w:spacing w:after="0" w:line="76" w:lineRule="exact"/>
        <w:rPr>
          <w:sz w:val="20"/>
          <w:szCs w:val="20"/>
          <w:color w:val="auto"/>
        </w:rPr>
      </w:pPr>
    </w:p>
    <w:p>
      <w:pPr>
        <w:ind w:left="1710" w:right="24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Without prior written consent by Party A, not to enter into any material agreement, other than those executed in the ordinary course of business;</w:t>
      </w:r>
    </w:p>
    <w:p>
      <w:pPr>
        <w:spacing w:after="0" w:line="7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7"/>
          <w:szCs w:val="17"/>
          <w:color w:val="auto"/>
        </w:rPr>
        <w:t>Without prior written consent by Party A, it will not provide any loan or guaranty to any person;</w:t>
      </w:r>
    </w:p>
    <w:p>
      <w:pPr>
        <w:spacing w:after="0" w:line="150" w:lineRule="exact"/>
        <w:rPr>
          <w:sz w:val="20"/>
          <w:szCs w:val="20"/>
          <w:color w:val="auto"/>
        </w:rPr>
      </w:pPr>
    </w:p>
    <w:p>
      <w:pPr>
        <w:ind w:left="535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10"/>
          </w:cols>
          <w:pgMar w:left="550" w:top="266" w:right="639" w:bottom="1440" w:gutter="0" w:footer="0" w:header="0"/>
        </w:sectPr>
      </w:pPr>
    </w:p>
    <w:bookmarkStart w:id="502" w:name="page503"/>
    <w:bookmarkEnd w:id="502"/>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2.1.8</w:t>
      </w:r>
      <w:r>
        <w:rPr>
          <w:sz w:val="20"/>
          <w:szCs w:val="20"/>
          <w:color w:val="auto"/>
        </w:rPr>
        <w:tab/>
      </w:r>
      <w:r>
        <w:rPr>
          <w:rFonts w:ascii="Times New Roman" w:cs="Times New Roman" w:eastAsia="Times New Roman" w:hAnsi="Times New Roman"/>
          <w:sz w:val="17"/>
          <w:szCs w:val="17"/>
          <w:color w:val="auto"/>
        </w:rPr>
        <w:t>Upon Party A’s request, it will provide Party A with information regarding its operations and financial conditions;</w:t>
      </w:r>
    </w:p>
    <w:p>
      <w:pPr>
        <w:spacing w:after="0" w:line="124" w:lineRule="exact"/>
        <w:rPr>
          <w:sz w:val="20"/>
          <w:szCs w:val="20"/>
          <w:color w:val="auto"/>
        </w:rPr>
      </w:pPr>
    </w:p>
    <w:p>
      <w:pPr>
        <w:ind w:left="1280" w:hanging="634"/>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8"/>
          <w:szCs w:val="18"/>
          <w:color w:val="auto"/>
        </w:rPr>
        <w:t>It will buy and maintain requisite insurance policies from an insurer acceptable to Party A, the amount and type of which will be the same with such insurance policies maintained by the companies having similar operations, properties or assets in the same region;</w:t>
      </w:r>
    </w:p>
    <w:p>
      <w:pPr>
        <w:spacing w:after="0" w:line="8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2.1.10</w:t>
      </w:r>
      <w:r>
        <w:rPr>
          <w:sz w:val="20"/>
          <w:szCs w:val="20"/>
          <w:color w:val="auto"/>
        </w:rPr>
        <w:tab/>
      </w:r>
      <w:r>
        <w:rPr>
          <w:rFonts w:ascii="Times New Roman" w:cs="Times New Roman" w:eastAsia="Times New Roman" w:hAnsi="Times New Roman"/>
          <w:sz w:val="17"/>
          <w:szCs w:val="17"/>
          <w:color w:val="auto"/>
        </w:rPr>
        <w:t>Without prior written consent by Party A, it will not combine, merge with, acquire or make investment to any person;</w:t>
      </w:r>
    </w:p>
    <w:p>
      <w:pPr>
        <w:spacing w:after="0" w:line="124" w:lineRule="exact"/>
        <w:rPr>
          <w:sz w:val="20"/>
          <w:szCs w:val="20"/>
          <w:color w:val="auto"/>
        </w:rPr>
      </w:pPr>
    </w:p>
    <w:p>
      <w:pPr>
        <w:ind w:left="1280" w:right="360" w:hanging="634"/>
        <w:spacing w:after="0" w:line="270" w:lineRule="auto"/>
        <w:tabs>
          <w:tab w:leader="none" w:pos="1260" w:val="left"/>
        </w:tabs>
        <w:rPr>
          <w:sz w:val="20"/>
          <w:szCs w:val="20"/>
          <w:color w:val="auto"/>
        </w:rPr>
      </w:pPr>
      <w:r>
        <w:rPr>
          <w:rFonts w:ascii="Times New Roman" w:cs="Times New Roman" w:eastAsia="Times New Roman" w:hAnsi="Times New Roman"/>
          <w:sz w:val="18"/>
          <w:szCs w:val="18"/>
          <w:color w:val="auto"/>
        </w:rPr>
        <w:t>2.1.11</w:t>
        <w:tab/>
        <w:t>It will immediately notify Party A of any actual or potential litigation, arbitration or administrative proceeding regarding its assets, business and income;</w:t>
      </w:r>
    </w:p>
    <w:p>
      <w:pPr>
        <w:spacing w:after="0" w:line="76" w:lineRule="exact"/>
        <w:rPr>
          <w:sz w:val="20"/>
          <w:szCs w:val="20"/>
          <w:color w:val="auto"/>
        </w:rPr>
      </w:pPr>
    </w:p>
    <w:p>
      <w:pPr>
        <w:jc w:val="both"/>
        <w:ind w:left="1280" w:hanging="634"/>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2.1.12</w:t>
        <w:tab/>
        <w:t>In order to keep its ownership of the equity interest of Party C, it will execute all requisite or appropriate documents, conduct all requisite or appropriate actions, and make all requisite or appropriate claims, or make requisite or appropriate defense against all claims; and</w:t>
      </w:r>
    </w:p>
    <w:p>
      <w:pPr>
        <w:spacing w:after="0" w:line="86"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2.1.13</w:t>
      </w:r>
      <w:r>
        <w:rPr>
          <w:sz w:val="20"/>
          <w:szCs w:val="20"/>
          <w:color w:val="auto"/>
        </w:rPr>
        <w:tab/>
      </w:r>
      <w:r>
        <w:rPr>
          <w:rFonts w:ascii="Times New Roman" w:cs="Times New Roman" w:eastAsia="Times New Roman" w:hAnsi="Times New Roman"/>
          <w:sz w:val="17"/>
          <w:szCs w:val="17"/>
          <w:color w:val="auto"/>
        </w:rPr>
        <w:t>Without prior written consent by Party A, it will not distribute any dividend or bonus to any of its shareholders.</w:t>
      </w:r>
    </w:p>
    <w:p>
      <w:pPr>
        <w:spacing w:after="0" w:line="1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Party B hereby covenants that:</w:t>
      </w:r>
    </w:p>
    <w:p>
      <w:pPr>
        <w:spacing w:after="0" w:line="124" w:lineRule="exact"/>
        <w:rPr>
          <w:sz w:val="20"/>
          <w:szCs w:val="20"/>
          <w:color w:val="auto"/>
        </w:rPr>
      </w:pPr>
    </w:p>
    <w:p>
      <w:pPr>
        <w:ind w:left="1280" w:right="460" w:hanging="634"/>
        <w:spacing w:after="0" w:line="270" w:lineRule="auto"/>
        <w:tabs>
          <w:tab w:leader="none" w:pos="126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color w:val="auto"/>
        </w:rPr>
        <w:t>Without prior written consent by Party A, it will not supplement, change or amend the Articles of Association, increase or decrease the registered capital, or otherwise change the registered capital structure of Party C;</w:t>
      </w:r>
    </w:p>
    <w:p>
      <w:pPr>
        <w:spacing w:after="0" w:line="76" w:lineRule="exact"/>
        <w:rPr>
          <w:sz w:val="20"/>
          <w:szCs w:val="20"/>
          <w:color w:val="auto"/>
        </w:rPr>
      </w:pPr>
    </w:p>
    <w:p>
      <w:pPr>
        <w:ind w:left="1280" w:hanging="634"/>
        <w:spacing w:after="0" w:line="258" w:lineRule="auto"/>
        <w:tabs>
          <w:tab w:leader="none" w:pos="126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color w:val="auto"/>
        </w:rPr>
        <w:t>Without the prior written consent by Party A, it will not sell, transfer, pledge or otherwise dispose any legal or beneficial interest of the equity interests of Party C held by it, or allow other security interests to be created on it, except for the pledge set upon Party C’s equity interests held by Party B pursuant to the Equity Pledge Agreement;</w:t>
      </w:r>
    </w:p>
    <w:p>
      <w:pPr>
        <w:spacing w:after="0" w:line="86" w:lineRule="exact"/>
        <w:rPr>
          <w:sz w:val="20"/>
          <w:szCs w:val="20"/>
          <w:color w:val="auto"/>
        </w:rPr>
      </w:pPr>
    </w:p>
    <w:p>
      <w:pPr>
        <w:ind w:left="1280" w:right="120" w:hanging="634"/>
        <w:spacing w:after="0" w:line="253" w:lineRule="auto"/>
        <w:tabs>
          <w:tab w:leader="none" w:pos="126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color w:val="auto"/>
        </w:rPr>
        <w:t>It will procure that without prior written consent by Party A, no resolution be made at any meeting of Party C’s shareholders to approve Party C to sell, transfer, pledge or otherwise dispose any legal or beneficial interest of the equity interests of Party C held by it, or allow other security interests to be created on it, except for the pledge set upon Party C’s equity interests held by Party B pursuant to the Equity Pledge Agreement;</w:t>
      </w:r>
    </w:p>
    <w:p>
      <w:pPr>
        <w:spacing w:after="0" w:line="92" w:lineRule="exact"/>
        <w:rPr>
          <w:sz w:val="20"/>
          <w:szCs w:val="20"/>
          <w:color w:val="auto"/>
        </w:rPr>
      </w:pPr>
    </w:p>
    <w:p>
      <w:pPr>
        <w:ind w:left="1280" w:right="120" w:hanging="634"/>
        <w:spacing w:after="0" w:line="270" w:lineRule="auto"/>
        <w:tabs>
          <w:tab w:leader="none" w:pos="126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color w:val="auto"/>
        </w:rPr>
        <w:t>It will procure that without prior written consent by Party A, no resolution be made at any meeting of Party C’s shareholders to approve merger, consolidation, purchase or investment with or any person by Party C;</w:t>
      </w:r>
    </w:p>
    <w:p>
      <w:pPr>
        <w:spacing w:after="0" w:line="10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40"/>
          </w:cols>
          <w:pgMar w:left="980" w:top="266" w:right="579" w:bottom="1440" w:gutter="0" w:footer="0" w:header="0"/>
        </w:sectPr>
      </w:pPr>
    </w:p>
    <w:bookmarkStart w:id="503" w:name="page504"/>
    <w:bookmarkEnd w:id="503"/>
    <w:p>
      <w:pPr>
        <w:ind w:left="1710" w:right="380" w:hanging="634"/>
        <w:spacing w:after="0" w:line="270" w:lineRule="auto"/>
        <w:tabs>
          <w:tab w:leader="none" w:pos="168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2.2.5</w:t>
      </w:r>
      <w:r>
        <w:rPr>
          <w:sz w:val="20"/>
          <w:szCs w:val="20"/>
          <w:color w:val="auto"/>
        </w:rPr>
        <w:tab/>
      </w:r>
      <w:r>
        <w:rPr>
          <w:rFonts w:ascii="Times New Roman" w:cs="Times New Roman" w:eastAsia="Times New Roman" w:hAnsi="Times New Roman"/>
          <w:sz w:val="18"/>
          <w:szCs w:val="18"/>
          <w:color w:val="auto"/>
        </w:rPr>
        <w:t>It will immediately notify Party A of any actual or potential litigation, arbitration or administrative proceeding regarding its assets, business and income;</w:t>
      </w:r>
    </w:p>
    <w:p>
      <w:pPr>
        <w:spacing w:after="0" w:line="7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color w:val="auto"/>
        </w:rPr>
        <w:t>It will cause Party C’s shareholders’ meeting to vote for the transfer of the Purchased Equity Interest provided hereunder;</w:t>
      </w:r>
    </w:p>
    <w:p>
      <w:pPr>
        <w:spacing w:after="0" w:line="124" w:lineRule="exact"/>
        <w:rPr>
          <w:sz w:val="20"/>
          <w:szCs w:val="20"/>
          <w:color w:val="auto"/>
        </w:rPr>
      </w:pPr>
    </w:p>
    <w:p>
      <w:pPr>
        <w:ind w:left="1710" w:right="20" w:hanging="634"/>
        <w:spacing w:after="0" w:line="258" w:lineRule="auto"/>
        <w:tabs>
          <w:tab w:leader="none" w:pos="1689"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color w:val="auto"/>
        </w:rPr>
        <w:t>In order to keep its ownership of the equity interests of Party C. it will execute all requisite or appropriate documents, conduct all requisite or appropriate actions, and make all requisite or appropriate claims, or make requisite or appropriate defense against all claims;</w:t>
      </w:r>
    </w:p>
    <w:p>
      <w:pPr>
        <w:spacing w:after="0" w:line="8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At the request of Party A, it will appoint any person nominated by Party A to the board of Party C;</w:t>
      </w:r>
    </w:p>
    <w:p>
      <w:pPr>
        <w:spacing w:after="0" w:line="124" w:lineRule="exact"/>
        <w:rPr>
          <w:sz w:val="20"/>
          <w:szCs w:val="20"/>
          <w:color w:val="auto"/>
        </w:rPr>
      </w:pPr>
    </w:p>
    <w:p>
      <w:pPr>
        <w:ind w:left="1710" w:right="40" w:hanging="634"/>
        <w:spacing w:after="0" w:line="253" w:lineRule="auto"/>
        <w:tabs>
          <w:tab w:leader="none" w:pos="1689" w:val="left"/>
        </w:tabs>
        <w:rPr>
          <w:sz w:val="20"/>
          <w:szCs w:val="20"/>
          <w:color w:val="auto"/>
        </w:rPr>
      </w:pPr>
      <w:r>
        <w:rPr>
          <w:rFonts w:ascii="Times New Roman" w:cs="Times New Roman" w:eastAsia="Times New Roman" w:hAnsi="Times New Roman"/>
          <w:sz w:val="18"/>
          <w:szCs w:val="18"/>
          <w:color w:val="auto"/>
        </w:rPr>
        <w:t>2.2.9</w:t>
      </w:r>
      <w:r>
        <w:rPr>
          <w:sz w:val="20"/>
          <w:szCs w:val="20"/>
          <w:color w:val="auto"/>
        </w:rPr>
        <w:tab/>
      </w:r>
      <w:r>
        <w:rPr>
          <w:rFonts w:ascii="Times New Roman" w:cs="Times New Roman" w:eastAsia="Times New Roman" w:hAnsi="Times New Roman"/>
          <w:sz w:val="18"/>
          <w:szCs w:val="18"/>
          <w:color w:val="auto"/>
        </w:rPr>
        <w:t>At the request of Party A at any time, it will transfer unconditionally and immediately the Purchased Equity Interest to Party A or any Designated Person and waive the right of first refusal regarding the Purchased Equity Interest. If the equity interest of Party C could by sold or transferred to any party other than Party A or the Designated Person, Party B may not waive its right of first refusal without Party A’s consent;</w:t>
      </w:r>
    </w:p>
    <w:p>
      <w:pPr>
        <w:spacing w:after="0" w:line="92" w:lineRule="exact"/>
        <w:rPr>
          <w:sz w:val="20"/>
          <w:szCs w:val="20"/>
          <w:color w:val="auto"/>
        </w:rPr>
      </w:pPr>
    </w:p>
    <w:p>
      <w:pPr>
        <w:ind w:left="1710" w:hanging="634"/>
        <w:spacing w:after="0" w:line="258" w:lineRule="auto"/>
        <w:tabs>
          <w:tab w:leader="none" w:pos="1689" w:val="left"/>
        </w:tabs>
        <w:rPr>
          <w:sz w:val="20"/>
          <w:szCs w:val="20"/>
          <w:color w:val="auto"/>
        </w:rPr>
      </w:pPr>
      <w:r>
        <w:rPr>
          <w:rFonts w:ascii="Times New Roman" w:cs="Times New Roman" w:eastAsia="Times New Roman" w:hAnsi="Times New Roman"/>
          <w:sz w:val="18"/>
          <w:szCs w:val="18"/>
          <w:color w:val="auto"/>
        </w:rPr>
        <w:t>2.2.10</w:t>
        <w:tab/>
        <w:t>It will strictly comply with the provisions of this Agreement and other agreements jointly or severally executed by any of the Parties, duly perform all obligations under such agreements, and will not make any act or omission which may affect the validity and enforceability of these agreements; and</w:t>
      </w:r>
    </w:p>
    <w:p>
      <w:pPr>
        <w:spacing w:after="0" w:line="86" w:lineRule="exact"/>
        <w:rPr>
          <w:sz w:val="20"/>
          <w:szCs w:val="20"/>
          <w:color w:val="auto"/>
        </w:rPr>
      </w:pPr>
    </w:p>
    <w:p>
      <w:pPr>
        <w:ind w:left="1070"/>
        <w:spacing w:after="0"/>
        <w:tabs>
          <w:tab w:leader="none" w:pos="1689" w:val="left"/>
        </w:tabs>
        <w:rPr>
          <w:sz w:val="20"/>
          <w:szCs w:val="20"/>
          <w:color w:val="auto"/>
        </w:rPr>
      </w:pPr>
      <w:r>
        <w:rPr>
          <w:rFonts w:ascii="Times New Roman" w:cs="Times New Roman" w:eastAsia="Times New Roman" w:hAnsi="Times New Roman"/>
          <w:sz w:val="18"/>
          <w:szCs w:val="18"/>
          <w:color w:val="auto"/>
        </w:rPr>
        <w:t>2.2.11</w:t>
      </w:r>
      <w:r>
        <w:rPr>
          <w:sz w:val="20"/>
          <w:szCs w:val="20"/>
          <w:color w:val="auto"/>
        </w:rPr>
        <w:tab/>
      </w:r>
      <w:r>
        <w:rPr>
          <w:rFonts w:ascii="Times New Roman" w:cs="Times New Roman" w:eastAsia="Times New Roman" w:hAnsi="Times New Roman"/>
          <w:sz w:val="17"/>
          <w:szCs w:val="17"/>
          <w:color w:val="auto"/>
        </w:rPr>
        <w:t>It irrevocably undertakes to be severally and jointly liable for the obligations provided hereunder.</w:t>
      </w:r>
    </w:p>
    <w:p>
      <w:pPr>
        <w:spacing w:after="0" w:line="359" w:lineRule="exact"/>
        <w:rPr>
          <w:sz w:val="20"/>
          <w:szCs w:val="20"/>
          <w:color w:val="auto"/>
        </w:rPr>
      </w:pPr>
    </w:p>
    <w:p>
      <w:pPr>
        <w:ind w:left="430" w:hanging="430"/>
        <w:spacing w:after="0"/>
        <w:tabs>
          <w:tab w:leader="none" w:pos="430"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Party B and Party C represents and warrants, jointly and severally, to Party A that as of the date of this Agreement:</w:t>
      </w:r>
    </w:p>
    <w:p>
      <w:pPr>
        <w:spacing w:after="0" w:line="121" w:lineRule="exact"/>
        <w:rPr>
          <w:rFonts w:ascii="Times New Roman" w:cs="Times New Roman" w:eastAsia="Times New Roman" w:hAnsi="Times New Roman"/>
          <w:sz w:val="18"/>
          <w:szCs w:val="18"/>
          <w:b w:val="1"/>
          <w:bCs w:val="1"/>
          <w:color w:val="auto"/>
        </w:rPr>
      </w:pPr>
    </w:p>
    <w:p>
      <w:pPr>
        <w:ind w:left="1050" w:right="60" w:hanging="63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3.1It has the rights and powers to execute and deliver this Agreement and any equity interest transfer agreement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executed for each transfer of the Purchased Equity Interest contemplated hereunder to which it is a party, and perform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any Transfer Agreement. Once executed, this Agreement and the Transfer Agreement to which it is a party will be its legal, valid and binding obligations and enforceable against it according to the terms of this Agreement and the Transfer Agreement.</w:t>
      </w:r>
    </w:p>
    <w:p>
      <w:pPr>
        <w:spacing w:after="0" w:line="91"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None of its execution, delivery and performance of this Agreement or any Transfer Agreement will: (i) breach any applicable PRC laws;</w:t>
      </w:r>
    </w:p>
    <w:p>
      <w:pPr>
        <w:spacing w:after="0" w:line="22" w:lineRule="exact"/>
        <w:rPr>
          <w:rFonts w:ascii="Times New Roman" w:cs="Times New Roman" w:eastAsia="Times New Roman" w:hAnsi="Times New Roman"/>
          <w:sz w:val="18"/>
          <w:szCs w:val="18"/>
          <w:b w:val="1"/>
          <w:bCs w:val="1"/>
          <w:color w:val="auto"/>
        </w:rPr>
      </w:pPr>
    </w:p>
    <w:p>
      <w:pPr>
        <w:ind w:left="1050" w:right="80" w:firstLine="8"/>
        <w:spacing w:after="0" w:line="246" w:lineRule="auto"/>
        <w:tabs>
          <w:tab w:leader="none" w:pos="1309"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its articles of association or any other organizational documents; (iii) breach any agreement or document to which it is a party or binding upon it, or constitute breach of any such agreement or document; (iv) breach any condition on which basis any of its permits or approvals is granted and/or will continue to be effective; or (v) cause any of its permits or approvals to be suspended, cancelled or imposed with additional conditions.</w:t>
      </w:r>
    </w:p>
    <w:p>
      <w:pPr>
        <w:spacing w:after="0" w:line="1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90"/>
          </w:cols>
          <w:pgMar w:left="550" w:top="266" w:right="559" w:bottom="1440" w:gutter="0" w:footer="0" w:header="0"/>
        </w:sectPr>
      </w:pPr>
    </w:p>
    <w:bookmarkStart w:id="504" w:name="page505"/>
    <w:bookmarkEnd w:id="504"/>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7"/>
          <w:szCs w:val="17"/>
          <w:color w:val="auto"/>
        </w:rPr>
        <w:t>Party B has good and entire ownership of and creates no security interest or encumbrance upon any of its assets,</w:t>
      </w:r>
    </w:p>
    <w:p>
      <w:pPr>
        <w:spacing w:after="0" w:line="124" w:lineRule="exact"/>
        <w:rPr>
          <w:sz w:val="20"/>
          <w:szCs w:val="20"/>
          <w:color w:val="auto"/>
        </w:rPr>
      </w:pPr>
    </w:p>
    <w:p>
      <w:pPr>
        <w:ind w:left="1050" w:right="6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Party C has no outstanding debt, except for those (i) incurred during its ordinary course of business, and (ii) disclosed to and approved in writing by Party A.</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Party C is in compliance with all applicable laws and regulations.</w:t>
      </w:r>
    </w:p>
    <w:p>
      <w:pPr>
        <w:spacing w:after="0" w:line="359" w:lineRule="exact"/>
        <w:rPr>
          <w:sz w:val="20"/>
          <w:szCs w:val="20"/>
          <w:color w:val="auto"/>
        </w:rPr>
      </w:pPr>
    </w:p>
    <w:p>
      <w:pPr>
        <w:ind w:left="430" w:hanging="430"/>
        <w:spacing w:after="0"/>
        <w:tabs>
          <w:tab w:leader="none" w:pos="43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Effectiveness and Term</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color w:val="auto"/>
        </w:rPr>
        <w:t>This Agreement shall be effective as of the date of its execution.</w:t>
      </w:r>
    </w:p>
    <w:p>
      <w:pPr>
        <w:spacing w:after="0" w:line="123" w:lineRule="exact"/>
        <w:rPr>
          <w:rFonts w:ascii="Times New Roman" w:cs="Times New Roman" w:eastAsia="Times New Roman" w:hAnsi="Times New Roman"/>
          <w:sz w:val="18"/>
          <w:szCs w:val="18"/>
          <w:b w:val="1"/>
          <w:bCs w:val="1"/>
          <w:color w:val="auto"/>
        </w:rPr>
      </w:pPr>
    </w:p>
    <w:p>
      <w:pPr>
        <w:ind w:left="1050" w:right="6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4.2The term of this Agreement is ten (10) years. This Agreement may be extended for another ten (10) years upon Party A’s written confirmation prior to the expiration of this Agreement, and so forth thereafter.</w:t>
      </w:r>
    </w:p>
    <w:p>
      <w:pPr>
        <w:spacing w:after="0" w:line="76" w:lineRule="exact"/>
        <w:rPr>
          <w:rFonts w:ascii="Times New Roman" w:cs="Times New Roman" w:eastAsia="Times New Roman" w:hAnsi="Times New Roman"/>
          <w:sz w:val="18"/>
          <w:szCs w:val="18"/>
          <w:b w:val="1"/>
          <w:bCs w:val="1"/>
          <w:color w:val="auto"/>
        </w:rPr>
      </w:pPr>
    </w:p>
    <w:p>
      <w:pPr>
        <w:ind w:left="105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4.3During the term provided in Section 4.2, if Party A or Party C is terminated at expiration of their respective operation term (including any extension of such term) or by any other reason, this Agreement shall be terminated upon such termination.</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125" w:lineRule="exact"/>
        <w:rPr>
          <w:rFonts w:ascii="Times New Roman" w:cs="Times New Roman" w:eastAsia="Times New Roman" w:hAnsi="Times New Roman"/>
          <w:sz w:val="18"/>
          <w:szCs w:val="18"/>
          <w:b w:val="1"/>
          <w:bCs w:val="1"/>
          <w:color w:val="auto"/>
        </w:rPr>
      </w:pPr>
    </w:p>
    <w:p>
      <w:pPr>
        <w:ind w:left="1050" w:right="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5.1At any time during the term of this Agreement and any extended term hereof, if Party A can not exercise the Purchase Option pursuant to Section 1 due to then applicable laws, Party A can, at its own discretion, unconditionally terminate this Agreement by issuing a written notice to Party B without any liability.</w:t>
      </w:r>
    </w:p>
    <w:p>
      <w:pPr>
        <w:spacing w:after="0" w:line="85" w:lineRule="exact"/>
        <w:rPr>
          <w:rFonts w:ascii="Times New Roman" w:cs="Times New Roman" w:eastAsia="Times New Roman" w:hAnsi="Times New Roman"/>
          <w:sz w:val="18"/>
          <w:szCs w:val="18"/>
          <w:b w:val="1"/>
          <w:bCs w:val="1"/>
          <w:color w:val="auto"/>
        </w:rPr>
      </w:pPr>
    </w:p>
    <w:p>
      <w:pPr>
        <w:ind w:left="1050" w:right="60" w:hanging="634"/>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7"/>
          <w:szCs w:val="17"/>
          <w:color w:val="auto"/>
        </w:rPr>
        <w:t>If Party C is terminated due to bankruptcy, dissolution or being ordered to close down by the laws during the term of this Agreement and its extension period„ the obligations of Party B hereunder shall be terminated upon the termination of Party C; notwithstanding anything to the contrary, Party B shall immediately repay the principal and any interest accrued thereupon under the Loan Agreement.</w:t>
      </w:r>
    </w:p>
    <w:p>
      <w:pPr>
        <w:spacing w:after="0" w:line="69" w:lineRule="exact"/>
        <w:rPr>
          <w:rFonts w:ascii="Times New Roman" w:cs="Times New Roman" w:eastAsia="Times New Roman" w:hAnsi="Times New Roman"/>
          <w:sz w:val="18"/>
          <w:szCs w:val="18"/>
          <w:b w:val="1"/>
          <w:bCs w:val="1"/>
          <w:color w:val="auto"/>
        </w:rPr>
      </w:pPr>
    </w:p>
    <w:p>
      <w:pPr>
        <w:ind w:left="1050" w:right="1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5.3Except under circumstances indicated in Section 5.2, Party B may not unilaterally terminate this Agreement at any time during the term and extension periods of this Agreement without Party A’s written consent.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70"/>
          </w:cols>
          <w:pgMar w:left="550" w:top="266" w:right="579" w:bottom="1440" w:gutter="0" w:footer="0" w:header="0"/>
        </w:sectPr>
      </w:pPr>
    </w:p>
    <w:bookmarkStart w:id="505" w:name="page506"/>
    <w:bookmarkEnd w:id="505"/>
    <w:p>
      <w:pPr>
        <w:ind w:left="430" w:hanging="430"/>
        <w:spacing w:after="0"/>
        <w:tabs>
          <w:tab w:leader="none" w:pos="43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Taxes and Expenses</w:t>
      </w:r>
    </w:p>
    <w:p>
      <w:pPr>
        <w:spacing w:after="0" w:line="112" w:lineRule="exact"/>
        <w:rPr>
          <w:rFonts w:ascii="Times New Roman" w:cs="Times New Roman" w:eastAsia="Times New Roman" w:hAnsi="Times New Roman"/>
          <w:sz w:val="18"/>
          <w:szCs w:val="18"/>
          <w:b w:val="1"/>
          <w:bCs w:val="1"/>
          <w:color w:val="auto"/>
        </w:rPr>
      </w:pPr>
    </w:p>
    <w:p>
      <w:pPr>
        <w:ind w:left="430"/>
        <w:spacing w:after="0" w:line="3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Each Party shall bear any and all taxes, costs and expenses related to transfer and registration as required by the PRC laws incurred by or imposed on such Party arising from the preparation and execution of this Agreement and the consummation of the transaction contemplated hereunder.</w:t>
      </w:r>
    </w:p>
    <w:p>
      <w:pPr>
        <w:spacing w:after="0" w:line="28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Contract</w:t>
      </w:r>
    </w:p>
    <w:p>
      <w:pPr>
        <w:spacing w:after="0" w:line="123" w:lineRule="exact"/>
        <w:rPr>
          <w:rFonts w:ascii="Times New Roman" w:cs="Times New Roman" w:eastAsia="Times New Roman" w:hAnsi="Times New Roman"/>
          <w:sz w:val="18"/>
          <w:szCs w:val="18"/>
          <w:b w:val="1"/>
          <w:bCs w:val="1"/>
          <w:color w:val="auto"/>
        </w:rPr>
      </w:pPr>
    </w:p>
    <w:p>
      <w:pPr>
        <w:ind w:left="1050" w:right="60" w:hanging="63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7.1If either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other Parties (“</w:t>
      </w:r>
      <w:r>
        <w:rPr>
          <w:rFonts w:ascii="Times New Roman" w:cs="Times New Roman" w:eastAsia="Times New Roman" w:hAnsi="Times New Roman"/>
          <w:sz w:val="18"/>
          <w:szCs w:val="18"/>
          <w:b w:val="1"/>
          <w:bCs w:val="1"/>
          <w:color w:val="auto"/>
        </w:rPr>
        <w:t>Non-defaulting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Non-defaulting Party could notify the Defaulting Party in writing and request it to rectify and correct such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the Defaulting Party fails to take any action satisfactory to the Non-defaulting Party to rectify and correct such breach within fifteen (15) days upon the issuance of the written notice by the Non-defaulting Party, the Non-defaulting Party may take the actions pursuant to this Agreement or take other remedies in accordance with the laws.</w:t>
      </w:r>
    </w:p>
    <w:p>
      <w:pPr>
        <w:spacing w:after="0" w:line="91"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7"/>
          <w:szCs w:val="17"/>
          <w:color w:val="auto"/>
        </w:rPr>
        <w:t>The following events shall constitute a default by Party B:</w:t>
      </w:r>
    </w:p>
    <w:p>
      <w:pPr>
        <w:spacing w:after="0" w:line="123" w:lineRule="exact"/>
        <w:rPr>
          <w:rFonts w:ascii="Times New Roman" w:cs="Times New Roman" w:eastAsia="Times New Roman" w:hAnsi="Times New Roman"/>
          <w:sz w:val="18"/>
          <w:szCs w:val="18"/>
          <w:b w:val="1"/>
          <w:bCs w:val="1"/>
          <w:color w:val="auto"/>
        </w:rPr>
      </w:pPr>
    </w:p>
    <w:p>
      <w:pPr>
        <w:ind w:left="1710" w:right="340" w:hanging="639"/>
        <w:spacing w:after="0" w:line="270" w:lineRule="auto"/>
        <w:tabs>
          <w:tab w:leader="none" w:pos="171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breaches any provision of this Agreement, or any representation or warranty made Party B under this Agreement is untrue or proves inaccurate in any material aspect;</w:t>
      </w:r>
    </w:p>
    <w:p>
      <w:pPr>
        <w:spacing w:after="0" w:line="76" w:lineRule="exact"/>
        <w:rPr>
          <w:rFonts w:ascii="Times New Roman" w:cs="Times New Roman" w:eastAsia="Times New Roman" w:hAnsi="Times New Roman"/>
          <w:sz w:val="18"/>
          <w:szCs w:val="18"/>
          <w:color w:val="auto"/>
        </w:rPr>
      </w:pPr>
    </w:p>
    <w:p>
      <w:pPr>
        <w:ind w:left="1710" w:right="60" w:hanging="639"/>
        <w:spacing w:after="0" w:line="270" w:lineRule="auto"/>
        <w:tabs>
          <w:tab w:leader="none" w:pos="171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assigns or otherwise transfers or disposes of any of its rights under this Agreement without the prior written consent by Party A;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breaches by Party B which renders this Agreement, the Loan Agreement, and the Equity Pledge Agreement unenforceable.</w:t>
      </w:r>
    </w:p>
    <w:p>
      <w:pPr>
        <w:spacing w:after="0" w:line="135" w:lineRule="exact"/>
        <w:rPr>
          <w:sz w:val="20"/>
          <w:szCs w:val="20"/>
          <w:color w:val="auto"/>
        </w:rPr>
      </w:pPr>
    </w:p>
    <w:p>
      <w:pPr>
        <w:ind w:left="1050" w:right="12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Should a breach of contract by Party B or violation by Party B of the Loan Agreement and the Equity Pledge Agreement occur, Party A may:</w:t>
      </w:r>
    </w:p>
    <w:p>
      <w:pPr>
        <w:spacing w:after="0" w:line="76" w:lineRule="exact"/>
        <w:rPr>
          <w:sz w:val="20"/>
          <w:szCs w:val="20"/>
          <w:color w:val="auto"/>
        </w:rPr>
      </w:pPr>
    </w:p>
    <w:p>
      <w:pPr>
        <w:ind w:left="1710" w:right="280" w:hanging="639"/>
        <w:spacing w:after="0" w:line="270" w:lineRule="auto"/>
        <w:tabs>
          <w:tab w:leader="none" w:pos="171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Party B to immediately transfer all or any part of the Purchased Equity Interests to Party A or the Designated Person pursuant to this Agreement; and</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the principal and the interest accrued thereupon under the Loan Agreement.</w:t>
      </w:r>
    </w:p>
    <w:p>
      <w:pPr>
        <w:spacing w:after="0" w:line="359" w:lineRule="exact"/>
        <w:rPr>
          <w:sz w:val="20"/>
          <w:szCs w:val="20"/>
          <w:color w:val="auto"/>
        </w:rPr>
      </w:pPr>
    </w:p>
    <w:p>
      <w:pPr>
        <w:ind w:left="430" w:hanging="430"/>
        <w:spacing w:after="0"/>
        <w:tabs>
          <w:tab w:leader="none" w:pos="430"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2" w:lineRule="exact"/>
        <w:rPr>
          <w:rFonts w:ascii="Times New Roman" w:cs="Times New Roman" w:eastAsia="Times New Roman" w:hAnsi="Times New Roman"/>
          <w:sz w:val="18"/>
          <w:szCs w:val="18"/>
          <w:b w:val="1"/>
          <w:bCs w:val="1"/>
          <w:color w:val="auto"/>
        </w:rPr>
      </w:pPr>
    </w:p>
    <w:p>
      <w:pPr>
        <w:ind w:left="430" w:right="80"/>
        <w:spacing w:after="0" w:line="22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made in writing and delivered personally or sent by mail or facsimile transmission to the addresses of the other Parties set forth below or other designated addresses notified by such other Parties to such Party from time to time. The date when the notice is deemed to be duly served shall be determined as the follows: (a) a notice delivered personally is deemed duly served upon the delivery; (b) a notice sent by mail is deemed duly served on the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date when the air registered mail with postage prepaid has been sent out (as is shown on the postmark), or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delivery date to the internationally recognized courier service agency; and (c) a notice sent by facsimile transmission is deemed duly served upon the receipt time as is shown on the transmission confirmation of relevant documents.</w:t>
      </w:r>
    </w:p>
    <w:p>
      <w:pPr>
        <w:spacing w:after="0" w:line="129"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30"/>
          </w:cols>
          <w:pgMar w:left="550" w:top="264" w:right="61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If to </w:t>
      </w:r>
      <w:r>
        <w:rPr>
          <w:rFonts w:ascii="Times New Roman" w:cs="Times New Roman" w:eastAsia="Times New Roman" w:hAnsi="Times New Roman"/>
          <w:sz w:val="18"/>
          <w:szCs w:val="18"/>
          <w:b w:val="1"/>
          <w:bCs w:val="1"/>
          <w:color w:val="auto"/>
        </w:rPr>
        <w:t>Party A: Beijing Jingdong Century Trade Co., Ltd.</w:t>
      </w:r>
    </w:p>
    <w:p>
      <w:pPr>
        <w:spacing w:after="0" w:line="218" w:lineRule="exact"/>
        <w:rPr>
          <w:sz w:val="20"/>
          <w:szCs w:val="20"/>
          <w:color w:val="auto"/>
        </w:rPr>
      </w:pPr>
    </w:p>
    <w:p>
      <w:pPr>
        <w:jc w:val="both"/>
        <w:spacing w:after="0"/>
        <w:tabs>
          <w:tab w:leader="none" w:pos="8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Party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jc w:val="both"/>
        <w:spacing w:after="0"/>
        <w:tabs>
          <w:tab w:leader="none" w:pos="8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jc w:val="both"/>
        <w:spacing w:after="0"/>
        <w:tabs>
          <w:tab w:leader="none" w:pos="8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jc w:val="both"/>
        <w:spacing w:after="0"/>
        <w:tabs>
          <w:tab w:leader="none" w:pos="8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If to </w:t>
      </w:r>
      <w:r>
        <w:rPr>
          <w:rFonts w:ascii="Times New Roman" w:cs="Times New Roman" w:eastAsia="Times New Roman" w:hAnsi="Times New Roman"/>
          <w:sz w:val="17"/>
          <w:szCs w:val="17"/>
          <w:b w:val="1"/>
          <w:bCs w:val="1"/>
          <w:color w:val="auto"/>
        </w:rPr>
        <w:t>Party C: Beijing Jiasheng Investment Management Co., Ltd.</w:t>
      </w:r>
    </w:p>
    <w:p>
      <w:pPr>
        <w:spacing w:after="0" w:line="230" w:lineRule="exact"/>
        <w:rPr>
          <w:sz w:val="20"/>
          <w:szCs w:val="20"/>
          <w:color w:val="auto"/>
        </w:rPr>
      </w:pPr>
    </w:p>
    <w:p>
      <w:pPr>
        <w:jc w:val="both"/>
        <w:spacing w:after="0"/>
        <w:tabs>
          <w:tab w:leader="none" w:pos="88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jc w:val="right"/>
        <w:ind w:right="7859"/>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39"/>
          </w:cols>
          <w:pgMar w:left="1420" w:top="264" w:right="1440" w:bottom="1440" w:gutter="0" w:footer="0" w:header="0"/>
        </w:sectPr>
      </w:pPr>
    </w:p>
    <w:bookmarkStart w:id="507" w:name="page508"/>
    <w:bookmarkEnd w:id="507"/>
    <w:p>
      <w:pPr>
        <w:ind w:left="430" w:hanging="430"/>
        <w:spacing w:after="0"/>
        <w:tabs>
          <w:tab w:leader="none" w:pos="43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Applicable Law and Dispute Resolution</w:t>
      </w:r>
    </w:p>
    <w:p>
      <w:pPr>
        <w:spacing w:after="0" w:line="125" w:lineRule="exact"/>
        <w:rPr>
          <w:rFonts w:ascii="Times New Roman" w:cs="Times New Roman" w:eastAsia="Times New Roman" w:hAnsi="Times New Roman"/>
          <w:sz w:val="18"/>
          <w:szCs w:val="18"/>
          <w:b w:val="1"/>
          <w:bCs w:val="1"/>
          <w:color w:val="auto"/>
        </w:rPr>
      </w:pPr>
    </w:p>
    <w:p>
      <w:pPr>
        <w:ind w:left="1050" w:right="4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9.1The formation, validity, performance and interpretation of this Agreement and the disputes resolution under this Agreement shall be governed by the PRC laws.</w:t>
      </w:r>
    </w:p>
    <w:p>
      <w:pPr>
        <w:spacing w:after="0" w:line="76" w:lineRule="exact"/>
        <w:rPr>
          <w:rFonts w:ascii="Times New Roman" w:cs="Times New Roman" w:eastAsia="Times New Roman" w:hAnsi="Times New Roman"/>
          <w:sz w:val="18"/>
          <w:szCs w:val="18"/>
          <w:b w:val="1"/>
          <w:bCs w:val="1"/>
          <w:color w:val="auto"/>
        </w:rPr>
      </w:pPr>
    </w:p>
    <w:p>
      <w:pPr>
        <w:ind w:left="1050" w:right="40" w:hanging="63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9.2The Parties shall strive to settle any dispute arising from or in connection with this Agreement through friendly consultation. In case no settlement can be reached through consultation within thirty (30) days after the request for consultation is made by any Party, any Party can submit such matter to Beijing Arbitration Commission for arbitration in accordance with its then effective rules. The arbitration shall take place in Beijing. The arbitration award shall be final and binding upon all the Parties.</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Parties acknowledge and confirm that any oral or written materials exchanged by and between the Parties in connection with this Agreement are confidential. All Parties shall keep in confidence all such information and not disclose it to any third party without prior written consent from other Parties unless (a) such information is known or will be known by the public (except by disclosure of the receiving party without authorization); (b) such information is required to be disclosed in accordance with applicable laws or rules or regulations; or (c) if any information is required to be disclosed by any party to its legal or financial advisor for the purpose of the transaction of this Agreement, such legal or financial advisor shall also comply with the confidentiality obligation similar to that stated hereof. Any disclosure by any employee or agency engaged by any Party shall be deemed the disclosure of such Party and such Party shall assume the liabilities for its breach of contract pursuant to this Agreement. This Article shall survive expiration or termination of this Agreement.</w:t>
      </w:r>
    </w:p>
    <w:p>
      <w:pPr>
        <w:spacing w:after="0" w:line="335"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1050" w:right="6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11.1The headings contained in this Agreement are for the convenience of reference only and shall not be used to interpret, explain or otherwise affect the meaning of the provisions of this Agreement.</w:t>
      </w:r>
    </w:p>
    <w:p>
      <w:pPr>
        <w:spacing w:after="0" w:line="76" w:lineRule="exact"/>
        <w:rPr>
          <w:rFonts w:ascii="Times New Roman" w:cs="Times New Roman" w:eastAsia="Times New Roman" w:hAnsi="Times New Roman"/>
          <w:sz w:val="18"/>
          <w:szCs w:val="18"/>
          <w:b w:val="1"/>
          <w:bCs w:val="1"/>
          <w:color w:val="auto"/>
        </w:rPr>
      </w:pPr>
    </w:p>
    <w:p>
      <w:pPr>
        <w:ind w:left="1050" w:right="1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11.2The Parties agree to promptly execute any document and take any other action reasonably necessary or advisable to perform provisions and purpose of this Agreement.</w:t>
      </w:r>
    </w:p>
    <w:p>
      <w:pPr>
        <w:spacing w:after="0" w:line="76" w:lineRule="exact"/>
        <w:rPr>
          <w:rFonts w:ascii="Times New Roman" w:cs="Times New Roman" w:eastAsia="Times New Roman" w:hAnsi="Times New Roman"/>
          <w:sz w:val="18"/>
          <w:szCs w:val="18"/>
          <w:b w:val="1"/>
          <w:bCs w:val="1"/>
          <w:color w:val="auto"/>
        </w:rPr>
      </w:pPr>
    </w:p>
    <w:p>
      <w:pPr>
        <w:ind w:left="1050" w:right="12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11.3The Parties confirm that this Agreement shall, upon its effectiveness, constitute the entire agreement and common understanding of the Parties with respect to the subject matters herein and fully supersede all prior verbal and/or written agreements and understandings with respect to the subject matters herein.</w:t>
      </w:r>
    </w:p>
    <w:p>
      <w:pPr>
        <w:spacing w:after="0" w:line="85" w:lineRule="exact"/>
        <w:rPr>
          <w:rFonts w:ascii="Times New Roman" w:cs="Times New Roman" w:eastAsia="Times New Roman" w:hAnsi="Times New Roman"/>
          <w:sz w:val="18"/>
          <w:szCs w:val="18"/>
          <w:b w:val="1"/>
          <w:bCs w:val="1"/>
          <w:color w:val="auto"/>
        </w:rPr>
      </w:pPr>
    </w:p>
    <w:p>
      <w:pPr>
        <w:ind w:left="1050" w:right="12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11.4The Parties may amend and supplement this Agreement in writing. Any amendment and/or supplement to this Agreement by the Parties is an integral part of and has the same effect with this Agreement</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50"/>
          </w:cols>
          <w:pgMar w:left="550" w:top="264" w:right="599" w:bottom="1440" w:gutter="0" w:footer="0" w:header="0"/>
        </w:sectPr>
      </w:pPr>
    </w:p>
    <w:bookmarkStart w:id="508" w:name="page509"/>
    <w:bookmarkEnd w:id="508"/>
    <w:p>
      <w:pPr>
        <w:ind w:left="620" w:right="26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11.5</w:t>
      </w:r>
      <w:r>
        <w:rPr>
          <w:sz w:val="20"/>
          <w:szCs w:val="20"/>
          <w:color w:val="auto"/>
        </w:rPr>
        <w:tab/>
      </w:r>
      <w:r>
        <w:rPr>
          <w:rFonts w:ascii="Times New Roman" w:cs="Times New Roman" w:eastAsia="Times New Roman" w:hAnsi="Times New Roman"/>
          <w:sz w:val="18"/>
          <w:szCs w:val="18"/>
          <w:color w:val="auto"/>
        </w:rPr>
        <w:t>This Agreement shall be binding upon and for the benefit of all the Parties hereto and their respective inheritors, successors and the permitted assigns.</w:t>
      </w:r>
    </w:p>
    <w:p>
      <w:pPr>
        <w:spacing w:after="0" w:line="76" w:lineRule="exact"/>
        <w:rPr>
          <w:sz w:val="20"/>
          <w:szCs w:val="20"/>
          <w:color w:val="auto"/>
        </w:rPr>
      </w:pPr>
    </w:p>
    <w:p>
      <w:pPr>
        <w:ind w:left="620" w:right="12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Any Party’s failure to exercise the rights under this Agreement in time shall not be deemed as its waiver of such rights and would not affect its future exercise of such rights.</w:t>
      </w:r>
    </w:p>
    <w:p>
      <w:pPr>
        <w:spacing w:after="0" w:line="76" w:lineRule="exact"/>
        <w:rPr>
          <w:sz w:val="20"/>
          <w:szCs w:val="20"/>
          <w:color w:val="auto"/>
        </w:rPr>
      </w:pPr>
    </w:p>
    <w:p>
      <w:pPr>
        <w:ind w:left="620" w:hanging="633"/>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If any provision of this Agreement is held void, invalid or unenforceable by a court of competent jurisdiction, governmental agency or arbitration authority, the validity, legality and enforceability of the other provisions hereof shall not be affected or impaired in any way. The Parties shall cease performing such void, invalid or unenforceable provisions and revise such void, invalid or unenforceable provisions only to the extent closest to the original intention thereof to recover its validity or enforceability for such specific facts and circumstances.</w:t>
      </w:r>
    </w:p>
    <w:p>
      <w:pPr>
        <w:spacing w:after="0" w:line="94" w:lineRule="exact"/>
        <w:rPr>
          <w:sz w:val="20"/>
          <w:szCs w:val="20"/>
          <w:color w:val="auto"/>
        </w:rPr>
      </w:pPr>
    </w:p>
    <w:p>
      <w:pPr>
        <w:ind w:left="620" w:right="38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Unless with prior written consent from Party A, none of Party B or Party C may assign any of its rights and obligations under this Agreement to any third party.</w:t>
      </w:r>
    </w:p>
    <w:p>
      <w:pPr>
        <w:spacing w:after="0" w:line="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color w:val="auto"/>
        </w:rPr>
        <w:t>This Agreement is made in five (5) originals with each Party holding one (1) original. Each original has the same effect.</w:t>
      </w:r>
    </w:p>
    <w:p>
      <w:pPr>
        <w:spacing w:after="0" w:line="2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[No text below]</w:t>
      </w:r>
    </w:p>
    <w:p>
      <w:pPr>
        <w:spacing w:after="0" w:line="1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140"/>
          </w:cols>
          <w:pgMar w:left="980" w:top="266" w:right="77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(Signature Page)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THEREOF, each Party has signed or caused its legal representative to sign this Agreement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Jingdong Century Trade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9">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Jingdong Century Trade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0">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Qin Miao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1">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2">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3">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C: Beijing Jiasheng Investment Management Co.,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Jiasheng Investment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4">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Jiasheng Investment Management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Cheng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5">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99"/>
          </w:cols>
          <w:pgMar w:left="560" w:top="266" w:right="1440" w:bottom="1440" w:gutter="0" w:footer="0" w:header="0"/>
        </w:sectPr>
      </w:pPr>
    </w:p>
    <w:bookmarkStart w:id="510" w:name="page511"/>
    <w:bookmarkEnd w:id="5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21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exclusive purchase option agreements substantially in form as this exhibit that the Registrant entered into with certain other Chinese variable interest entities. Other than the information set forth below, there is no material difference between such other agreements and this exhibit.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312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316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Execution Date</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42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Jiangsu Jingdong Bangneng Investment Management</w:t>
            </w:r>
          </w:p>
        </w:tc>
        <w:tc>
          <w:tcPr>
            <w:tcW w:w="30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Party A: Shanghai Shengdayuan Information</w:t>
            </w:r>
          </w:p>
        </w:tc>
        <w:tc>
          <w:tcPr>
            <w:tcW w:w="100" w:type="dxa"/>
            <w:vAlign w:val="bottom"/>
            <w:vMerge w:val="continue"/>
          </w:tcPr>
          <w:p>
            <w:pPr>
              <w:spacing w:after="0"/>
              <w:rPr>
                <w:sz w:val="9"/>
                <w:szCs w:val="9"/>
                <w:color w:val="auto"/>
              </w:rPr>
            </w:pPr>
          </w:p>
        </w:tc>
        <w:tc>
          <w:tcPr>
            <w:tcW w:w="302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September 30, 2022</w:t>
            </w:r>
          </w:p>
        </w:tc>
        <w:tc>
          <w:tcPr>
            <w:tcW w:w="140" w:type="dxa"/>
            <w:vAlign w:val="bottom"/>
            <w:vMerge w:val="continue"/>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color w:val="auto"/>
              </w:rPr>
              <w:t>September 30,</w:t>
            </w:r>
          </w:p>
        </w:tc>
        <w:tc>
          <w:tcPr>
            <w:tcW w:w="0" w:type="dxa"/>
            <w:vAlign w:val="bottom"/>
          </w:tcPr>
          <w:p>
            <w:pPr>
              <w:spacing w:after="0"/>
              <w:rPr>
                <w:sz w:val="1"/>
                <w:szCs w:val="1"/>
                <w:color w:val="auto"/>
              </w:rPr>
            </w:pPr>
          </w:p>
        </w:tc>
      </w:tr>
      <w:tr>
        <w:trPr>
          <w:trHeight w:val="187"/>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Qin Miao, Yayun Li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Jiangsu Jingdong Bangneng Investment</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Shanghai Jingdong Cai’ao E-commercial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Beijing Jingdong Century Trade Co., Ltd.</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26,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26, 2026</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Qin Miao, Tingting Sui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Shanghai Jingdong Cai’ao E-commercial</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Suzhou Guanyinghou Media Technology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Suqian Daxi Information Technology</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December 11, 2017</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11,</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Qian Yang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Suzhou Guanyinghou Media Technology</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Beijing JPT E-Commerce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Beijing QGX Information Technology</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16, 2022</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September 16,</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Yayun Li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Beijing JPT E-Commerce Co., Ltd.</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Suqian Jiantong Enterprise Management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Suqian Daxi Information Technology Co.,</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April 18, 2019</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18, 2019</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Xinshi Wang, Suzhou Guanyinghou Media</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 C: Suqian Jiantong Enterprise Management Co.,</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Suqian Yueyang Information Technology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Shanghai Shengdayuan Information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February 4,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February 4, 2026</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Tingting Sui, Saili Tan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Suqian Yueyang Information Technology</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Jiangsu Jucheng Space Technology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Suqian Jingdong Baoying Information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26,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26, 2026</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Jiangsu Jucheng Space Technology Co.,</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Qin Miao, Tingting Sui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Suqian Hanyu Technology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Jiangsu Huiji Space Technology Co., Ltd.</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March 20, 2026</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 2026</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Suqian Hanyu Technology Co., Ltd.</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Qin Miao, Tingting Sui and Pang Zhang</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Beijing Epochal Capital Selection Network Technology</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Jiangsu Rival Brand Management Co., Ltd.</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12,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12, 2024</w:t>
            </w: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Party B: Yao Feng and Guanglei Gao</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Beijing Epochal Capital Selection Network</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Beijing M&amp;W Intelligent Mobility Technology Co., Ltd.</w:t>
            </w: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A: Beijing FarHorizon Excellence Living Co.,</w:t>
            </w: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July 9,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9, 2025</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B: Junchao Shao and Shengxue Jiao</w:t>
            </w: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Party C: Beijing M&amp;W Intelligent Mobility</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Co., Ltd.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80"/>
          </w:cols>
          <w:pgMar w:left="560" w:top="264" w:right="559" w:bottom="1440" w:gutter="0" w:footer="0" w:header="0"/>
        </w:sectPr>
      </w:pPr>
    </w:p>
    <w:bookmarkStart w:id="511" w:name="page512"/>
    <w:bookmarkEnd w:id="511"/>
    <w:p>
      <w:pPr>
        <w:jc w:val="right"/>
        <w:spacing w:after="0"/>
        <w:rPr>
          <w:sz w:val="20"/>
          <w:szCs w:val="20"/>
          <w:color w:val="auto"/>
        </w:rPr>
      </w:pPr>
      <w:r>
        <w:rPr>
          <w:rFonts w:ascii="Times New Roman" w:cs="Times New Roman" w:eastAsia="Times New Roman" w:hAnsi="Times New Roman"/>
          <w:sz w:val="18"/>
          <w:szCs w:val="18"/>
          <w:b w:val="1"/>
          <w:bCs w:val="1"/>
          <w:color w:val="auto"/>
        </w:rPr>
        <w:t>Exhibit 4.27</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16" w:lineRule="exact"/>
        <w:rPr>
          <w:sz w:val="20"/>
          <w:szCs w:val="20"/>
          <w:color w:val="auto"/>
        </w:rPr>
      </w:pPr>
    </w:p>
    <w:p>
      <w:pPr>
        <w:ind w:left="10" w:right="340" w:firstLine="431"/>
        <w:spacing w:after="0" w:line="273" w:lineRule="auto"/>
        <w:rPr>
          <w:sz w:val="20"/>
          <w:szCs w:val="20"/>
          <w:color w:val="auto"/>
        </w:rPr>
      </w:pPr>
      <w:r>
        <w:rPr>
          <w:rFonts w:ascii="Times New Roman" w:cs="Times New Roman" w:eastAsia="Times New Roman" w:hAnsi="Times New Roman"/>
          <w:sz w:val="18"/>
          <w:szCs w:val="18"/>
          <w:color w:val="auto"/>
        </w:rPr>
        <w:t>This LOAN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October 17, 2022, is made in Beijing, the People’s Republic of China (“</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by and among:</w:t>
      </w:r>
    </w:p>
    <w:p>
      <w:pPr>
        <w:spacing w:after="0" w:line="164" w:lineRule="exact"/>
        <w:rPr>
          <w:sz w:val="20"/>
          <w:szCs w:val="20"/>
          <w:color w:val="auto"/>
        </w:rPr>
      </w:pPr>
    </w:p>
    <w:p>
      <w:pPr>
        <w:ind w:left="10" w:right="1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Lender: </w:t>
      </w:r>
      <w:r>
        <w:rPr>
          <w:rFonts w:ascii="Times New Roman" w:cs="Times New Roman" w:eastAsia="Times New Roman" w:hAnsi="Times New Roman"/>
          <w:sz w:val="18"/>
          <w:szCs w:val="18"/>
          <w:color w:val="auto"/>
        </w:rPr>
        <w:t>Beijing Jingdong Century Trade Co., Ltd., with registered address at Room 201, 2/F, Tower C, No. 18 Kechuang 11 Street, Beijing Economic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Technological Development Zone, Beijing;</w:t>
      </w:r>
    </w:p>
    <w:p>
      <w:pPr>
        <w:spacing w:after="0" w:line="1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Borrowers:</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(In this Agreement, the Lender and the Borrowers are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NOW, THEREFORE, the Parties hereby agree as follows through friendly negotiations:</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16" w:lineRule="exact"/>
        <w:rPr>
          <w:sz w:val="20"/>
          <w:szCs w:val="20"/>
          <w:color w:val="auto"/>
        </w:rPr>
      </w:pPr>
    </w:p>
    <w:p>
      <w:pPr>
        <w:ind w:left="10" w:right="180" w:hanging="10"/>
        <w:spacing w:after="0" w:line="254" w:lineRule="auto"/>
        <w:tabs>
          <w:tab w:leader="none" w:pos="22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and Yayun Li, Pang Zhang and other relevant party have executed a loan agreement on August 25, 2016 (the “</w:t>
      </w:r>
      <w:r>
        <w:rPr>
          <w:rFonts w:ascii="Times New Roman" w:cs="Times New Roman" w:eastAsia="Times New Roman" w:hAnsi="Times New Roman"/>
          <w:sz w:val="18"/>
          <w:szCs w:val="18"/>
          <w:b w:val="1"/>
          <w:bCs w:val="1"/>
          <w:color w:val="auto"/>
        </w:rPr>
        <w:t>Original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the lender provided a loan at an aggregate amount of RMB300,000 to Yayun Li and a loan at an aggregate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RMB250,000 to Pang Zhang, and Yayun Li and Pang Zhang have used such loan to pay for investment in the registered capital of Beijing Jiasheng Investment Management Co., Ltd. (the “</w:t>
      </w:r>
      <w:r>
        <w:rPr>
          <w:rFonts w:ascii="Times New Roman" w:cs="Times New Roman" w:eastAsia="Times New Roman" w:hAnsi="Times New Roman"/>
          <w:sz w:val="18"/>
          <w:szCs w:val="18"/>
          <w:b w:val="1"/>
          <w:bCs w:val="1"/>
          <w:color w:val="auto"/>
        </w:rPr>
        <w:t>Borrower Company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Original Loan</w:t>
      </w:r>
      <w:r>
        <w:rPr>
          <w:rFonts w:ascii="Times New Roman" w:cs="Times New Roman" w:eastAsia="Times New Roman" w:hAnsi="Times New Roman"/>
          <w:sz w:val="18"/>
          <w:szCs w:val="18"/>
          <w:color w:val="auto"/>
        </w:rPr>
        <w:t>”), which is not paid by the borrowers.</w:t>
      </w:r>
    </w:p>
    <w:p>
      <w:pPr>
        <w:spacing w:after="0" w:line="183" w:lineRule="exact"/>
        <w:rPr>
          <w:rFonts w:ascii="Times New Roman" w:cs="Times New Roman" w:eastAsia="Times New Roman" w:hAnsi="Times New Roman"/>
          <w:sz w:val="18"/>
          <w:szCs w:val="18"/>
          <w:color w:val="auto"/>
        </w:rPr>
      </w:pPr>
    </w:p>
    <w:p>
      <w:pPr>
        <w:jc w:val="both"/>
        <w:ind w:left="10" w:right="40" w:hanging="10"/>
        <w:spacing w:after="0" w:line="258" w:lineRule="auto"/>
        <w:tabs>
          <w:tab w:leader="none" w:pos="26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and Yayun Li, Pang Zhang and other relevant party have executed a termination agreement on October 17, 2022 to terminate the Original Loan Agreement and other agreements, and agreed that the rights and obligations between the Lender, Yayun Li and Pang Zhang should be fulfilled and exercised under the arrangement of this Agreement.</w:t>
      </w:r>
    </w:p>
    <w:p>
      <w:pPr>
        <w:spacing w:after="0" w:line="322" w:lineRule="exact"/>
        <w:rPr>
          <w:sz w:val="20"/>
          <w:szCs w:val="20"/>
          <w:color w:val="auto"/>
        </w:rPr>
      </w:pPr>
    </w:p>
    <w:p>
      <w:pPr>
        <w:ind w:left="430" w:hanging="430"/>
        <w:spacing w:after="0"/>
        <w:tabs>
          <w:tab w:leader="none" w:pos="430" w:val="left"/>
        </w:tabs>
        <w:numPr>
          <w:ilvl w:val="0"/>
          <w:numId w:val="4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w:t>
      </w:r>
    </w:p>
    <w:p>
      <w:pPr>
        <w:spacing w:after="0" w:line="125" w:lineRule="exact"/>
        <w:rPr>
          <w:rFonts w:ascii="Times New Roman" w:cs="Times New Roman" w:eastAsia="Times New Roman" w:hAnsi="Times New Roman"/>
          <w:sz w:val="18"/>
          <w:szCs w:val="18"/>
          <w:b w:val="1"/>
          <w:bCs w:val="1"/>
          <w:color w:val="auto"/>
        </w:rPr>
      </w:pPr>
    </w:p>
    <w:p>
      <w:pPr>
        <w:ind w:left="1050" w:right="100" w:hanging="634"/>
        <w:spacing w:after="0" w:line="28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color w:val="auto"/>
        </w:rPr>
        <w:t>Subject to the terms and conditions of this Agreement, the Lender agrees to maintain the Original Loan to Yayun Li and Pang Zhang and will provide to Yayun Li and Pang Zhang the Original Loan as agreed (the amount to be determined by the Lender depending on circumstances), and to provide Qin Miao a loan in an aggregate amount of RMB450,000 (together with the Original Loan, the “</w:t>
      </w:r>
      <w:r>
        <w:rPr>
          <w:rFonts w:ascii="Times New Roman" w:cs="Times New Roman" w:eastAsia="Times New Roman" w:hAnsi="Times New Roman"/>
          <w:sz w:val="17"/>
          <w:szCs w:val="17"/>
          <w:b w:val="1"/>
          <w:bCs w:val="1"/>
          <w:color w:val="auto"/>
        </w:rPr>
        <w:t>Loan</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8"/>
          <w:szCs w:val="18"/>
          <w:b w:val="1"/>
          <w:bCs w:val="1"/>
          <w:color w:val="auto"/>
        </w:rPr>
      </w:pPr>
    </w:p>
    <w:p>
      <w:pPr>
        <w:ind w:left="1050" w:right="8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1.2The Borrowers agree to use the Loan to pay for their investment in the registered capital of Beijing Jiasheng Investment Management Co., Ltd., or the Borrower Company, and, unless with prior written consent of the Lender, will not use the Loan for any other purpose, or transfer or pledge its shares or other interests in the Borrower Company to any third party.</w:t>
      </w:r>
    </w:p>
    <w:p>
      <w:pPr>
        <w:sectPr>
          <w:pgSz w:w="11900" w:h="16838" w:orient="portrait"/>
          <w:cols w:equalWidth="0" w:num="1">
            <w:col w:w="10790"/>
          </w:cols>
          <w:pgMar w:left="550" w:top="119" w:right="559" w:bottom="1440" w:gutter="0" w:footer="0" w:header="0"/>
        </w:sectPr>
      </w:pPr>
    </w:p>
    <w:bookmarkStart w:id="512" w:name="page513"/>
    <w:bookmarkEnd w:id="512"/>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color w:val="auto"/>
        </w:rPr>
        <w:t>It is confirmed that the Lender will not charge any interest upon the Loan, unless otherwise provided herein.</w:t>
      </w:r>
    </w:p>
    <w:p>
      <w:pPr>
        <w:spacing w:after="0" w:line="359" w:lineRule="exact"/>
        <w:rPr>
          <w:sz w:val="20"/>
          <w:szCs w:val="20"/>
          <w:color w:val="auto"/>
        </w:rPr>
      </w:pPr>
    </w:p>
    <w:p>
      <w:pPr>
        <w:ind w:left="430" w:hanging="430"/>
        <w:spacing w:after="0"/>
        <w:tabs>
          <w:tab w:leader="none" w:pos="43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Loan</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7"/>
          <w:szCs w:val="17"/>
          <w:color w:val="auto"/>
        </w:rPr>
        <w:t>The term of the Loan hereunder shall be ten (10) years from the date when the Borrowers actually receive all or any part of the</w:t>
      </w:r>
    </w:p>
    <w:p>
      <w:pPr>
        <w:spacing w:after="0" w:line="22" w:lineRule="exact"/>
        <w:rPr>
          <w:rFonts w:ascii="Times New Roman" w:cs="Times New Roman" w:eastAsia="Times New Roman" w:hAnsi="Times New Roman"/>
          <w:sz w:val="18"/>
          <w:szCs w:val="18"/>
          <w:b w:val="1"/>
          <w:bCs w:val="1"/>
          <w:color w:val="auto"/>
        </w:rPr>
      </w:pPr>
    </w:p>
    <w:p>
      <w:pPr>
        <w:ind w:left="105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Loan. Unless otherwise indicated by the Lender prior to its expiration, the term of the Loan will be automatically extended for another ten</w:t>
      </w:r>
    </w:p>
    <w:p>
      <w:pPr>
        <w:spacing w:after="0" w:line="16" w:lineRule="exact"/>
        <w:rPr>
          <w:rFonts w:ascii="Times New Roman" w:cs="Times New Roman" w:eastAsia="Times New Roman" w:hAnsi="Times New Roman"/>
          <w:sz w:val="18"/>
          <w:szCs w:val="18"/>
          <w:b w:val="1"/>
          <w:bCs w:val="1"/>
          <w:color w:val="auto"/>
        </w:rPr>
      </w:pPr>
    </w:p>
    <w:p>
      <w:pPr>
        <w:ind w:left="1390" w:hanging="332"/>
        <w:spacing w:after="0"/>
        <w:tabs>
          <w:tab w:leader="none" w:pos="139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and so forth thereafter.</w:t>
      </w:r>
    </w:p>
    <w:p>
      <w:pPr>
        <w:spacing w:after="0" w:line="106" w:lineRule="exact"/>
        <w:rPr>
          <w:sz w:val="20"/>
          <w:szCs w:val="20"/>
          <w:color w:val="auto"/>
        </w:rPr>
      </w:pPr>
    </w:p>
    <w:p>
      <w:pPr>
        <w:ind w:left="1050" w:right="12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During the term or any extended term of the Loan, the Loan will become immediately due and payable by the Borrowers pursuant to the terms of this Agreement if:</w:t>
      </w:r>
    </w:p>
    <w:p>
      <w:pPr>
        <w:spacing w:after="0" w:line="76" w:lineRule="exact"/>
        <w:rPr>
          <w:sz w:val="20"/>
          <w:szCs w:val="20"/>
          <w:color w:val="auto"/>
        </w:rPr>
      </w:pPr>
    </w:p>
    <w:p>
      <w:pPr>
        <w:ind w:left="1710" w:hanging="639"/>
        <w:spacing w:after="0"/>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die or become a person incapacitated or with limited capacity for civil acts;</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resign or are dismissed by the Lender, the Borrower Company or any affiliate of the Lender;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commit a crime or are involved in a crime;</w:t>
      </w:r>
    </w:p>
    <w:p>
      <w:pPr>
        <w:spacing w:after="0" w:line="123" w:lineRule="exact"/>
        <w:rPr>
          <w:rFonts w:ascii="Times New Roman" w:cs="Times New Roman" w:eastAsia="Times New Roman" w:hAnsi="Times New Roman"/>
          <w:sz w:val="18"/>
          <w:szCs w:val="18"/>
          <w:color w:val="auto"/>
        </w:rPr>
      </w:pPr>
    </w:p>
    <w:p>
      <w:pPr>
        <w:ind w:left="1710" w:right="500" w:hanging="639"/>
        <w:spacing w:after="0" w:line="270" w:lineRule="auto"/>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 party pursue any claim of more than RMB 100,000 against any of the Borrowers and the Lender has reasonable ground to believe that the Borrowers will not be capable to pay for such claim;</w:t>
      </w:r>
    </w:p>
    <w:p>
      <w:pPr>
        <w:spacing w:after="0" w:line="76" w:lineRule="exact"/>
        <w:rPr>
          <w:rFonts w:ascii="Times New Roman" w:cs="Times New Roman" w:eastAsia="Times New Roman" w:hAnsi="Times New Roman"/>
          <w:sz w:val="18"/>
          <w:szCs w:val="18"/>
          <w:color w:val="auto"/>
        </w:rPr>
      </w:pPr>
    </w:p>
    <w:p>
      <w:pPr>
        <w:ind w:left="1710" w:right="460" w:hanging="639"/>
        <w:spacing w:after="0" w:line="270" w:lineRule="auto"/>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decides to perform the Exclusive Purchase Option Agreement (as defined below) when foreign enterprises are allowed to control or wholly own the Borrower Company under applicable PRC laws;</w:t>
      </w:r>
    </w:p>
    <w:p>
      <w:pPr>
        <w:spacing w:after="0" w:line="76" w:lineRule="exact"/>
        <w:rPr>
          <w:rFonts w:ascii="Times New Roman" w:cs="Times New Roman" w:eastAsia="Times New Roman" w:hAnsi="Times New Roman"/>
          <w:sz w:val="18"/>
          <w:szCs w:val="18"/>
          <w:color w:val="auto"/>
        </w:rPr>
      </w:pPr>
    </w:p>
    <w:p>
      <w:pPr>
        <w:ind w:left="1710" w:right="120" w:hanging="639"/>
        <w:spacing w:after="0" w:line="258" w:lineRule="auto"/>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fail to comply with or perform any of their commitments or obligations under this Agreement (or any other agreement between them and the Lender), and further fails to remedy such breach within 30 business days upon its occurrence; and</w:t>
      </w:r>
    </w:p>
    <w:p>
      <w:pPr>
        <w:spacing w:after="0" w:line="85" w:lineRule="exact"/>
        <w:rPr>
          <w:rFonts w:ascii="Times New Roman" w:cs="Times New Roman" w:eastAsia="Times New Roman" w:hAnsi="Times New Roman"/>
          <w:sz w:val="18"/>
          <w:szCs w:val="18"/>
          <w:color w:val="auto"/>
        </w:rPr>
      </w:pPr>
    </w:p>
    <w:p>
      <w:pPr>
        <w:ind w:left="1710" w:right="260" w:hanging="639"/>
        <w:spacing w:after="0" w:line="270" w:lineRule="auto"/>
        <w:tabs>
          <w:tab w:leader="none" w:pos="171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Equity Pledge Agreement, or the Exclusive Purchase Option Agreement is terminated or held invalid by any court for any reason other than the Lender’s.</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Loan</w:t>
      </w:r>
    </w:p>
    <w:p>
      <w:pPr>
        <w:spacing w:after="0" w:line="125" w:lineRule="exact"/>
        <w:rPr>
          <w:rFonts w:ascii="Times New Roman" w:cs="Times New Roman" w:eastAsia="Times New Roman" w:hAnsi="Times New Roman"/>
          <w:sz w:val="18"/>
          <w:szCs w:val="18"/>
          <w:b w:val="1"/>
          <w:bCs w:val="1"/>
          <w:color w:val="auto"/>
        </w:rPr>
      </w:pPr>
    </w:p>
    <w:p>
      <w:pPr>
        <w:ind w:left="1050" w:right="16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3.1The Lender and the Borrowers agree and confirm that the Loan will be repaid in the following manner only: the Borrowers will transfer all of their equity interests in the Borrower Company to the Lender or any legal or natural person designated by the Lender pursuant to requirements from the Lender.</w:t>
      </w:r>
    </w:p>
    <w:p>
      <w:pPr>
        <w:spacing w:after="0" w:line="85" w:lineRule="exact"/>
        <w:rPr>
          <w:rFonts w:ascii="Times New Roman" w:cs="Times New Roman" w:eastAsia="Times New Roman" w:hAnsi="Times New Roman"/>
          <w:sz w:val="18"/>
          <w:szCs w:val="18"/>
          <w:b w:val="1"/>
          <w:bCs w:val="1"/>
          <w:color w:val="auto"/>
        </w:rPr>
      </w:pPr>
    </w:p>
    <w:p>
      <w:pPr>
        <w:ind w:left="1050" w:right="260" w:hanging="63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3.2The Lender and the Borrowers agree and confirm that to the extent permitted by the laws, the Lender has the right but no obligation to purchase or designate any legal or natural person designated by it to purchase all or any part of the equity interests in the Borrower Company from the Borrowers at the price set forth under the Exclusive Purchase Option Agreement.</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90"/>
          </w:cols>
          <w:pgMar w:left="550" w:top="266" w:right="559" w:bottom="1440" w:gutter="0" w:footer="0" w:header="0"/>
        </w:sectPr>
      </w:pPr>
    </w:p>
    <w:bookmarkStart w:id="513" w:name="page514"/>
    <w:bookmarkEnd w:id="513"/>
    <w:p>
      <w:pPr>
        <w:ind w:left="1050" w:right="6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3.3</w:t>
      </w:r>
      <w:r>
        <w:rPr>
          <w:sz w:val="20"/>
          <w:szCs w:val="20"/>
          <w:color w:val="auto"/>
        </w:rPr>
        <w:tab/>
      </w:r>
      <w:r>
        <w:rPr>
          <w:rFonts w:ascii="Times New Roman" w:cs="Times New Roman" w:eastAsia="Times New Roman" w:hAnsi="Times New Roman"/>
          <w:sz w:val="18"/>
          <w:szCs w:val="18"/>
          <w:color w:val="auto"/>
        </w:rPr>
        <w:t>It is agreed and confirmed by the Parties that the Borrowers shall be deemed to have fulfilled their repayment obligations hereunder only after both of the following conditions have been satisfied.</w:t>
      </w:r>
    </w:p>
    <w:p>
      <w:pPr>
        <w:spacing w:after="0" w:line="76" w:lineRule="exact"/>
        <w:rPr>
          <w:sz w:val="20"/>
          <w:szCs w:val="20"/>
          <w:color w:val="auto"/>
        </w:rPr>
      </w:pPr>
    </w:p>
    <w:p>
      <w:pPr>
        <w:ind w:left="1710" w:right="400" w:hanging="639"/>
        <w:spacing w:after="0" w:line="270" w:lineRule="auto"/>
        <w:tabs>
          <w:tab w:leader="none" w:pos="171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transferred all of their equity interests in the Borrower Company to the Lender and/or their designated person; and</w:t>
      </w:r>
    </w:p>
    <w:p>
      <w:pPr>
        <w:spacing w:after="0" w:line="76" w:lineRule="exact"/>
        <w:rPr>
          <w:rFonts w:ascii="Times New Roman" w:cs="Times New Roman" w:eastAsia="Times New Roman" w:hAnsi="Times New Roman"/>
          <w:sz w:val="18"/>
          <w:szCs w:val="18"/>
          <w:color w:val="auto"/>
        </w:rPr>
      </w:pPr>
    </w:p>
    <w:p>
      <w:pPr>
        <w:ind w:left="1710" w:hanging="639"/>
        <w:spacing w:after="0" w:line="270" w:lineRule="auto"/>
        <w:tabs>
          <w:tab w:leader="none" w:pos="171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have repaid to the Lender all of the transfer proceeds or an amount equivalent to the maximum amount permitted by the laws.</w:t>
      </w:r>
    </w:p>
    <w:p>
      <w:pPr>
        <w:spacing w:after="0" w:line="76" w:lineRule="exact"/>
        <w:rPr>
          <w:sz w:val="20"/>
          <w:szCs w:val="20"/>
          <w:color w:val="auto"/>
        </w:rPr>
      </w:pPr>
    </w:p>
    <w:p>
      <w:pPr>
        <w:ind w:left="1050" w:right="120" w:hanging="633"/>
        <w:spacing w:after="0" w:line="251" w:lineRule="auto"/>
        <w:tabs>
          <w:tab w:leader="none" w:pos="1029"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Loan will be deemed as a zero interest loan if the price to transfer the equity interests in the Borrower Company to the Lender from the Borrowers concluded by the Parties under this Agreement any other related agreements is equal or less than the amount of the Loan. Under such circumstance, the Borrowers are not required to repay any remaining amount of and/or any interest upon the Loan; provided, however, that if the equity interest transfer price exceeds the amount of the Loan, the exceeding amount will be deemed as the interest upon the Loan (calculated by the highest interest permitted by the PRC laws) and financing cost thereof.</w:t>
      </w:r>
    </w:p>
    <w:p>
      <w:pPr>
        <w:spacing w:after="0" w:line="94" w:lineRule="exact"/>
        <w:rPr>
          <w:sz w:val="20"/>
          <w:szCs w:val="20"/>
          <w:color w:val="auto"/>
        </w:rPr>
      </w:pPr>
    </w:p>
    <w:p>
      <w:pPr>
        <w:ind w:left="1050" w:hanging="633"/>
        <w:spacing w:after="0" w:line="253" w:lineRule="auto"/>
        <w:tabs>
          <w:tab w:leader="none" w:pos="1029"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Notwithstanding anything to the contrary, if the Borrower Company goes bankruptcy, dissolution or is ordered for closure during the term or extended term of this Agreement, and Borrowers will liquidate the Borrower Company according to laws and all of the proceeds from such liquidation will be used to repay the principal, interest (calculated by the highest interest permitted by the PRC laws) and financing cost of the Loan.</w:t>
      </w:r>
    </w:p>
    <w:p>
      <w:pPr>
        <w:spacing w:after="0" w:line="328" w:lineRule="exact"/>
        <w:rPr>
          <w:sz w:val="20"/>
          <w:szCs w:val="20"/>
          <w:color w:val="auto"/>
        </w:rPr>
      </w:pPr>
    </w:p>
    <w:p>
      <w:pPr>
        <w:ind w:left="430" w:hanging="430"/>
        <w:spacing w:after="0"/>
        <w:tabs>
          <w:tab w:leader="none" w:pos="430"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Borrowers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color w:val="auto"/>
        </w:rPr>
        <w:t>The Borrowers will repay the Loan according to the provisions of this Agreement and requirements from the Lender.</w:t>
      </w:r>
    </w:p>
    <w:p>
      <w:pPr>
        <w:spacing w:after="0" w:line="121" w:lineRule="exact"/>
        <w:rPr>
          <w:rFonts w:ascii="Times New Roman" w:cs="Times New Roman" w:eastAsia="Times New Roman" w:hAnsi="Times New Roman"/>
          <w:sz w:val="18"/>
          <w:szCs w:val="18"/>
          <w:b w:val="1"/>
          <w:bCs w:val="1"/>
          <w:color w:val="auto"/>
        </w:rPr>
      </w:pPr>
    </w:p>
    <w:p>
      <w:pPr>
        <w:ind w:left="1050" w:right="600" w:hanging="634"/>
        <w:spacing w:after="0" w:line="3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7"/>
          <w:szCs w:val="17"/>
          <w:color w:val="auto"/>
        </w:rPr>
        <w:t>The Borrowers will enter into an Equity Pledge Agreement (the “</w:t>
      </w:r>
      <w:r>
        <w:rPr>
          <w:rFonts w:ascii="Times New Roman" w:cs="Times New Roman" w:eastAsia="Times New Roman" w:hAnsi="Times New Roman"/>
          <w:sz w:val="17"/>
          <w:szCs w:val="17"/>
          <w:b w:val="1"/>
          <w:bCs w:val="1"/>
          <w:color w:val="auto"/>
        </w:rPr>
        <w:t>Equity Pledge Agreement</w:t>
      </w:r>
      <w:r>
        <w:rPr>
          <w:rFonts w:ascii="Times New Roman" w:cs="Times New Roman" w:eastAsia="Times New Roman" w:hAnsi="Times New Roman"/>
          <w:sz w:val="17"/>
          <w:szCs w:val="17"/>
          <w:color w:val="auto"/>
        </w:rPr>
        <w:t>”) with the Lender and the Borrower Company, whereby the Borrowers agree to pledge all of their equity interests in the Borrower Company to the Lender.</w:t>
      </w:r>
    </w:p>
    <w:p>
      <w:pPr>
        <w:spacing w:after="0" w:line="48" w:lineRule="exact"/>
        <w:rPr>
          <w:rFonts w:ascii="Times New Roman" w:cs="Times New Roman" w:eastAsia="Times New Roman" w:hAnsi="Times New Roman"/>
          <w:sz w:val="18"/>
          <w:szCs w:val="18"/>
          <w:b w:val="1"/>
          <w:bCs w:val="1"/>
          <w:color w:val="auto"/>
        </w:rPr>
      </w:pPr>
    </w:p>
    <w:p>
      <w:pPr>
        <w:ind w:left="1050" w:hanging="634"/>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7"/>
          <w:szCs w:val="17"/>
          <w:color w:val="auto"/>
        </w:rPr>
        <w:t>The Borrowers will enter into an Exclusive Purchase Option Agreement (the “</w:t>
      </w:r>
      <w:r>
        <w:rPr>
          <w:rFonts w:ascii="Times New Roman" w:cs="Times New Roman" w:eastAsia="Times New Roman" w:hAnsi="Times New Roman"/>
          <w:sz w:val="17"/>
          <w:szCs w:val="17"/>
          <w:b w:val="1"/>
          <w:bCs w:val="1"/>
          <w:color w:val="auto"/>
        </w:rPr>
        <w:t>Exclusive Purchase Option Agreement</w:t>
      </w:r>
      <w:r>
        <w:rPr>
          <w:rFonts w:ascii="Times New Roman" w:cs="Times New Roman" w:eastAsia="Times New Roman" w:hAnsi="Times New Roman"/>
          <w:sz w:val="17"/>
          <w:szCs w:val="17"/>
          <w:color w:val="auto"/>
        </w:rPr>
        <w:t>”) with the Lender and the Borrower Company, whereby the Borrowers will to the extent permitted by the PRC laws grant an irrevocable and exclusive purchase option for the Lender to purchase all or any part of the equity interest in the Borrower Company from the Borrowers.</w:t>
      </w:r>
    </w:p>
    <w:p>
      <w:pPr>
        <w:spacing w:after="0" w:line="9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70"/>
          </w:cols>
          <w:pgMar w:left="550" w:top="266" w:right="579" w:bottom="1440" w:gutter="0" w:footer="0" w:header="0"/>
        </w:sectPr>
      </w:pPr>
    </w:p>
    <w:bookmarkStart w:id="514" w:name="page515"/>
    <w:bookmarkEnd w:id="514"/>
    <w:p>
      <w:pPr>
        <w:ind w:left="1050" w:right="28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4.4</w:t>
      </w:r>
      <w:r>
        <w:rPr>
          <w:sz w:val="20"/>
          <w:szCs w:val="20"/>
          <w:color w:val="auto"/>
        </w:rPr>
        <w:tab/>
      </w:r>
      <w:r>
        <w:rPr>
          <w:rFonts w:ascii="Times New Roman" w:cs="Times New Roman" w:eastAsia="Times New Roman" w:hAnsi="Times New Roman"/>
          <w:sz w:val="18"/>
          <w:szCs w:val="18"/>
          <w:color w:val="auto"/>
        </w:rPr>
        <w:t>The Borrowers will perform their obligations under this Agreement, the Equity Pledge Agreement and the Exclusive Purchase Option Agreement, and provide support for the Lender to complete all filings, approvals, authorizations, registration and other government procedures necessary to perform such agreements.</w:t>
      </w:r>
    </w:p>
    <w:p>
      <w:pPr>
        <w:spacing w:after="0" w:line="86" w:lineRule="exact"/>
        <w:rPr>
          <w:sz w:val="20"/>
          <w:szCs w:val="20"/>
          <w:color w:val="auto"/>
        </w:rPr>
      </w:pPr>
    </w:p>
    <w:p>
      <w:pPr>
        <w:ind w:left="105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Borrowers will sign an irrevocable power of attorney authorizing a person designated by the Lender to exercise on its behalf all of its rights as the shareholder of the Borrower Company.</w:t>
      </w:r>
    </w:p>
    <w:p>
      <w:pPr>
        <w:spacing w:after="0" w:line="312" w:lineRule="exact"/>
        <w:rPr>
          <w:sz w:val="20"/>
          <w:szCs w:val="20"/>
          <w:color w:val="auto"/>
        </w:rPr>
      </w:pPr>
    </w:p>
    <w:p>
      <w:pPr>
        <w:ind w:left="430" w:hanging="430"/>
        <w:spacing w:after="0"/>
        <w:tabs>
          <w:tab w:leader="none" w:pos="430" w:val="left"/>
        </w:tabs>
        <w:numPr>
          <w:ilvl w:val="0"/>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125"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color w:val="auto"/>
        </w:rPr>
        <w:t>The Lender represents and warrants to the Borrowers that from the date of this Agreement until termination hereof:</w:t>
      </w:r>
    </w:p>
    <w:p>
      <w:pPr>
        <w:spacing w:after="0" w:line="123" w:lineRule="exact"/>
        <w:rPr>
          <w:rFonts w:ascii="Times New Roman" w:cs="Times New Roman" w:eastAsia="Times New Roman" w:hAnsi="Times New Roman"/>
          <w:sz w:val="18"/>
          <w:szCs w:val="18"/>
          <w:b w:val="1"/>
          <w:bCs w:val="1"/>
          <w:color w:val="auto"/>
        </w:rPr>
      </w:pPr>
    </w:p>
    <w:p>
      <w:pPr>
        <w:ind w:left="1710" w:hanging="639"/>
        <w:spacing w:after="0"/>
        <w:tabs>
          <w:tab w:leader="none" w:pos="171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wholly foreign-owned company duly incorporated and validly existing under the laws of the PRC;</w:t>
      </w:r>
    </w:p>
    <w:p>
      <w:pPr>
        <w:spacing w:after="0" w:line="123" w:lineRule="exact"/>
        <w:rPr>
          <w:rFonts w:ascii="Times New Roman" w:cs="Times New Roman" w:eastAsia="Times New Roman" w:hAnsi="Times New Roman"/>
          <w:sz w:val="18"/>
          <w:szCs w:val="18"/>
          <w:color w:val="auto"/>
        </w:rPr>
      </w:pPr>
    </w:p>
    <w:p>
      <w:pPr>
        <w:ind w:left="1710" w:right="40" w:hanging="639"/>
        <w:spacing w:after="0" w:line="258" w:lineRule="auto"/>
        <w:tabs>
          <w:tab w:leader="none" w:pos="171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and receives all approvals and authorities necessary and appropriate to execute and perform this Agreement. Its execution and performance of this Agreement are in compliance with its articles of association or other organizational documents;</w:t>
      </w:r>
    </w:p>
    <w:p>
      <w:pPr>
        <w:spacing w:after="0" w:line="85" w:lineRule="exact"/>
        <w:rPr>
          <w:rFonts w:ascii="Times New Roman" w:cs="Times New Roman" w:eastAsia="Times New Roman" w:hAnsi="Times New Roman"/>
          <w:sz w:val="18"/>
          <w:szCs w:val="18"/>
          <w:color w:val="auto"/>
        </w:rPr>
      </w:pPr>
    </w:p>
    <w:p>
      <w:pPr>
        <w:ind w:left="1710" w:right="20" w:hanging="639"/>
        <w:spacing w:after="0" w:line="258" w:lineRule="auto"/>
        <w:tabs>
          <w:tab w:leader="none" w:pos="171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its execution or performance of this Agreement is in breach of any law, regulation, government approval, authorization, notice or any other government document, or any agreement between it and any third party or any covenant issued to any third party; and</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becomes legal, valid and enforceable obligations upon the Lender.</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The Borrowers represent and warrant that from the date of this Agreement until termination hereof:</w:t>
      </w:r>
    </w:p>
    <w:p>
      <w:pPr>
        <w:spacing w:after="0" w:line="124" w:lineRule="exact"/>
        <w:rPr>
          <w:sz w:val="20"/>
          <w:szCs w:val="20"/>
          <w:color w:val="auto"/>
        </w:rPr>
      </w:pPr>
    </w:p>
    <w:p>
      <w:pPr>
        <w:ind w:left="1710" w:hanging="639"/>
        <w:spacing w:after="0"/>
        <w:tabs>
          <w:tab w:leader="none" w:pos="171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fully capable to conduct civil acts;</w:t>
      </w:r>
    </w:p>
    <w:p>
      <w:pPr>
        <w:spacing w:after="0" w:line="123" w:lineRule="exact"/>
        <w:rPr>
          <w:rFonts w:ascii="Times New Roman" w:cs="Times New Roman" w:eastAsia="Times New Roman" w:hAnsi="Times New Roman"/>
          <w:sz w:val="18"/>
          <w:szCs w:val="18"/>
          <w:color w:val="auto"/>
        </w:rPr>
      </w:pPr>
    </w:p>
    <w:p>
      <w:pPr>
        <w:ind w:left="1710" w:right="20" w:hanging="639"/>
        <w:spacing w:after="0" w:line="270" w:lineRule="auto"/>
        <w:tabs>
          <w:tab w:leader="none" w:pos="171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Company is a limited liability company incorporated and validly existing under the PRC laws, and the Borrowers are the legal owners of the Borrower Equity;</w:t>
      </w:r>
    </w:p>
    <w:p>
      <w:pPr>
        <w:spacing w:after="0" w:line="76" w:lineRule="exact"/>
        <w:rPr>
          <w:rFonts w:ascii="Times New Roman" w:cs="Times New Roman" w:eastAsia="Times New Roman" w:hAnsi="Times New Roman"/>
          <w:sz w:val="18"/>
          <w:szCs w:val="18"/>
          <w:color w:val="auto"/>
        </w:rPr>
      </w:pPr>
    </w:p>
    <w:p>
      <w:pPr>
        <w:ind w:left="1710" w:right="200" w:hanging="639"/>
        <w:spacing w:after="0" w:line="258" w:lineRule="auto"/>
        <w:tabs>
          <w:tab w:leader="none" w:pos="171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their execution or performance of this Agreement is in breach of any law, regulation, government approval, authorization, notice or any other government document, or any agreement between them and any third party or any covenant issued to any third party;</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once executed, becomes legal, valid and enforceable obligations upon the Borrowers;</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70"/>
          </w:cols>
          <w:pgMar w:left="550" w:top="266" w:right="579" w:bottom="1440" w:gutter="0" w:footer="0" w:header="0"/>
        </w:sectPr>
      </w:pPr>
    </w:p>
    <w:bookmarkStart w:id="515" w:name="page516"/>
    <w:bookmarkEnd w:id="515"/>
    <w:p>
      <w:pPr>
        <w:ind w:left="1710" w:right="80" w:hanging="639"/>
        <w:spacing w:after="0" w:line="270" w:lineRule="auto"/>
        <w:tabs>
          <w:tab w:leader="none" w:pos="171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They have paid the full investment relating to the Borrower Equity according to law, and received a verification report for such payment from a qualified accounting firm;</w:t>
      </w:r>
    </w:p>
    <w:p>
      <w:pPr>
        <w:spacing w:after="0" w:line="76" w:lineRule="exact"/>
        <w:rPr>
          <w:rFonts w:ascii="Times New Roman" w:cs="Times New Roman" w:eastAsia="Times New Roman" w:hAnsi="Times New Roman"/>
          <w:sz w:val="18"/>
          <w:szCs w:val="18"/>
          <w:color w:val="auto"/>
        </w:rPr>
      </w:pPr>
    </w:p>
    <w:p>
      <w:pPr>
        <w:ind w:left="1710" w:right="120" w:hanging="639"/>
        <w:spacing w:after="0" w:line="253" w:lineRule="auto"/>
        <w:tabs>
          <w:tab w:leader="none" w:pos="171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those provided under the Equity Pledge Agreement, they create no mortgage, pledge or any other security upon the Borrower Equity, provides no offer to any third party to transfer the Borrower Equity, make no covenant regarding any offer to purchase the Borrower Equity from any third party, or enter into any agreement with any third party to transfer the Borrower Equity;</w:t>
      </w:r>
    </w:p>
    <w:p>
      <w:pPr>
        <w:spacing w:after="0" w:line="92" w:lineRule="exact"/>
        <w:rPr>
          <w:rFonts w:ascii="Times New Roman" w:cs="Times New Roman" w:eastAsia="Times New Roman" w:hAnsi="Times New Roman"/>
          <w:sz w:val="18"/>
          <w:szCs w:val="18"/>
          <w:color w:val="auto"/>
        </w:rPr>
      </w:pPr>
    </w:p>
    <w:p>
      <w:pPr>
        <w:ind w:left="1710" w:right="140" w:hanging="639"/>
        <w:spacing w:after="0" w:line="270" w:lineRule="auto"/>
        <w:tabs>
          <w:tab w:leader="none" w:pos="171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or potential dispute, suit, arbitration, administrative proceeding or any other legal proceeding in which the Borrowers and/or the Borrower Equity is involved; and</w:t>
      </w:r>
    </w:p>
    <w:p>
      <w:pPr>
        <w:spacing w:after="0" w:line="76" w:lineRule="exact"/>
        <w:rPr>
          <w:rFonts w:ascii="Times New Roman" w:cs="Times New Roman" w:eastAsia="Times New Roman" w:hAnsi="Times New Roman"/>
          <w:sz w:val="18"/>
          <w:szCs w:val="18"/>
          <w:color w:val="auto"/>
        </w:rPr>
      </w:pPr>
    </w:p>
    <w:p>
      <w:pPr>
        <w:ind w:left="1710" w:right="40" w:hanging="639"/>
        <w:spacing w:after="0" w:line="270" w:lineRule="auto"/>
        <w:tabs>
          <w:tab w:leader="none" w:pos="171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Company has completed all government approvals, authorizations, licenses, registrations and filings necessary to conduct its businesses and own its assets.</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from the Borrowers</w:t>
      </w:r>
    </w:p>
    <w:p>
      <w:pPr>
        <w:spacing w:after="0" w:line="125" w:lineRule="exact"/>
        <w:rPr>
          <w:rFonts w:ascii="Times New Roman" w:cs="Times New Roman" w:eastAsia="Times New Roman" w:hAnsi="Times New Roman"/>
          <w:sz w:val="18"/>
          <w:szCs w:val="18"/>
          <w:b w:val="1"/>
          <w:bCs w:val="1"/>
          <w:color w:val="auto"/>
        </w:rPr>
      </w:pPr>
    </w:p>
    <w:p>
      <w:pPr>
        <w:ind w:left="1050" w:right="6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6.1The Borrowers covenant in their capacity of the shareholders of the Borrower Company that during the term of this Agreement they will procure the Borrower Company:</w:t>
      </w:r>
    </w:p>
    <w:p>
      <w:pPr>
        <w:spacing w:after="0" w:line="76" w:lineRule="exact"/>
        <w:rPr>
          <w:rFonts w:ascii="Times New Roman" w:cs="Times New Roman" w:eastAsia="Times New Roman" w:hAnsi="Times New Roman"/>
          <w:sz w:val="18"/>
          <w:szCs w:val="18"/>
          <w:b w:val="1"/>
          <w:bCs w:val="1"/>
          <w:color w:val="auto"/>
        </w:rPr>
      </w:pPr>
    </w:p>
    <w:p>
      <w:pPr>
        <w:ind w:left="1710" w:right="340" w:hanging="639"/>
        <w:spacing w:after="0" w:line="270" w:lineRule="auto"/>
        <w:tabs>
          <w:tab w:leader="none" w:pos="171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supplement, amend or modify its articles of association, or increase or decrease its registered capital, or change its capital structures of the Company;</w:t>
      </w:r>
    </w:p>
    <w:p>
      <w:pPr>
        <w:spacing w:after="0" w:line="76" w:lineRule="exact"/>
        <w:rPr>
          <w:rFonts w:ascii="Times New Roman" w:cs="Times New Roman" w:eastAsia="Times New Roman" w:hAnsi="Times New Roman"/>
          <w:sz w:val="18"/>
          <w:szCs w:val="18"/>
          <w:color w:val="auto"/>
        </w:rPr>
      </w:pPr>
    </w:p>
    <w:p>
      <w:pPr>
        <w:ind w:left="1710" w:right="140" w:hanging="639"/>
        <w:spacing w:after="0" w:line="270" w:lineRule="auto"/>
        <w:tabs>
          <w:tab w:leader="none" w:pos="171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its existence, prudently and effectively operate its businesses and deal with its affairs in line with fair financial and business standards and customs;</w:t>
      </w:r>
    </w:p>
    <w:p>
      <w:pPr>
        <w:spacing w:after="0" w:line="76" w:lineRule="exact"/>
        <w:rPr>
          <w:rFonts w:ascii="Times New Roman" w:cs="Times New Roman" w:eastAsia="Times New Roman" w:hAnsi="Times New Roman"/>
          <w:sz w:val="18"/>
          <w:szCs w:val="18"/>
          <w:color w:val="auto"/>
        </w:rPr>
      </w:pPr>
    </w:p>
    <w:p>
      <w:pPr>
        <w:ind w:left="1710" w:hanging="639"/>
        <w:spacing w:after="0" w:line="270" w:lineRule="auto"/>
        <w:tabs>
          <w:tab w:leader="none" w:pos="171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sell, transfer, pledge or otherwise dispose any legal or beneficial interest of any of its assets, businesses or income, or allow creation of any other security interests thereupon;</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incur, inherit, guarantee or allow the existence of any debt, except for</w:t>
      </w:r>
    </w:p>
    <w:p>
      <w:pPr>
        <w:spacing w:after="0" w:line="22" w:lineRule="exact"/>
        <w:rPr>
          <w:rFonts w:ascii="Times New Roman" w:cs="Times New Roman" w:eastAsia="Times New Roman" w:hAnsi="Times New Roman"/>
          <w:sz w:val="18"/>
          <w:szCs w:val="18"/>
          <w:color w:val="auto"/>
        </w:rPr>
      </w:pPr>
    </w:p>
    <w:p>
      <w:pPr>
        <w:ind w:left="1710" w:right="5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debt incurred during its ordinary course of business rather than from borrowing; and (ii) any debt which has been disclosed to and obtained the written consent from The Lender;</w:t>
      </w:r>
    </w:p>
    <w:p>
      <w:pPr>
        <w:spacing w:after="0" w:line="9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always conduct its business operations in ordinary course to maintain the value of its assets;</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50"/>
          </w:cols>
          <w:pgMar w:left="550" w:top="266" w:right="599" w:bottom="1440" w:gutter="0" w:footer="0" w:header="0"/>
        </w:sectPr>
      </w:pPr>
    </w:p>
    <w:bookmarkStart w:id="516" w:name="page517"/>
    <w:bookmarkEnd w:id="516"/>
    <w:p>
      <w:pPr>
        <w:ind w:left="1280" w:right="40" w:hanging="639"/>
        <w:spacing w:after="0" w:line="270"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without prior written consent from the Lender, not to enter into any material agreement other than those executed in its ordinary course of business;</w:t>
      </w:r>
    </w:p>
    <w:p>
      <w:pPr>
        <w:spacing w:after="0" w:line="76" w:lineRule="exact"/>
        <w:rPr>
          <w:rFonts w:ascii="Times New Roman" w:cs="Times New Roman" w:eastAsia="Times New Roman" w:hAnsi="Times New Roman"/>
          <w:sz w:val="18"/>
          <w:szCs w:val="18"/>
          <w:color w:val="auto"/>
        </w:rPr>
      </w:pPr>
    </w:p>
    <w:p>
      <w:pPr>
        <w:ind w:left="1280" w:hanging="639"/>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provide any loan or credit to any party without prior written consent from the Lender;</w:t>
      </w:r>
    </w:p>
    <w:p>
      <w:pPr>
        <w:spacing w:after="0" w:line="123" w:lineRule="exact"/>
        <w:rPr>
          <w:rFonts w:ascii="Times New Roman" w:cs="Times New Roman" w:eastAsia="Times New Roman" w:hAnsi="Times New Roman"/>
          <w:sz w:val="18"/>
          <w:szCs w:val="18"/>
          <w:color w:val="auto"/>
        </w:rPr>
      </w:pPr>
    </w:p>
    <w:p>
      <w:pPr>
        <w:ind w:left="1280" w:hanging="639"/>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and all information regarding its operations and financial conditions at the request from the Lender;</w:t>
      </w:r>
    </w:p>
    <w:p>
      <w:pPr>
        <w:spacing w:after="0" w:line="123" w:lineRule="exact"/>
        <w:rPr>
          <w:rFonts w:ascii="Times New Roman" w:cs="Times New Roman" w:eastAsia="Times New Roman" w:hAnsi="Times New Roman"/>
          <w:sz w:val="18"/>
          <w:szCs w:val="18"/>
          <w:color w:val="auto"/>
        </w:rPr>
      </w:pPr>
    </w:p>
    <w:p>
      <w:pPr>
        <w:ind w:left="1280" w:right="60" w:hanging="639"/>
        <w:spacing w:after="0" w:line="270"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buy and maintain requisite insurance policies from an insurer acceptable to the Lender, the amount and type of which will be the same with those maintained by the companies having similar operations, properties or assets in the same region;</w:t>
      </w:r>
    </w:p>
    <w:p>
      <w:pPr>
        <w:spacing w:after="0" w:line="76" w:lineRule="exact"/>
        <w:rPr>
          <w:rFonts w:ascii="Times New Roman" w:cs="Times New Roman" w:eastAsia="Times New Roman" w:hAnsi="Times New Roman"/>
          <w:sz w:val="18"/>
          <w:szCs w:val="18"/>
          <w:color w:val="auto"/>
        </w:rPr>
      </w:pPr>
    </w:p>
    <w:p>
      <w:pPr>
        <w:ind w:left="1280" w:hanging="639"/>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combine, merge with, acquire or make investment to any person;</w:t>
      </w:r>
    </w:p>
    <w:p>
      <w:pPr>
        <w:spacing w:after="0" w:line="123" w:lineRule="exact"/>
        <w:rPr>
          <w:rFonts w:ascii="Times New Roman" w:cs="Times New Roman" w:eastAsia="Times New Roman" w:hAnsi="Times New Roman"/>
          <w:sz w:val="18"/>
          <w:szCs w:val="18"/>
          <w:color w:val="auto"/>
        </w:rPr>
      </w:pPr>
    </w:p>
    <w:p>
      <w:pPr>
        <w:ind w:left="1280" w:right="400" w:hanging="639"/>
        <w:spacing w:after="0" w:line="270"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the Lender of any actual or potential litigation, arbitration or administrative proceeding regarding its assets, business and income;</w:t>
      </w:r>
    </w:p>
    <w:p>
      <w:pPr>
        <w:spacing w:after="0" w:line="76" w:lineRule="exact"/>
        <w:rPr>
          <w:rFonts w:ascii="Times New Roman" w:cs="Times New Roman" w:eastAsia="Times New Roman" w:hAnsi="Times New Roman"/>
          <w:sz w:val="18"/>
          <w:szCs w:val="18"/>
          <w:color w:val="auto"/>
        </w:rPr>
      </w:pPr>
    </w:p>
    <w:p>
      <w:pPr>
        <w:ind w:left="1280" w:hanging="639"/>
        <w:spacing w:after="0" w:line="270"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any document, conduct any action, and make any claim or defense necessary or appropriate to maintain its ownership of all of its assets;</w:t>
      </w:r>
    </w:p>
    <w:p>
      <w:pPr>
        <w:spacing w:after="0" w:line="76" w:lineRule="exact"/>
        <w:rPr>
          <w:rFonts w:ascii="Times New Roman" w:cs="Times New Roman" w:eastAsia="Times New Roman" w:hAnsi="Times New Roman"/>
          <w:sz w:val="18"/>
          <w:szCs w:val="18"/>
          <w:color w:val="auto"/>
        </w:rPr>
      </w:pPr>
    </w:p>
    <w:p>
      <w:pPr>
        <w:ind w:left="1280" w:hanging="639"/>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prior written consent from the Lender, not to distribute any dividend or bonus to any of its shareholders;</w:t>
      </w:r>
    </w:p>
    <w:p>
      <w:pPr>
        <w:spacing w:after="0" w:line="123" w:lineRule="exact"/>
        <w:rPr>
          <w:rFonts w:ascii="Times New Roman" w:cs="Times New Roman" w:eastAsia="Times New Roman" w:hAnsi="Times New Roman"/>
          <w:sz w:val="18"/>
          <w:szCs w:val="18"/>
          <w:color w:val="auto"/>
        </w:rPr>
      </w:pPr>
    </w:p>
    <w:p>
      <w:pPr>
        <w:ind w:left="1280" w:hanging="639"/>
        <w:spacing w:after="0"/>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any person nominated by the Lender or the parent of the Lender to its board at the request of the Lender; and</w:t>
      </w:r>
    </w:p>
    <w:p>
      <w:pPr>
        <w:spacing w:after="0" w:line="123" w:lineRule="exact"/>
        <w:rPr>
          <w:rFonts w:ascii="Times New Roman" w:cs="Times New Roman" w:eastAsia="Times New Roman" w:hAnsi="Times New Roman"/>
          <w:sz w:val="18"/>
          <w:szCs w:val="18"/>
          <w:color w:val="auto"/>
        </w:rPr>
      </w:pPr>
    </w:p>
    <w:p>
      <w:pPr>
        <w:ind w:left="1280" w:right="60" w:hanging="639"/>
        <w:spacing w:after="0" w:line="270" w:lineRule="auto"/>
        <w:tabs>
          <w:tab w:leader="none" w:pos="12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the Exclusive Purchase Option Agreement, and not to make any act or omission which may affect its validity and enforceability.</w:t>
      </w:r>
    </w:p>
    <w:p>
      <w:pPr>
        <w:spacing w:after="0" w:line="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The Borrowers covenant during the term of this Agreement:</w:t>
      </w:r>
    </w:p>
    <w:p>
      <w:pPr>
        <w:spacing w:after="0" w:line="124" w:lineRule="exact"/>
        <w:rPr>
          <w:sz w:val="20"/>
          <w:szCs w:val="20"/>
          <w:color w:val="auto"/>
        </w:rPr>
      </w:pPr>
    </w:p>
    <w:p>
      <w:pPr>
        <w:ind w:left="1280" w:right="440" w:hanging="639"/>
        <w:spacing w:after="0" w:line="258" w:lineRule="auto"/>
        <w:tabs>
          <w:tab w:leader="none" w:pos="12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those provided under the Equity Pledge Agreement and without prior written consent from the Lender, not to sell, transfer, pledge or otherwise dispose any legal or beneficial interest of the Borrower Equity, or allow creation of any other security interests thereupon;</w:t>
      </w:r>
    </w:p>
    <w:p>
      <w:pPr>
        <w:spacing w:after="0" w:line="85" w:lineRule="exact"/>
        <w:rPr>
          <w:rFonts w:ascii="Times New Roman" w:cs="Times New Roman" w:eastAsia="Times New Roman" w:hAnsi="Times New Roman"/>
          <w:sz w:val="18"/>
          <w:szCs w:val="18"/>
          <w:color w:val="auto"/>
        </w:rPr>
      </w:pPr>
    </w:p>
    <w:p>
      <w:pPr>
        <w:jc w:val="both"/>
        <w:ind w:left="1280" w:right="300" w:hanging="639"/>
        <w:spacing w:after="0" w:line="258" w:lineRule="auto"/>
        <w:tabs>
          <w:tab w:leader="none" w:pos="128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procure the shareholders of the Borrower Company not to approve any sale, transfer, pledge or otherwise disposal of any legal or beneficial interest of the Borrower Equity, or creation of any other security interests thereupon without prior written consent from the Lender, except to the Lender or its designated person;</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320"/>
          </w:cols>
          <w:pgMar w:left="980" w:top="266" w:right="599" w:bottom="1440" w:gutter="0" w:footer="0" w:header="0"/>
        </w:sectPr>
      </w:pPr>
    </w:p>
    <w:bookmarkStart w:id="517" w:name="page518"/>
    <w:bookmarkEnd w:id="517"/>
    <w:p>
      <w:pPr>
        <w:ind w:left="1710" w:right="66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to procure the shareholders of the Borrower Company not to approve its merger or association with, or acquisition of or investment in any person without prior written consent from the Lender;</w:t>
      </w:r>
    </w:p>
    <w:p>
      <w:pPr>
        <w:spacing w:after="0" w:line="76" w:lineRule="exact"/>
        <w:rPr>
          <w:rFonts w:ascii="Times New Roman" w:cs="Times New Roman" w:eastAsia="Times New Roman" w:hAnsi="Times New Roman"/>
          <w:sz w:val="18"/>
          <w:szCs w:val="18"/>
          <w:color w:val="auto"/>
        </w:rPr>
      </w:pPr>
    </w:p>
    <w:p>
      <w:pPr>
        <w:ind w:left="1710" w:right="40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immediately notify the Lender of any actual or potential litigation, arbitration or administrative proceeding regarding the Borrower Equity;</w:t>
      </w:r>
    </w:p>
    <w:p>
      <w:pPr>
        <w:spacing w:after="0" w:line="76" w:lineRule="exact"/>
        <w:rPr>
          <w:rFonts w:ascii="Times New Roman" w:cs="Times New Roman" w:eastAsia="Times New Roman" w:hAnsi="Times New Roman"/>
          <w:sz w:val="18"/>
          <w:szCs w:val="18"/>
          <w:color w:val="auto"/>
        </w:rPr>
      </w:pPr>
    </w:p>
    <w:p>
      <w:pPr>
        <w:ind w:left="1710" w:right="4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execute any document, conduct any action, and make any claim or defense necessary or appropriate to maintain its ownership of the Borrower Equity;</w:t>
      </w:r>
    </w:p>
    <w:p>
      <w:pPr>
        <w:spacing w:after="0" w:line="76" w:lineRule="exact"/>
        <w:rPr>
          <w:rFonts w:ascii="Times New Roman" w:cs="Times New Roman" w:eastAsia="Times New Roman" w:hAnsi="Times New Roman"/>
          <w:sz w:val="18"/>
          <w:szCs w:val="18"/>
          <w:color w:val="auto"/>
        </w:rPr>
      </w:pPr>
    </w:p>
    <w:p>
      <w:pPr>
        <w:ind w:left="1710" w:right="24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make any act and/or omission which may affect any asset, business or liability of the Borrower Company without prior written consent from the Lender;</w:t>
      </w:r>
    </w:p>
    <w:p>
      <w:pPr>
        <w:spacing w:after="0" w:line="76" w:lineRule="exact"/>
        <w:rPr>
          <w:rFonts w:ascii="Times New Roman" w:cs="Times New Roman" w:eastAsia="Times New Roman" w:hAnsi="Times New Roman"/>
          <w:sz w:val="18"/>
          <w:szCs w:val="18"/>
          <w:color w:val="auto"/>
        </w:rPr>
      </w:pPr>
    </w:p>
    <w:p>
      <w:pPr>
        <w:ind w:left="1710" w:right="6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any person nominated by the Lender or the parent of the Lender to the board of the Borrower Company at the request of the Lender;</w:t>
      </w:r>
    </w:p>
    <w:p>
      <w:pPr>
        <w:spacing w:after="0" w:line="76" w:lineRule="exact"/>
        <w:rPr>
          <w:rFonts w:ascii="Times New Roman" w:cs="Times New Roman" w:eastAsia="Times New Roman" w:hAnsi="Times New Roman"/>
          <w:sz w:val="18"/>
          <w:szCs w:val="18"/>
          <w:color w:val="auto"/>
        </w:rPr>
      </w:pPr>
    </w:p>
    <w:p>
      <w:pPr>
        <w:ind w:left="1710" w:right="260" w:hanging="639"/>
        <w:spacing w:after="0" w:line="258"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the PRC laws and at the request of the Lender at any time, to transfer unconditionally and immediately all of the equity interests owned by the Borrowers to the Lender or any person designated by it, and procure any other shareholder of the Borrower Company to waive the right of first refusal regarding such equity interests;</w:t>
      </w:r>
    </w:p>
    <w:p>
      <w:pPr>
        <w:spacing w:after="0" w:line="85" w:lineRule="exact"/>
        <w:rPr>
          <w:rFonts w:ascii="Times New Roman" w:cs="Times New Roman" w:eastAsia="Times New Roman" w:hAnsi="Times New Roman"/>
          <w:sz w:val="18"/>
          <w:szCs w:val="18"/>
          <w:color w:val="auto"/>
        </w:rPr>
      </w:pPr>
    </w:p>
    <w:p>
      <w:pPr>
        <w:ind w:left="1710" w:hanging="639"/>
        <w:spacing w:after="0" w:line="280" w:lineRule="auto"/>
        <w:tabs>
          <w:tab w:leader="none" w:pos="1710" w:val="left"/>
        </w:tabs>
        <w:numPr>
          <w:ilvl w:val="1"/>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under the PRC laws and at the request of the Lender at any time, to procure any other shareholder of the Borrower Company to transfer unconditionally and immediately all of the equity interests owned by such shareholder to the Lender or any person designated by it, and the Borrowers hereby waive their right of first refusal regarding such equity interests;</w:t>
      </w:r>
    </w:p>
    <w:p>
      <w:pPr>
        <w:spacing w:after="0" w:line="69" w:lineRule="exact"/>
        <w:rPr>
          <w:rFonts w:ascii="Times New Roman" w:cs="Times New Roman" w:eastAsia="Times New Roman" w:hAnsi="Times New Roman"/>
          <w:sz w:val="17"/>
          <w:szCs w:val="17"/>
          <w:color w:val="auto"/>
        </w:rPr>
      </w:pPr>
    </w:p>
    <w:p>
      <w:pPr>
        <w:ind w:left="1710" w:right="140" w:hanging="639"/>
        <w:spacing w:after="0" w:line="270"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purchases the Borrower Equity from the Borrowers pursuant to the Exclusive Purchase Option Agreement, to use the price of such purchase to repay the Loan to the Lender on priority; and</w:t>
      </w:r>
    </w:p>
    <w:p>
      <w:pPr>
        <w:spacing w:after="0" w:line="76" w:lineRule="exact"/>
        <w:rPr>
          <w:rFonts w:ascii="Times New Roman" w:cs="Times New Roman" w:eastAsia="Times New Roman" w:hAnsi="Times New Roman"/>
          <w:sz w:val="18"/>
          <w:szCs w:val="18"/>
          <w:color w:val="auto"/>
        </w:rPr>
      </w:pPr>
    </w:p>
    <w:p>
      <w:pPr>
        <w:ind w:left="1710" w:right="240" w:hanging="639"/>
        <w:spacing w:after="0" w:line="258" w:lineRule="auto"/>
        <w:tabs>
          <w:tab w:leader="none" w:pos="171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strictly comply with the provisions of this Agreement, the Equity Pledge Agreement and the Exclusive Purchase Option Agreement, perform its obligations under each of such agreements, and not to make any act or omission which may affect the validity and enforceability of each of such agreements.</w:t>
      </w:r>
    </w:p>
    <w:p>
      <w:pPr>
        <w:spacing w:after="0" w:line="321"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for Breach of Contract</w:t>
      </w:r>
    </w:p>
    <w:p>
      <w:pPr>
        <w:spacing w:after="0" w:line="123" w:lineRule="exact"/>
        <w:rPr>
          <w:rFonts w:ascii="Times New Roman" w:cs="Times New Roman" w:eastAsia="Times New Roman" w:hAnsi="Times New Roman"/>
          <w:sz w:val="18"/>
          <w:szCs w:val="18"/>
          <w:b w:val="1"/>
          <w:bCs w:val="1"/>
          <w:color w:val="auto"/>
        </w:rPr>
      </w:pPr>
    </w:p>
    <w:p>
      <w:pPr>
        <w:ind w:left="1050" w:right="60" w:hanging="634"/>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7.1If any party (“</w:t>
      </w:r>
      <w:r>
        <w:rPr>
          <w:rFonts w:ascii="Times New Roman" w:cs="Times New Roman" w:eastAsia="Times New Roman" w:hAnsi="Times New Roman"/>
          <w:sz w:val="18"/>
          <w:szCs w:val="18"/>
          <w:b w:val="1"/>
          <w:bCs w:val="1"/>
          <w:color w:val="auto"/>
        </w:rPr>
        <w:t>Defaulting Party</w:t>
      </w:r>
      <w:r>
        <w:rPr>
          <w:rFonts w:ascii="Times New Roman" w:cs="Times New Roman" w:eastAsia="Times New Roman" w:hAnsi="Times New Roman"/>
          <w:sz w:val="18"/>
          <w:szCs w:val="18"/>
          <w:color w:val="auto"/>
        </w:rPr>
        <w:t>”) breaches any provision of this Agreement, which causes damage to the other party (“</w:t>
      </w:r>
      <w:r>
        <w:rPr>
          <w:rFonts w:ascii="Times New Roman" w:cs="Times New Roman" w:eastAsia="Times New Roman" w:hAnsi="Times New Roman"/>
          <w:sz w:val="18"/>
          <w:szCs w:val="18"/>
          <w:b w:val="1"/>
          <w:bCs w:val="1"/>
          <w:color w:val="auto"/>
        </w:rPr>
        <w:t>Non-defaulting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the Non-defaulting Party could notify the Defaulting Party in writing and request it to rectify and correct such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if the Defaulting Party fails to take any action satisfactory to the Non-defaulting Party to rectify and correct such breach within fifteen (15) working days upon the issuance of the written notice by the Non-defaulting Party, the Non-defaulting Party may immediately take the actions pursuant to this Agreement or take other remedies in accordance with laws.</w:t>
      </w:r>
    </w:p>
    <w:p>
      <w:pPr>
        <w:spacing w:after="0" w:line="1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90"/>
          </w:cols>
          <w:pgMar w:left="550" w:top="266" w:right="559" w:bottom="1440" w:gutter="0" w:footer="0" w:header="0"/>
        </w:sectPr>
      </w:pPr>
    </w:p>
    <w:bookmarkStart w:id="518" w:name="page519"/>
    <w:bookmarkEnd w:id="518"/>
    <w:p>
      <w:pPr>
        <w:jc w:val="both"/>
        <w:ind w:left="105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7.2</w:t>
      </w:r>
      <w:r>
        <w:rPr>
          <w:sz w:val="20"/>
          <w:szCs w:val="20"/>
          <w:color w:val="auto"/>
        </w:rPr>
        <w:tab/>
      </w:r>
      <w:r>
        <w:rPr>
          <w:rFonts w:ascii="Times New Roman" w:cs="Times New Roman" w:eastAsia="Times New Roman" w:hAnsi="Times New Roman"/>
          <w:sz w:val="18"/>
          <w:szCs w:val="18"/>
          <w:color w:val="auto"/>
        </w:rPr>
        <w:t>If the Borrowers fail to repay the Loan pursuant to the terms under this Agreement, they will be liable for a penalty interest accrued upon the amount due and payable at a daily interest rate of 0.02% until the Loan as well as any penalty interest and any other amount accrued thereupon are fully repaid by the Borrowers.</w:t>
      </w:r>
    </w:p>
    <w:p>
      <w:pPr>
        <w:spacing w:after="0" w:line="322" w:lineRule="exact"/>
        <w:rPr>
          <w:sz w:val="20"/>
          <w:szCs w:val="20"/>
          <w:color w:val="auto"/>
        </w:rPr>
      </w:pPr>
    </w:p>
    <w:p>
      <w:pPr>
        <w:ind w:left="430" w:hanging="430"/>
        <w:spacing w:after="0"/>
        <w:tabs>
          <w:tab w:leader="none" w:pos="43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12" w:lineRule="exact"/>
        <w:rPr>
          <w:rFonts w:ascii="Times New Roman" w:cs="Times New Roman" w:eastAsia="Times New Roman" w:hAnsi="Times New Roman"/>
          <w:sz w:val="18"/>
          <w:szCs w:val="18"/>
          <w:b w:val="1"/>
          <w:bCs w:val="1"/>
          <w:color w:val="auto"/>
        </w:rPr>
      </w:pPr>
    </w:p>
    <w:p>
      <w:pPr>
        <w:ind w:left="430" w:right="8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Notices or other communications required to be given by any Party pursuant to this Agreement shall be made in writing and delivered personally or sent by mail or facsimile transmission to the addresses of the other Parties set forth below or other designated addresses notified by such other Parties to such Party from time to time. The date when the notice is deemed to be duly served shall be determined as the follows: (a) a notice delivered personally is deemed duly served upon the delivery; (b) a notice sent by mail is deemed duly served on the seventh (7th) day after the date when the air registered mail with postage prepaid has been sent out (as is shown on the postmark), or the fourth (4th) day after the delivery date to the internationally recognized courier service agency; and (c) a notice sent by facsimile transmission is deemed duly served upon the receipt time as is shown on the transmission confirmation of relevant documents.</w:t>
      </w:r>
    </w:p>
    <w:p>
      <w:pPr>
        <w:spacing w:after="0" w:line="186"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to the </w:t>
      </w:r>
      <w:r>
        <w:rPr>
          <w:rFonts w:ascii="Times New Roman" w:cs="Times New Roman" w:eastAsia="Times New Roman" w:hAnsi="Times New Roman"/>
          <w:sz w:val="18"/>
          <w:szCs w:val="18"/>
          <w:b w:val="1"/>
          <w:bCs w:val="1"/>
          <w:color w:val="auto"/>
        </w:rPr>
        <w:t>Lender: Beijing Jingdong Century Trade Co., Ltd.</w:t>
      </w:r>
    </w:p>
    <w:p>
      <w:pPr>
        <w:spacing w:after="0" w:line="244"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2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 xml:space="preserve">If to </w:t>
      </w:r>
      <w:r>
        <w:rPr>
          <w:rFonts w:ascii="Times New Roman" w:cs="Times New Roman" w:eastAsia="Times New Roman" w:hAnsi="Times New Roman"/>
          <w:sz w:val="18"/>
          <w:szCs w:val="18"/>
          <w:b w:val="1"/>
          <w:bCs w:val="1"/>
          <w:color w:val="auto"/>
        </w:rPr>
        <w:t>the Borrowers:</w:t>
      </w:r>
    </w:p>
    <w:p>
      <w:pPr>
        <w:spacing w:after="0" w:line="242"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2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2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090"/>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left="2270"/>
        <w:spacing w:after="0"/>
        <w:rPr>
          <w:sz w:val="20"/>
          <w:szCs w:val="20"/>
          <w:color w:val="auto"/>
        </w:rPr>
      </w:pP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090"/>
        <w:spacing w:after="0"/>
        <w:tabs>
          <w:tab w:leader="none" w:pos="2249"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30"/>
          </w:cols>
          <w:pgMar w:left="550" w:top="266" w:right="619" w:bottom="1440" w:gutter="0" w:footer="0" w:header="0"/>
        </w:sectPr>
      </w:pPr>
    </w:p>
    <w:bookmarkStart w:id="519" w:name="page520"/>
    <w:bookmarkEnd w:id="519"/>
    <w:p>
      <w:pPr>
        <w:ind w:left="430" w:hanging="430"/>
        <w:spacing w:after="0"/>
        <w:tabs>
          <w:tab w:leader="none" w:pos="430"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Confidentiality</w:t>
      </w:r>
    </w:p>
    <w:p>
      <w:pPr>
        <w:spacing w:after="0" w:line="112" w:lineRule="exact"/>
        <w:rPr>
          <w:rFonts w:ascii="Times New Roman" w:cs="Times New Roman" w:eastAsia="Times New Roman" w:hAnsi="Times New Roman"/>
          <w:sz w:val="18"/>
          <w:szCs w:val="18"/>
          <w:b w:val="1"/>
          <w:bCs w:val="1"/>
          <w:color w:val="auto"/>
        </w:rPr>
      </w:pPr>
    </w:p>
    <w:p>
      <w:pPr>
        <w:ind w:left="43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Parties acknowledge and confirm that any oral or written materials exchanged by and between the Parties in connection with this Agreement are confidential. All Parties shall keep in confidence all such information and not disclose it to any third party without prior written consent from other Parties unless: (a) such information is known or will be known by the public (except by disclosure of the receiving party without authorization); (b) such information is required to be disclosed in accordance with applicable laws or rules or regulations; or (c) if any information is required to be disclosed by any party to its legal or financial advisor for the purpose of the transaction of this Agreement, such legal or financial advisor shall also comply with the confidentiality obligation similar to that stated hereof. Any disclosure by any employee or agency engaged by any Party shall be deemed the disclosure of such Party and such Party shall assume the liabilities for its breach of contract pursuant to this Agreement. This Article shall survive expiration or termination of this Agreement.</w:t>
      </w:r>
    </w:p>
    <w:p>
      <w:pPr>
        <w:spacing w:after="0" w:line="335"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 and Dispute Resolution</w:t>
      </w:r>
    </w:p>
    <w:p>
      <w:pPr>
        <w:spacing w:after="0" w:line="125" w:lineRule="exact"/>
        <w:rPr>
          <w:rFonts w:ascii="Times New Roman" w:cs="Times New Roman" w:eastAsia="Times New Roman" w:hAnsi="Times New Roman"/>
          <w:sz w:val="18"/>
          <w:szCs w:val="18"/>
          <w:b w:val="1"/>
          <w:bCs w:val="1"/>
          <w:color w:val="auto"/>
        </w:rPr>
      </w:pPr>
    </w:p>
    <w:p>
      <w:pPr>
        <w:ind w:left="1050" w:right="40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10.1The formation, validity, performance and interpretation of this Agreement and the disputes resolution under this Agreement shall be governed by the PRC laws.</w:t>
      </w:r>
    </w:p>
    <w:p>
      <w:pPr>
        <w:spacing w:after="0" w:line="76" w:lineRule="exact"/>
        <w:rPr>
          <w:rFonts w:ascii="Times New Roman" w:cs="Times New Roman" w:eastAsia="Times New Roman" w:hAnsi="Times New Roman"/>
          <w:sz w:val="18"/>
          <w:szCs w:val="18"/>
          <w:b w:val="1"/>
          <w:bCs w:val="1"/>
          <w:color w:val="auto"/>
        </w:rPr>
      </w:pPr>
    </w:p>
    <w:p>
      <w:pPr>
        <w:ind w:left="1050" w:right="160" w:hanging="634"/>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7"/>
          <w:szCs w:val="17"/>
          <w:color w:val="auto"/>
        </w:rPr>
        <w:t>The Parties shall strive to settle any dispute arising from or in connection with this Agreement through friendly consultation. In case no settlement can be reached through consultation within thirty (30) days after the request for consultation is made by any Party, any Party can submit such matter to China International Economic and Trade Arbitration Commission for arbitration in accordance with its then effective rules. The arbitration shall take place in Beijing. The arbitration award shall be final and binding upon all the Parties.</w:t>
      </w:r>
    </w:p>
    <w:p>
      <w:pPr>
        <w:spacing w:after="0" w:line="31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4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5" w:lineRule="exact"/>
        <w:rPr>
          <w:rFonts w:ascii="Times New Roman" w:cs="Times New Roman" w:eastAsia="Times New Roman" w:hAnsi="Times New Roman"/>
          <w:sz w:val="18"/>
          <w:szCs w:val="18"/>
          <w:b w:val="1"/>
          <w:bCs w:val="1"/>
          <w:color w:val="auto"/>
        </w:rPr>
      </w:pPr>
    </w:p>
    <w:p>
      <w:pPr>
        <w:ind w:left="1050" w:right="64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11.1The headings contained in this Agreement are for the convenience of reference only and shall not be used to interpret, explain or otherwise affect the meaning of the provisions of this Agreement.</w:t>
      </w:r>
    </w:p>
    <w:p>
      <w:pPr>
        <w:spacing w:after="0" w:line="76" w:lineRule="exact"/>
        <w:rPr>
          <w:rFonts w:ascii="Times New Roman" w:cs="Times New Roman" w:eastAsia="Times New Roman" w:hAnsi="Times New Roman"/>
          <w:sz w:val="18"/>
          <w:szCs w:val="18"/>
          <w:b w:val="1"/>
          <w:bCs w:val="1"/>
          <w:color w:val="auto"/>
        </w:rPr>
      </w:pPr>
    </w:p>
    <w:p>
      <w:pPr>
        <w:ind w:left="1050" w:right="580" w:hanging="634"/>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11.2This Agreement shall be effective as of the date of its execution. Once effective, this Agreement will expire until the Parties have performed their respective obligations under this Agreement.</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50"/>
          </w:cols>
          <w:pgMar w:left="550" w:top="264" w:right="599" w:bottom="1440" w:gutter="0" w:footer="0" w:header="0"/>
        </w:sectPr>
      </w:pPr>
    </w:p>
    <w:bookmarkStart w:id="520" w:name="page521"/>
    <w:bookmarkEnd w:id="520"/>
    <w:p>
      <w:pPr>
        <w:ind w:left="620" w:right="18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11.3</w:t>
      </w:r>
      <w:r>
        <w:rPr>
          <w:sz w:val="20"/>
          <w:szCs w:val="20"/>
          <w:color w:val="auto"/>
        </w:rPr>
        <w:tab/>
      </w:r>
      <w:r>
        <w:rPr>
          <w:rFonts w:ascii="Times New Roman" w:cs="Times New Roman" w:eastAsia="Times New Roman" w:hAnsi="Times New Roman"/>
          <w:sz w:val="18"/>
          <w:szCs w:val="18"/>
          <w:color w:val="auto"/>
        </w:rPr>
        <w:t>The Parties agree to promptly execute any document and take any other action reasonably necessary or advisable to perform provisions and purpose of this Agreement.</w:t>
      </w:r>
    </w:p>
    <w:p>
      <w:pPr>
        <w:spacing w:after="0" w:line="76" w:lineRule="exact"/>
        <w:rPr>
          <w:sz w:val="20"/>
          <w:szCs w:val="20"/>
          <w:color w:val="auto"/>
        </w:rPr>
      </w:pPr>
    </w:p>
    <w:p>
      <w:pPr>
        <w:jc w:val="both"/>
        <w:ind w:left="620" w:right="140" w:hanging="633"/>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The Parties confirm that this Agreement shall, upon its effectiveness, constitute the entire agreement and common understanding of the Parties with respect to the subject matters herein and fully supersede all prior verbal and/or written agreements and understandings with respect to the subject matters herein.</w:t>
      </w:r>
    </w:p>
    <w:p>
      <w:pPr>
        <w:spacing w:after="0" w:line="86" w:lineRule="exact"/>
        <w:rPr>
          <w:sz w:val="20"/>
          <w:szCs w:val="20"/>
          <w:color w:val="auto"/>
        </w:rPr>
      </w:pPr>
    </w:p>
    <w:p>
      <w:pPr>
        <w:jc w:val="both"/>
        <w:ind w:left="620" w:right="14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The Parties may amend and supplement this Agreement in writing. Any amendment and/or supplement to this Agreement by the Parties is an integral part of and has the same effect with this Agreement.</w:t>
      </w:r>
    </w:p>
    <w:p>
      <w:pPr>
        <w:spacing w:after="0" w:line="76" w:lineRule="exact"/>
        <w:rPr>
          <w:sz w:val="20"/>
          <w:szCs w:val="20"/>
          <w:color w:val="auto"/>
        </w:rPr>
      </w:pPr>
    </w:p>
    <w:p>
      <w:pPr>
        <w:ind w:left="620" w:right="46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This Agreement shall be binding upon and for the benefit of all the Parties hereto and their respective inheritors, successors and the permitted assigns.</w:t>
      </w:r>
    </w:p>
    <w:p>
      <w:pPr>
        <w:spacing w:after="0" w:line="76" w:lineRule="exact"/>
        <w:rPr>
          <w:sz w:val="20"/>
          <w:szCs w:val="20"/>
          <w:color w:val="auto"/>
        </w:rPr>
      </w:pPr>
    </w:p>
    <w:p>
      <w:pPr>
        <w:ind w:left="620" w:right="32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Any Party’s failure to exercise the rights under this Agreement in time shall not be deemed as its waiver of such rights and would not affect its future exercise of such rights.</w:t>
      </w:r>
    </w:p>
    <w:p>
      <w:pPr>
        <w:spacing w:after="0" w:line="76" w:lineRule="exact"/>
        <w:rPr>
          <w:sz w:val="20"/>
          <w:szCs w:val="20"/>
          <w:color w:val="auto"/>
        </w:rPr>
      </w:pPr>
    </w:p>
    <w:p>
      <w:pPr>
        <w:ind w:left="620" w:right="200" w:hanging="633"/>
        <w:spacing w:after="0" w:line="251" w:lineRule="auto"/>
        <w:tabs>
          <w:tab w:leader="none" w:pos="6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If any provision of this Agreement is held void, invalid or unenforceable by a court of competent jurisdiction, governmental agency or arbitration authority, the validity, legality and enforceability of the other provisions hereof shall not be affected or impaired in any way. The Parties shall cease performing such void, invalid or unenforceable provisions and revise such void, invalid or unenforceable provisions only to the extent closest to the original intention thereof to recover its validity or enforceability for such specific facts and circumstances.</w:t>
      </w:r>
    </w:p>
    <w:p>
      <w:pPr>
        <w:spacing w:after="0" w:line="94" w:lineRule="exact"/>
        <w:rPr>
          <w:sz w:val="20"/>
          <w:szCs w:val="20"/>
          <w:color w:val="auto"/>
        </w:rPr>
      </w:pPr>
    </w:p>
    <w:p>
      <w:pPr>
        <w:ind w:left="620" w:hanging="633"/>
        <w:spacing w:after="0" w:line="270" w:lineRule="auto"/>
        <w:tabs>
          <w:tab w:leader="none" w:pos="60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Unless with prior written consent from the Lender, the Borrowers may not assign any of their rights and obligations under this Agreement to any third party.</w:t>
      </w:r>
    </w:p>
    <w:p>
      <w:pPr>
        <w:spacing w:after="0" w:line="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This Agreement is made in four (4) originals with each Party holding one (1) original. Each original has the same effect.</w:t>
      </w:r>
    </w:p>
    <w:p>
      <w:pPr>
        <w:spacing w:after="0" w:line="2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(No text below)</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40"/>
          </w:cols>
          <w:pgMar w:left="980" w:top="266" w:right="57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(Signature Page)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THEREOF, each Party has signed or caused its legal representative to sign this Agreement as of the date first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Beijing Jingdong Century Trade Co., Ltd.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Beijing Jingdong Century Trade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7">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Beijing Jingdong Century Trade Co., Ltd.)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Lei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Qin Miao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Qin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9">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Pang Zhang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0">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Yayun Li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Yayun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101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1">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899"/>
          </w:cols>
          <w:pgMar w:left="560" w:top="266" w:right="1440"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 A</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schedule sets forth information about the loan agreements substantially in form as this exhibit that the Registrant entered into with certain other Chinese variable interest entities. Other than the information set forth below, there is no material difference between such other agreements and this exhibit.</w:t>
      </w:r>
    </w:p>
    <w:p>
      <w:pPr>
        <w:sectPr>
          <w:pgSz w:w="11900" w:h="16838" w:orient="portrait"/>
          <w:cols w:equalWidth="0" w:num="1">
            <w:col w:w="10760"/>
          </w:cols>
          <w:pgMar w:left="560" w:top="264" w:right="57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VIE</w:t>
            </w:r>
          </w:p>
        </w:tc>
        <w:tc>
          <w:tcPr>
            <w:tcW w:w="200" w:type="dxa"/>
            <w:vAlign w:val="bottom"/>
          </w:tcPr>
          <w:p>
            <w:pPr>
              <w:spacing w:after="0"/>
              <w:rPr>
                <w:sz w:val="14"/>
                <w:szCs w:val="14"/>
                <w:color w:val="auto"/>
              </w:rPr>
            </w:pPr>
          </w:p>
        </w:tc>
        <w:tc>
          <w:tcPr>
            <w:tcW w:w="26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Executing Parties</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500" w:type="dxa"/>
            <w:vAlign w:val="bottom"/>
            <w:gridSpan w:val="2"/>
          </w:tcPr>
          <w:p>
            <w:pPr>
              <w:spacing w:after="0" w:line="106" w:lineRule="exact"/>
              <w:rPr>
                <w:sz w:val="20"/>
                <w:szCs w:val="20"/>
                <w:color w:val="auto"/>
              </w:rPr>
            </w:pPr>
            <w:r>
              <w:rPr>
                <w:rFonts w:ascii="Times New Roman" w:cs="Times New Roman" w:eastAsia="Times New Roman" w:hAnsi="Times New Roman"/>
                <w:sz w:val="12"/>
                <w:szCs w:val="12"/>
                <w:color w:val="auto"/>
              </w:rPr>
              <w:t>Jiangsu Jingdong Bangneng Investment</w:t>
            </w:r>
          </w:p>
        </w:tc>
        <w:tc>
          <w:tcPr>
            <w:tcW w:w="200" w:type="dxa"/>
            <w:vAlign w:val="bottom"/>
            <w:vMerge w:val="continue"/>
          </w:tcPr>
          <w:p>
            <w:pPr>
              <w:spacing w:after="0"/>
              <w:rPr>
                <w:sz w:val="9"/>
                <w:szCs w:val="9"/>
                <w:color w:val="auto"/>
              </w:rPr>
            </w:pPr>
          </w:p>
        </w:tc>
        <w:tc>
          <w:tcPr>
            <w:tcW w:w="26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Lender: Shanghai Shengdayuan Information</w:t>
            </w:r>
          </w:p>
        </w:tc>
        <w:tc>
          <w:tcPr>
            <w:tcW w:w="0" w:type="dxa"/>
            <w:vAlign w:val="bottom"/>
          </w:tcPr>
          <w:p>
            <w:pPr>
              <w:spacing w:after="0"/>
              <w:rPr>
                <w:sz w:val="1"/>
                <w:szCs w:val="1"/>
                <w:color w:val="auto"/>
              </w:rPr>
            </w:pPr>
          </w:p>
        </w:tc>
      </w:tr>
      <w:tr>
        <w:trPr>
          <w:trHeight w:val="187"/>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Co., Ltd.</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Technology Co., Ltd.</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Borrowers: Qin Miao, Yayun Li and Pang</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Zhang</w:t>
            </w:r>
          </w:p>
        </w:tc>
        <w:tc>
          <w:tcPr>
            <w:tcW w:w="0" w:type="dxa"/>
            <w:vAlign w:val="bottom"/>
          </w:tcPr>
          <w:p>
            <w:pPr>
              <w:spacing w:after="0"/>
              <w:rPr>
                <w:sz w:val="1"/>
                <w:szCs w:val="1"/>
                <w:color w:val="auto"/>
              </w:rPr>
            </w:pPr>
          </w:p>
        </w:tc>
      </w:tr>
      <w:tr>
        <w:trPr>
          <w:trHeight w:val="385"/>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Shanghai Jingdong Cai’ao E-commercial</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Lender: Beijing Jingdong Century Trade</w:t>
            </w:r>
          </w:p>
        </w:tc>
        <w:tc>
          <w:tcPr>
            <w:tcW w:w="0" w:type="dxa"/>
            <w:vAlign w:val="bottom"/>
          </w:tcPr>
          <w:p>
            <w:pPr>
              <w:spacing w:after="0"/>
              <w:rPr>
                <w:sz w:val="1"/>
                <w:szCs w:val="1"/>
                <w:color w:val="auto"/>
              </w:rPr>
            </w:pPr>
          </w:p>
        </w:tc>
      </w:tr>
      <w:tr>
        <w:trPr>
          <w:trHeight w:val="184"/>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 Ltd.</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 Ltd.</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Borrowers: Qin Miao, Tingting Sui and Pang</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Zhang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6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Loan Amount</w:t>
            </w: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Effective Date</w:t>
            </w:r>
          </w:p>
        </w:tc>
      </w:tr>
      <w:tr>
        <w:trPr>
          <w:trHeight w:val="116"/>
        </w:trPr>
        <w:tc>
          <w:tcPr>
            <w:tcW w:w="20" w:type="dxa"/>
            <w:vAlign w:val="bottom"/>
          </w:tcPr>
          <w:p>
            <w:pPr>
              <w:spacing w:after="0"/>
              <w:rPr>
                <w:sz w:val="10"/>
                <w:szCs w:val="10"/>
                <w:color w:val="auto"/>
              </w:rPr>
            </w:pPr>
          </w:p>
        </w:tc>
        <w:tc>
          <w:tcPr>
            <w:tcW w:w="2560" w:type="dxa"/>
            <w:vAlign w:val="bottom"/>
            <w:tcBorders>
              <w:top w:val="single" w:sz="8" w:color="auto"/>
            </w:tcBorders>
          </w:tcPr>
          <w:p>
            <w:pPr>
              <w:spacing w:after="0" w:line="116" w:lineRule="exact"/>
              <w:rPr>
                <w:sz w:val="20"/>
                <w:szCs w:val="20"/>
                <w:color w:val="auto"/>
              </w:rPr>
            </w:pPr>
            <w:r>
              <w:rPr>
                <w:rFonts w:ascii="Times New Roman" w:cs="Times New Roman" w:eastAsia="Times New Roman" w:hAnsi="Times New Roman"/>
                <w:sz w:val="13"/>
                <w:szCs w:val="13"/>
                <w:color w:val="auto"/>
              </w:rPr>
              <w:t>Amount: an aggregate of RMB80,000,000.00</w:t>
            </w: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line="116" w:lineRule="exact"/>
              <w:rPr>
                <w:sz w:val="20"/>
                <w:szCs w:val="20"/>
                <w:color w:val="auto"/>
              </w:rPr>
            </w:pPr>
            <w:r>
              <w:rPr>
                <w:rFonts w:ascii="Times New Roman" w:cs="Times New Roman" w:eastAsia="Times New Roman" w:hAnsi="Times New Roman"/>
                <w:sz w:val="13"/>
                <w:szCs w:val="13"/>
                <w:color w:val="auto"/>
              </w:rPr>
              <w:t>September 30, 2022</w:t>
            </w: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lent to the Borrowers, of which RMB</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36,000,000.00 will be provided to Qin Miao,</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RMB 20,000,000.00 will be provided to Pang</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Zhang and RMB 24,000,000 will be provided</w:t>
            </w:r>
          </w:p>
        </w:tc>
        <w:tc>
          <w:tcPr>
            <w:tcW w:w="1280" w:type="dxa"/>
            <w:vAlign w:val="bottom"/>
          </w:tcPr>
          <w:p>
            <w:pPr>
              <w:spacing w:after="0"/>
              <w:rPr>
                <w:sz w:val="12"/>
                <w:szCs w:val="12"/>
                <w:color w:val="auto"/>
              </w:rPr>
            </w:pPr>
          </w:p>
        </w:tc>
      </w:tr>
      <w:tr>
        <w:trPr>
          <w:trHeight w:val="184"/>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 Yayun Li.</w:t>
            </w:r>
          </w:p>
        </w:tc>
        <w:tc>
          <w:tcPr>
            <w:tcW w:w="1280" w:type="dxa"/>
            <w:vAlign w:val="bottom"/>
          </w:tcPr>
          <w:p>
            <w:pPr>
              <w:spacing w:after="0"/>
              <w:rPr>
                <w:sz w:val="15"/>
                <w:szCs w:val="15"/>
                <w:color w:val="auto"/>
              </w:rPr>
            </w:pPr>
          </w:p>
        </w:tc>
      </w:tr>
      <w:tr>
        <w:trPr>
          <w:trHeight w:val="213"/>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Amount: an aggregate of RMB1,000,000.00</w:t>
            </w:r>
          </w:p>
        </w:tc>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March 26, 2026</w:t>
            </w: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lent to the Borrowers, of which RMB</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4,500,000.00 will be provided to Qin Miao,</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RMB 2,500,000.00 will be provided to Pang</w:t>
            </w:r>
          </w:p>
        </w:tc>
        <w:tc>
          <w:tcPr>
            <w:tcW w:w="1280" w:type="dxa"/>
            <w:vAlign w:val="bottom"/>
          </w:tcPr>
          <w:p>
            <w:pPr>
              <w:spacing w:after="0"/>
              <w:rPr>
                <w:sz w:val="12"/>
                <w:szCs w:val="12"/>
                <w:color w:val="auto"/>
              </w:rPr>
            </w:pPr>
          </w:p>
        </w:tc>
      </w:tr>
      <w:tr>
        <w:trPr>
          <w:trHeight w:val="145"/>
        </w:trPr>
        <w:tc>
          <w:tcPr>
            <w:tcW w:w="26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Zhang and RMB 3,000,000 will be provided</w:t>
            </w:r>
          </w:p>
        </w:tc>
        <w:tc>
          <w:tcPr>
            <w:tcW w:w="1280" w:type="dxa"/>
            <w:vAlign w:val="bottom"/>
          </w:tcPr>
          <w:p>
            <w:pPr>
              <w:spacing w:after="0"/>
              <w:rPr>
                <w:sz w:val="12"/>
                <w:szCs w:val="12"/>
                <w:color w:val="auto"/>
              </w:rPr>
            </w:pPr>
          </w:p>
        </w:tc>
      </w:tr>
      <w:tr>
        <w:trPr>
          <w:trHeight w:val="184"/>
        </w:trPr>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 Tingting Sui.</w:t>
            </w:r>
          </w:p>
        </w:tc>
        <w:tc>
          <w:tcPr>
            <w:tcW w:w="12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Execution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81407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3">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26, 2026</w:t>
      </w:r>
    </w:p>
    <w:p>
      <w:pPr>
        <w:spacing w:after="0" w:line="817" w:lineRule="exact"/>
        <w:rPr>
          <w:sz w:val="20"/>
          <w:szCs w:val="20"/>
          <w:color w:val="auto"/>
        </w:rPr>
      </w:pPr>
    </w:p>
    <w:p>
      <w:pPr>
        <w:sectPr>
          <w:pgSz w:w="11900" w:h="16838" w:orient="portrait"/>
          <w:cols w:equalWidth="0" w:num="3">
            <w:col w:w="5300" w:space="120"/>
            <w:col w:w="3960" w:space="120"/>
            <w:col w:w="1260"/>
          </w:cols>
          <w:pgMar w:left="560" w:top="264" w:right="579" w:bottom="1440" w:gutter="0" w:footer="0" w:header="0"/>
          <w:type w:val="continuous"/>
        </w:sect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Suzhou Guanyinghou Media Technology</w:t>
      </w:r>
      <w:r>
        <w:rPr>
          <w:sz w:val="20"/>
          <w:szCs w:val="20"/>
          <w:color w:val="auto"/>
        </w:rPr>
        <w:tab/>
      </w:r>
      <w:r>
        <w:rPr>
          <w:rFonts w:ascii="Times New Roman" w:cs="Times New Roman" w:eastAsia="Times New Roman" w:hAnsi="Times New Roman"/>
          <w:sz w:val="14"/>
          <w:szCs w:val="14"/>
          <w:color w:val="auto"/>
        </w:rPr>
        <w:t>Lender: Suqian Daxi Information Technology</w:t>
      </w: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Co., Ltd.</w:t>
      </w:r>
      <w:r>
        <w:rPr>
          <w:sz w:val="20"/>
          <w:szCs w:val="20"/>
          <w:color w:val="auto"/>
        </w:rPr>
        <w:tab/>
      </w:r>
      <w:r>
        <w:rPr>
          <w:rFonts w:ascii="Times New Roman" w:cs="Times New Roman" w:eastAsia="Times New Roman" w:hAnsi="Times New Roman"/>
          <w:sz w:val="14"/>
          <w:szCs w:val="14"/>
          <w:color w:val="auto"/>
        </w:rPr>
        <w:t>Co., 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 Qian Yang</w:t>
      </w:r>
    </w:p>
    <w:p>
      <w:pPr>
        <w:spacing w:after="0" w:line="103"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Beijing JPT E-Commerce Co., Ltd.</w:t>
      </w:r>
      <w:r>
        <w:rPr>
          <w:sz w:val="20"/>
          <w:szCs w:val="20"/>
          <w:color w:val="auto"/>
        </w:rPr>
        <w:tab/>
      </w:r>
      <w:r>
        <w:rPr>
          <w:rFonts w:ascii="Times New Roman" w:cs="Times New Roman" w:eastAsia="Times New Roman" w:hAnsi="Times New Roman"/>
          <w:sz w:val="14"/>
          <w:szCs w:val="14"/>
          <w:color w:val="auto"/>
        </w:rPr>
        <w:t>Lender: Beijing QGX Information</w:t>
      </w:r>
    </w:p>
    <w:p>
      <w:pPr>
        <w:ind w:left="2700"/>
        <w:spacing w:after="0"/>
        <w:rPr>
          <w:sz w:val="20"/>
          <w:szCs w:val="20"/>
          <w:color w:val="auto"/>
        </w:rPr>
      </w:pPr>
      <w:r>
        <w:rPr>
          <w:rFonts w:ascii="Times New Roman" w:cs="Times New Roman" w:eastAsia="Times New Roman" w:hAnsi="Times New Roman"/>
          <w:sz w:val="14"/>
          <w:szCs w:val="14"/>
          <w:color w:val="auto"/>
        </w:rPr>
        <w:t>Technology Co., 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Yayun Li and Pang Zhang</w:t>
      </w:r>
    </w:p>
    <w:p>
      <w:pPr>
        <w:spacing w:after="0" w:line="117"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Suqian Jiantong Enterprise Management Co.,</w:t>
        <w:tab/>
        <w:t>Lender: Suqian Daxi Information Technology</w:t>
      </w: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Ltd.</w:t>
      </w:r>
      <w:r>
        <w:rPr>
          <w:sz w:val="20"/>
          <w:szCs w:val="20"/>
          <w:color w:val="auto"/>
        </w:rPr>
        <w:tab/>
      </w:r>
      <w:r>
        <w:rPr>
          <w:rFonts w:ascii="Times New Roman" w:cs="Times New Roman" w:eastAsia="Times New Roman" w:hAnsi="Times New Roman"/>
          <w:sz w:val="14"/>
          <w:szCs w:val="14"/>
          <w:color w:val="auto"/>
        </w:rPr>
        <w:t>Co., 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Xinshi Wang, Suzhou</w:t>
      </w:r>
    </w:p>
    <w:p>
      <w:pPr>
        <w:ind w:left="2700"/>
        <w:spacing w:after="0"/>
        <w:rPr>
          <w:sz w:val="20"/>
          <w:szCs w:val="20"/>
          <w:color w:val="auto"/>
        </w:rPr>
      </w:pPr>
      <w:r>
        <w:rPr>
          <w:rFonts w:ascii="Times New Roman" w:cs="Times New Roman" w:eastAsia="Times New Roman" w:hAnsi="Times New Roman"/>
          <w:sz w:val="14"/>
          <w:szCs w:val="14"/>
          <w:color w:val="auto"/>
        </w:rPr>
        <w:t>Guanyinghou Media Technology Co., Ltd.</w:t>
      </w:r>
    </w:p>
    <w:p>
      <w:pPr>
        <w:spacing w:after="0" w:line="101"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Suqian Yueyang Information Technology</w:t>
      </w:r>
      <w:r>
        <w:rPr>
          <w:sz w:val="20"/>
          <w:szCs w:val="20"/>
          <w:color w:val="auto"/>
        </w:rPr>
        <w:tab/>
      </w:r>
      <w:r>
        <w:rPr>
          <w:rFonts w:ascii="Times New Roman" w:cs="Times New Roman" w:eastAsia="Times New Roman" w:hAnsi="Times New Roman"/>
          <w:sz w:val="14"/>
          <w:szCs w:val="14"/>
          <w:color w:val="auto"/>
        </w:rPr>
        <w:t>Lender: Shanghai Shengdayuan Information</w:t>
      </w: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Co., Ltd.</w:t>
      </w:r>
      <w:r>
        <w:rPr>
          <w:sz w:val="20"/>
          <w:szCs w:val="20"/>
          <w:color w:val="auto"/>
        </w:rPr>
        <w:tab/>
      </w:r>
      <w:r>
        <w:rPr>
          <w:rFonts w:ascii="Times New Roman" w:cs="Times New Roman" w:eastAsia="Times New Roman" w:hAnsi="Times New Roman"/>
          <w:sz w:val="13"/>
          <w:szCs w:val="13"/>
          <w:color w:val="auto"/>
        </w:rPr>
        <w:t>Technology Co., 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Tingting Sui, Saili Tan and Pang</w:t>
      </w:r>
    </w:p>
    <w:p>
      <w:pPr>
        <w:ind w:left="2700"/>
        <w:spacing w:after="0"/>
        <w:rPr>
          <w:sz w:val="20"/>
          <w:szCs w:val="20"/>
          <w:color w:val="auto"/>
        </w:rPr>
      </w:pPr>
      <w:r>
        <w:rPr>
          <w:rFonts w:ascii="Times New Roman" w:cs="Times New Roman" w:eastAsia="Times New Roman" w:hAnsi="Times New Roman"/>
          <w:sz w:val="14"/>
          <w:szCs w:val="14"/>
          <w:color w:val="auto"/>
        </w:rPr>
        <w:t>Zhang</w:t>
      </w:r>
    </w:p>
    <w:p>
      <w:pPr>
        <w:spacing w:after="0" w:line="246" w:lineRule="exact"/>
        <w:rPr>
          <w:sz w:val="20"/>
          <w:szCs w:val="20"/>
          <w:color w:val="auto"/>
        </w:rPr>
      </w:pPr>
    </w:p>
    <w:p>
      <w:pPr>
        <w:jc w:val="right"/>
        <w:ind w:right="660"/>
        <w:spacing w:after="0" w:line="250" w:lineRule="auto"/>
        <w:rPr>
          <w:sz w:val="20"/>
          <w:szCs w:val="20"/>
          <w:color w:val="auto"/>
        </w:rPr>
      </w:pPr>
      <w:r>
        <w:rPr>
          <w:rFonts w:ascii="Times New Roman" w:cs="Times New Roman" w:eastAsia="Times New Roman" w:hAnsi="Times New Roman"/>
          <w:sz w:val="14"/>
          <w:szCs w:val="14"/>
          <w:color w:val="auto"/>
        </w:rPr>
        <w:t>Jiangsu Jucheng Space Technology Co., Ltd.   Lender: Suqian Jingdong Baoying Information Technology Co., Ltd.</w:t>
      </w:r>
    </w:p>
    <w:p>
      <w:pPr>
        <w:spacing w:after="0" w:line="7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Qin Miao, Tingting Sui and Pang</w:t>
      </w:r>
    </w:p>
    <w:p>
      <w:pPr>
        <w:ind w:left="2700"/>
        <w:spacing w:after="0"/>
        <w:rPr>
          <w:sz w:val="20"/>
          <w:szCs w:val="20"/>
          <w:color w:val="auto"/>
        </w:rPr>
      </w:pPr>
      <w:r>
        <w:rPr>
          <w:rFonts w:ascii="Times New Roman" w:cs="Times New Roman" w:eastAsia="Times New Roman" w:hAnsi="Times New Roman"/>
          <w:sz w:val="14"/>
          <w:szCs w:val="14"/>
          <w:color w:val="auto"/>
        </w:rPr>
        <w:t>Zhang</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Times New Roman" w:cs="Times New Roman" w:eastAsia="Times New Roman" w:hAnsi="Times New Roman"/>
          <w:sz w:val="14"/>
          <w:szCs w:val="14"/>
          <w:color w:val="auto"/>
        </w:rPr>
        <w:t>Amount: an aggregate of RMB10,000,000.00 lent to Qian Yang.</w:t>
      </w:r>
    </w:p>
    <w:p>
      <w:pPr>
        <w:spacing w:after="0" w:line="3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Amount: an aggregate RMB 5,500,000 lent to the Borrowers, of which RMB3,000,000 will be provided to Yayun Li and RMB2,500,000 will be provided to Pang Zhang.</w:t>
      </w:r>
    </w:p>
    <w:p>
      <w:pPr>
        <w:spacing w:after="0" w:line="6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3"/>
          <w:szCs w:val="13"/>
          <w:color w:val="auto"/>
        </w:rPr>
        <w:t>Amount: an aggregate amount of RMB10,010,000, of which RMB10,000,000 will be provided Suzhou Guanyinghou Media Technology Co., Ltd. and RMB10,000 will be provided to Xinshi Wang</w:t>
      </w:r>
    </w:p>
    <w:p>
      <w:pPr>
        <w:spacing w:after="0" w:line="6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auto"/>
        </w:rPr>
        <w:t>Amount: an aggregate RMB 1,000,000 lent to the Borrowers, of which RMB450,000 will be provided to Tingting Sui, RMB300,000 will be provided to Saili Tan and RMB250,000 will be provided to Pang Zhang.</w:t>
      </w:r>
    </w:p>
    <w:p>
      <w:pPr>
        <w:spacing w:after="0" w:line="69"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4"/>
          <w:szCs w:val="14"/>
          <w:color w:val="auto"/>
        </w:rPr>
        <w:t>Amount: an aggregate of RMB10,000,000 lent to the Borrowers, of which RMB4,500,000 will be provided to Qin Miao, RMB3,000,000 will be provided to Tingting Sui and RMB2,500,000 will be provided to Pang Zhang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December 11, 2017</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16, 2022</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18, 2019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February 4, 2026 (for Saili Tan) and January 1, 2023 (for the other two borrowers)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26,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December 11, 2017</w:t>
      </w:r>
    </w:p>
    <w:p>
      <w:pPr>
        <w:spacing w:after="0" w:line="200" w:lineRule="exact"/>
        <w:rPr>
          <w:sz w:val="20"/>
          <w:szCs w:val="20"/>
          <w:color w:val="auto"/>
        </w:rPr>
      </w:pPr>
    </w:p>
    <w:p>
      <w:pPr>
        <w:spacing w:after="0" w:line="31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September 16, 2022</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18, 2019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February 4, 2026 (for Saili Tan) and January 1, 2023 (for the other two borrowers)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26, 2026</w:t>
      </w:r>
    </w:p>
    <w:p>
      <w:pPr>
        <w:spacing w:after="0" w:line="817" w:lineRule="exact"/>
        <w:rPr>
          <w:sz w:val="20"/>
          <w:szCs w:val="20"/>
          <w:color w:val="auto"/>
        </w:rPr>
      </w:pPr>
    </w:p>
    <w:p>
      <w:pPr>
        <w:sectPr>
          <w:pgSz w:w="11900" w:h="16838" w:orient="portrait"/>
          <w:cols w:equalWidth="0" w:num="4">
            <w:col w:w="5280" w:space="140"/>
            <w:col w:w="2580" w:space="100"/>
            <w:col w:w="1260" w:space="140"/>
            <w:col w:w="1260"/>
          </w:cols>
          <w:pgMar w:left="560" w:top="264" w:right="579" w:bottom="1440" w:gutter="0" w:footer="0" w:header="0"/>
          <w:type w:val="continuous"/>
        </w:sect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Suqian Hanyu Technology Co., Ltd.</w:t>
      </w:r>
      <w:r>
        <w:rPr>
          <w:sz w:val="20"/>
          <w:szCs w:val="20"/>
          <w:color w:val="auto"/>
        </w:rPr>
        <w:tab/>
      </w:r>
      <w:r>
        <w:rPr>
          <w:rFonts w:ascii="Times New Roman" w:cs="Times New Roman" w:eastAsia="Times New Roman" w:hAnsi="Times New Roman"/>
          <w:sz w:val="14"/>
          <w:szCs w:val="14"/>
          <w:color w:val="auto"/>
        </w:rPr>
        <w:t>Lender: Jiangsu Huiji Space Technology Co.,</w:t>
      </w:r>
    </w:p>
    <w:p>
      <w:pPr>
        <w:ind w:left="2700"/>
        <w:spacing w:after="0"/>
        <w:rPr>
          <w:sz w:val="20"/>
          <w:szCs w:val="20"/>
          <w:color w:val="auto"/>
        </w:rPr>
      </w:pPr>
      <w:r>
        <w:rPr>
          <w:rFonts w:ascii="Times New Roman" w:cs="Times New Roman" w:eastAsia="Times New Roman" w:hAnsi="Times New Roman"/>
          <w:sz w:val="14"/>
          <w:szCs w:val="14"/>
          <w:color w:val="auto"/>
        </w:rPr>
        <w:t>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Qin Miao, Tingting Sui and Pang</w:t>
      </w:r>
    </w:p>
    <w:p>
      <w:pPr>
        <w:ind w:left="2700"/>
        <w:spacing w:after="0"/>
        <w:rPr>
          <w:sz w:val="20"/>
          <w:szCs w:val="20"/>
          <w:color w:val="auto"/>
        </w:rPr>
      </w:pPr>
      <w:r>
        <w:rPr>
          <w:rFonts w:ascii="Times New Roman" w:cs="Times New Roman" w:eastAsia="Times New Roman" w:hAnsi="Times New Roman"/>
          <w:sz w:val="14"/>
          <w:szCs w:val="14"/>
          <w:color w:val="auto"/>
        </w:rPr>
        <w:t>Zhang</w:t>
      </w:r>
    </w:p>
    <w:p>
      <w:pPr>
        <w:spacing w:after="0" w:line="101"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Beijing M&amp;W Intelligent Mobility</w:t>
      </w:r>
      <w:r>
        <w:rPr>
          <w:sz w:val="20"/>
          <w:szCs w:val="20"/>
          <w:color w:val="auto"/>
        </w:rPr>
        <w:tab/>
      </w:r>
      <w:r>
        <w:rPr>
          <w:rFonts w:ascii="Times New Roman" w:cs="Times New Roman" w:eastAsia="Times New Roman" w:hAnsi="Times New Roman"/>
          <w:sz w:val="14"/>
          <w:szCs w:val="14"/>
          <w:color w:val="auto"/>
        </w:rPr>
        <w:t>Lender: Beijing FarHorizon Excellence</w:t>
      </w:r>
    </w:p>
    <w:p>
      <w:pPr>
        <w:spacing w:after="0"/>
        <w:tabs>
          <w:tab w:leader="none" w:pos="2680" w:val="left"/>
        </w:tabs>
        <w:rPr>
          <w:sz w:val="20"/>
          <w:szCs w:val="20"/>
          <w:color w:val="auto"/>
        </w:rPr>
      </w:pPr>
      <w:r>
        <w:rPr>
          <w:rFonts w:ascii="Times New Roman" w:cs="Times New Roman" w:eastAsia="Times New Roman" w:hAnsi="Times New Roman"/>
          <w:sz w:val="14"/>
          <w:szCs w:val="14"/>
          <w:color w:val="auto"/>
        </w:rPr>
        <w:t>Technology Co., Ltd.</w:t>
      </w:r>
      <w:r>
        <w:rPr>
          <w:sz w:val="20"/>
          <w:szCs w:val="20"/>
          <w:color w:val="auto"/>
        </w:rPr>
        <w:tab/>
      </w:r>
      <w:r>
        <w:rPr>
          <w:rFonts w:ascii="Times New Roman" w:cs="Times New Roman" w:eastAsia="Times New Roman" w:hAnsi="Times New Roman"/>
          <w:sz w:val="14"/>
          <w:szCs w:val="14"/>
          <w:color w:val="auto"/>
        </w:rPr>
        <w:t>Living Co., Ltd.</w:t>
      </w:r>
    </w:p>
    <w:p>
      <w:pPr>
        <w:spacing w:after="0" w:line="8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Borrowers: Junchao Shao and Shengxue Jiao</w:t>
      </w:r>
    </w:p>
    <w:p>
      <w:pPr>
        <w:spacing w:after="0" w:line="20" w:lineRule="exact"/>
        <w:rPr>
          <w:sz w:val="20"/>
          <w:szCs w:val="20"/>
          <w:color w:val="auto"/>
        </w:rPr>
      </w:pPr>
      <w:r>
        <w:rPr>
          <w:sz w:val="20"/>
          <w:szCs w:val="20"/>
          <w:color w:val="auto"/>
        </w:rPr>
        <w:br w:type="column"/>
      </w:r>
    </w:p>
    <w:p>
      <w:pPr>
        <w:spacing w:after="0"/>
        <w:tabs>
          <w:tab w:leader="none" w:pos="2660" w:val="left"/>
        </w:tabs>
        <w:rPr>
          <w:sz w:val="20"/>
          <w:szCs w:val="20"/>
          <w:color w:val="auto"/>
        </w:rPr>
      </w:pPr>
      <w:r>
        <w:rPr>
          <w:rFonts w:ascii="Times New Roman" w:cs="Times New Roman" w:eastAsia="Times New Roman" w:hAnsi="Times New Roman"/>
          <w:sz w:val="14"/>
          <w:szCs w:val="14"/>
          <w:color w:val="auto"/>
        </w:rPr>
        <w:t>Amount: an aggregate of RMB1,000,000 lent</w:t>
        <w:tab/>
        <w:t>March 20, 2026</w:t>
      </w:r>
    </w:p>
    <w:p>
      <w:pPr>
        <w:spacing w:after="0" w:line="217" w:lineRule="auto"/>
        <w:rPr>
          <w:sz w:val="20"/>
          <w:szCs w:val="20"/>
          <w:color w:val="auto"/>
        </w:rPr>
      </w:pPr>
      <w:r>
        <w:rPr>
          <w:rFonts w:ascii="Times New Roman" w:cs="Times New Roman" w:eastAsia="Times New Roman" w:hAnsi="Times New Roman"/>
          <w:sz w:val="14"/>
          <w:szCs w:val="14"/>
          <w:color w:val="auto"/>
        </w:rPr>
        <w:t>to the Borrowers, of which RBM450,000 will</w:t>
      </w:r>
    </w:p>
    <w:p>
      <w:pPr>
        <w:spacing w:after="0" w:line="217" w:lineRule="auto"/>
        <w:rPr>
          <w:sz w:val="20"/>
          <w:szCs w:val="20"/>
          <w:color w:val="auto"/>
        </w:rPr>
      </w:pPr>
      <w:r>
        <w:rPr>
          <w:rFonts w:ascii="Times New Roman" w:cs="Times New Roman" w:eastAsia="Times New Roman" w:hAnsi="Times New Roman"/>
          <w:sz w:val="14"/>
          <w:szCs w:val="14"/>
          <w:color w:val="auto"/>
        </w:rPr>
        <w:t>be provided to Qin Miao, RMB300,000 will</w:t>
      </w:r>
    </w:p>
    <w:p>
      <w:pPr>
        <w:spacing w:after="0" w:line="216" w:lineRule="auto"/>
        <w:rPr>
          <w:sz w:val="20"/>
          <w:szCs w:val="20"/>
          <w:color w:val="auto"/>
        </w:rPr>
      </w:pPr>
      <w:r>
        <w:rPr>
          <w:rFonts w:ascii="Times New Roman" w:cs="Times New Roman" w:eastAsia="Times New Roman" w:hAnsi="Times New Roman"/>
          <w:sz w:val="14"/>
          <w:szCs w:val="14"/>
          <w:color w:val="auto"/>
        </w:rPr>
        <w:t>be provided to Tingting Sui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RMB250,000 will be provided to Pang Zhang</w:t>
      </w:r>
    </w:p>
    <w:p>
      <w:pPr>
        <w:spacing w:after="0" w:line="74"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4"/>
          <w:szCs w:val="14"/>
          <w:color w:val="auto"/>
        </w:rPr>
        <w:t>Amount: an aggregate of RMB100,000 lent July 9, 2025 to the Borrowers, of which RMB50,000 will be provided to Junchao Shao and RMB50,000 will be provided to Shengxue Jiao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March 20, 2026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July 9, 2025</w:t>
      </w:r>
    </w:p>
    <w:p>
      <w:pPr>
        <w:spacing w:after="0" w:line="682" w:lineRule="exact"/>
        <w:rPr>
          <w:sz w:val="20"/>
          <w:szCs w:val="20"/>
          <w:color w:val="auto"/>
        </w:rPr>
      </w:pPr>
    </w:p>
    <w:p>
      <w:pPr>
        <w:sectPr>
          <w:pgSz w:w="11900" w:h="16838" w:orient="portrait"/>
          <w:cols w:equalWidth="0" w:num="3">
            <w:col w:w="5260" w:space="160"/>
            <w:col w:w="3580" w:space="500"/>
            <w:col w:w="1260"/>
          </w:cols>
          <w:pgMar w:left="560" w:top="264" w:right="579" w:bottom="1440" w:gutter="0" w:footer="0" w:header="0"/>
          <w:type w:val="continuous"/>
        </w:sectPr>
      </w:pP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560" w:top="264" w:right="579" w:bottom="1440" w:gutter="0" w:footer="0" w:header="0"/>
          <w:type w:val="continuous"/>
        </w:sectPr>
      </w:pPr>
    </w:p>
    <w:bookmarkStart w:id="523" w:name="page524"/>
    <w:bookmarkEnd w:id="523"/>
    <w:p>
      <w:pPr>
        <w:ind w:left="9860"/>
        <w:spacing w:after="0"/>
        <w:rPr>
          <w:sz w:val="20"/>
          <w:szCs w:val="20"/>
          <w:color w:val="auto"/>
        </w:rPr>
      </w:pPr>
      <w:r>
        <w:rPr>
          <w:rFonts w:ascii="Times New Roman" w:cs="Times New Roman" w:eastAsia="Times New Roman" w:hAnsi="Times New Roman"/>
          <w:sz w:val="17"/>
          <w:szCs w:val="17"/>
          <w:b w:val="1"/>
          <w:bCs w:val="1"/>
          <w:color w:val="auto"/>
        </w:rPr>
        <w:t>Exhibit 4.37</w:t>
      </w:r>
    </w:p>
    <w:p>
      <w:pPr>
        <w:spacing w:after="0" w:line="228"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color w:val="auto"/>
        </w:rPr>
        <w:t>THE SYMBOL “[***]” OR “[REDACTED]” DENOTES PLACES WHERE CERTAIN IDENTIFIED INFORMATION HAS BEEN EXCLUDED FROM THE EXHIBIT BECAUSE IT IS BOTH (i) NOT MATERIAL, AND (ii) IS THE TYPE THAT THE REGISTRANT TREATS AS PRIVATE OR CONFIDENTIAL.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AGREEMENT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July 2025 (Germany time)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JINGDONG HOLDING GERMANY GMBH</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Guarantor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CHARTERED BANK (HONG KONG) LIMITED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NATIONAL ASSOCIATION, HONG KONG BRANCH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Mandated Lead Arrangers, Bookrunners and Underwriters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 LISTED HEREIN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Original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2016760</wp:posOffset>
            </wp:positionH>
            <wp:positionV relativeFrom="paragraph">
              <wp:posOffset>154305</wp:posOffset>
            </wp:positionV>
            <wp:extent cx="2811780" cy="7219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4">
                      <a:extLst>
                        <a:ext uri="{28A0092B-C50C-407E-A947-70E740481C1C}"/>
                      </a:extLst>
                    </a:blip>
                    <a:srcRect/>
                    <a:stretch>
                      <a:fillRect/>
                    </a:stretch>
                  </pic:blipFill>
                  <pic:spPr bwMode="auto">
                    <a:xfrm>
                      <a:off x="0" y="0"/>
                      <a:ext cx="2811780" cy="721995"/>
                    </a:xfrm>
                    <a:prstGeom prst="rect">
                      <a:avLst/>
                    </a:prstGeom>
                    <a:noFill/>
                  </pic:spPr>
                </pic:pic>
              </a:graphicData>
            </a:graphic>
          </wp:anchor>
        </w:drawing>
      </w:r>
    </w:p>
    <w:p>
      <w:pPr>
        <w:sectPr>
          <w:pgSz w:w="11900" w:h="16838" w:orient="portrait"/>
          <w:cols w:equalWidth="0" w:num="1">
            <w:col w:w="10780"/>
          </w:cols>
          <w:pgMar w:left="560" w:top="118" w:right="559" w:bottom="1440" w:gutter="0" w:footer="0" w:header="0"/>
        </w:sectPr>
      </w:pPr>
    </w:p>
    <w:bookmarkStart w:id="524" w:name="page525"/>
    <w:bookmarkEnd w:id="524"/>
    <w:tbl>
      <w:tblPr>
        <w:tblLayout w:type="fixed"/>
        <w:tblInd w:w="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480" w:type="dxa"/>
            <w:vAlign w:val="bottom"/>
          </w:tcPr>
          <w:p>
            <w:pPr>
              <w:jc w:val="right"/>
              <w:ind w:right="4772"/>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366"/>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37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Facility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Utilisation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Periods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and Indemnity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Undertakings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Lenders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Obligors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Role of the administrative parties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Mechanics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Set-Off</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Partial Invalidity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and Waivers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on Debt Purchase Transactions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Bail-in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HK Stay Rules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Banking (Exposure Limits) Rules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jc w:val="right"/>
        <w:spacing w:after="0"/>
        <w:rPr>
          <w:sz w:val="20"/>
          <w:szCs w:val="20"/>
          <w:color w:val="auto"/>
        </w:rPr>
        <w:sectPr>
          <w:pgSz w:w="11900" w:h="16838" w:orient="portrait"/>
          <w:cols w:equalWidth="0" w:num="1">
            <w:col w:w="10720"/>
          </w:cols>
          <w:pgMar w:left="560" w:top="264"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5">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bookmarkStart w:id="525" w:name="page526"/>
    <w:bookmarkEnd w:id="525"/>
    <w:tbl>
      <w:tblPr>
        <w:tblLayout w:type="fixed"/>
        <w:tblInd w:w="0" w:type="dxa"/>
        <w:tblCellMar>
          <w:top w:w="0" w:type="dxa"/>
          <w:left w:w="0" w:type="dxa"/>
          <w:bottom w:w="0" w:type="dxa"/>
          <w:right w:w="0" w:type="dxa"/>
        </w:tblCellMar>
      </w:tblPr>
      <w:tr>
        <w:trPr>
          <w:trHeight w:val="161"/>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4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Original Lenders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Requests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2"/>
        </w:trPr>
        <w:tc>
          <w:tcPr>
            <w:tcW w:w="3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 1 Form of Utilisation Request</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2"/>
        </w:trPr>
        <w:tc>
          <w:tcPr>
            <w:tcW w:w="3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 2 Form of Selection Notice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Transfer Certificate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Timetables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Increase Confirmation</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Banking (Exposure Limits) Rules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423"/>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Signatories</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jc w:val="right"/>
        <w:spacing w:after="0"/>
        <w:rPr>
          <w:sz w:val="20"/>
          <w:szCs w:val="20"/>
          <w:color w:val="auto"/>
        </w:rPr>
        <w:sectPr>
          <w:pgSz w:w="11900" w:h="16838" w:orient="portrait"/>
          <w:cols w:equalWidth="0" w:num="1">
            <w:col w:w="10720"/>
          </w:cols>
          <w:pgMar w:left="560" w:top="250"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6">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bookmarkStart w:id="526" w:name="page527"/>
    <w:bookmarkEnd w:id="526"/>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made on 30 July 2025 (Germany time) and made</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BETWEEN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30" w:hanging="430"/>
        <w:spacing w:after="0" w:line="259" w:lineRule="auto"/>
        <w:tabs>
          <w:tab w:leader="none" w:pos="43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JINGDONG HOLDING GERMANY GMBH</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organised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Düsseldorf under registration number HRB 107672 as borrower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30" w:hanging="430"/>
        <w:spacing w:after="0" w:line="259" w:lineRule="auto"/>
        <w:tabs>
          <w:tab w:leader="none" w:pos="43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JD.COM, INC.</w:t>
      </w:r>
      <w:r>
        <w:rPr>
          <w:rFonts w:ascii="Times New Roman" w:cs="Times New Roman" w:eastAsia="Times New Roman" w:hAnsi="Times New Roman"/>
          <w:sz w:val="18"/>
          <w:szCs w:val="18"/>
          <w:color w:val="auto"/>
        </w:rPr>
        <w:t>, an exempted company registered by way of continuation into the Cayman Islands with limited liability and registration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284373 whose registered office is at Maples Corporate Services Limited, P.O. Box 309, Ugland House, South Church Street, George Town, Grand Cayman, KY1-1104, Cayman Islands as guarantor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430" w:right="220" w:hanging="430"/>
        <w:spacing w:after="0" w:line="259" w:lineRule="auto"/>
        <w:tabs>
          <w:tab w:leader="none" w:pos="43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HONGKONG AND SHANGHAI BANKING CORPORATION LIMITED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STANDARD CHARTERED BANK (HONG KONG) LIMITED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BANK OF AMERICA, NATIONAL ASSOCIATION, HONG KONG BRANCH</w:t>
      </w:r>
      <w:r>
        <w:rPr>
          <w:rFonts w:ascii="Times New Roman" w:cs="Times New Roman" w:eastAsia="Times New Roman" w:hAnsi="Times New Roman"/>
          <w:sz w:val="18"/>
          <w:szCs w:val="18"/>
          <w:color w:val="auto"/>
        </w:rPr>
        <w:t>, as mandated lead arrangers, bookrunners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underwriters (the </w:t>
      </w:r>
      <w:r>
        <w:rPr>
          <w:rFonts w:ascii="Times New Roman" w:cs="Times New Roman" w:eastAsia="Times New Roman" w:hAnsi="Times New Roman"/>
          <w:sz w:val="18"/>
          <w:szCs w:val="18"/>
          <w:b w:val="1"/>
          <w:bCs w:val="1"/>
          <w:color w:val="auto"/>
        </w:rPr>
        <w:t>MLABUs</w:t>
      </w:r>
      <w:r>
        <w:rPr>
          <w:rFonts w:ascii="Times New Roman" w:cs="Times New Roman" w:eastAsia="Times New Roman" w:hAnsi="Times New Roman"/>
          <w:sz w:val="18"/>
          <w:szCs w:val="18"/>
          <w:color w:val="auto"/>
        </w:rPr>
        <w:t xml:space="preserve"> and each an </w:t>
      </w:r>
      <w:r>
        <w:rPr>
          <w:rFonts w:ascii="Times New Roman" w:cs="Times New Roman" w:eastAsia="Times New Roman" w:hAnsi="Times New Roman"/>
          <w:sz w:val="18"/>
          <w:szCs w:val="18"/>
          <w:b w:val="1"/>
          <w:bCs w:val="1"/>
          <w:color w:val="auto"/>
        </w:rPr>
        <w:t>MLABU</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30" w:right="520" w:hanging="430"/>
        <w:spacing w:after="0" w:line="273" w:lineRule="auto"/>
        <w:tabs>
          <w:tab w:leader="none" w:pos="43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listed in Schedule 1 (The Original Lenders) as lenders (the</w:t>
      </w:r>
      <w:r>
        <w:rPr>
          <w:rFonts w:ascii="Times New Roman" w:cs="Times New Roman" w:eastAsia="Times New Roman" w:hAnsi="Times New Roman"/>
          <w:sz w:val="18"/>
          <w:szCs w:val="18"/>
          <w:b w:val="1"/>
          <w:bCs w:val="1"/>
          <w:color w:val="auto"/>
        </w:rPr>
        <w:t xml:space="preserve"> Original Lenders </w:t>
      </w:r>
      <w:r>
        <w:rPr>
          <w:rFonts w:ascii="Times New Roman" w:cs="Times New Roman" w:eastAsia="Times New Roman" w:hAnsi="Times New Roman"/>
          <w:sz w:val="18"/>
          <w:szCs w:val="18"/>
          <w:color w:val="auto"/>
        </w:rPr>
        <w:t>and each an</w:t>
      </w:r>
      <w:r>
        <w:rPr>
          <w:rFonts w:ascii="Times New Roman" w:cs="Times New Roman" w:eastAsia="Times New Roman" w:hAnsi="Times New Roman"/>
          <w:sz w:val="18"/>
          <w:szCs w:val="18"/>
          <w:b w:val="1"/>
          <w:bCs w:val="1"/>
          <w:color w:val="auto"/>
        </w:rPr>
        <w:t xml:space="preserve"> Original Lender</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30" w:right="500" w:hanging="430"/>
        <w:spacing w:after="0" w:line="273" w:lineRule="auto"/>
        <w:tabs>
          <w:tab w:leader="none" w:pos="43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HONGKONG AND SHANGHAI BANKING CORPORATION LIMITED</w:t>
      </w:r>
      <w:r>
        <w:rPr>
          <w:rFonts w:ascii="Times New Roman" w:cs="Times New Roman" w:eastAsia="Times New Roman" w:hAnsi="Times New Roman"/>
          <w:sz w:val="18"/>
          <w:szCs w:val="18"/>
          <w:color w:val="auto"/>
        </w:rPr>
        <w:t>, as agent of the Finance Parties (other than itself) (the</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124" w:lineRule="exact"/>
        <w:rPr>
          <w:sz w:val="20"/>
          <w:szCs w:val="20"/>
          <w:color w:val="auto"/>
        </w:rPr>
      </w:pPr>
    </w:p>
    <w:p>
      <w:pPr>
        <w:ind w:left="10" w:right="7120" w:hanging="10"/>
        <w:spacing w:after="0" w:line="376" w:lineRule="auto"/>
        <w:tabs>
          <w:tab w:leader="none" w:pos="433"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08" w:lineRule="exact"/>
        <w:rPr>
          <w:sz w:val="20"/>
          <w:szCs w:val="20"/>
          <w:color w:val="auto"/>
        </w:rPr>
      </w:pPr>
    </w:p>
    <w:p>
      <w:pPr>
        <w:ind w:left="430" w:right="1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means acquisition of up to one hundred per cent. (100%) of the issued share capital of the Target, which is divided into 485,221,084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no-par value registered shares, pursuant to:</w:t>
      </w:r>
    </w:p>
    <w:p>
      <w:pPr>
        <w:spacing w:after="0" w:line="73" w:lineRule="exact"/>
        <w:rPr>
          <w:sz w:val="20"/>
          <w:szCs w:val="20"/>
          <w:color w:val="auto"/>
        </w:rPr>
      </w:pPr>
    </w:p>
    <w:p>
      <w:pPr>
        <w:ind w:left="1050" w:hanging="626"/>
        <w:spacing w:after="0"/>
        <w:tabs>
          <w:tab w:leader="none" w:pos="10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w:t>
      </w:r>
    </w:p>
    <w:p>
      <w:pPr>
        <w:spacing w:after="0" w:line="121" w:lineRule="exact"/>
        <w:rPr>
          <w:rFonts w:ascii="Times New Roman" w:cs="Times New Roman" w:eastAsia="Times New Roman" w:hAnsi="Times New Roman"/>
          <w:sz w:val="18"/>
          <w:szCs w:val="18"/>
          <w:color w:val="auto"/>
        </w:rPr>
      </w:pPr>
    </w:p>
    <w:p>
      <w:pPr>
        <w:ind w:left="1050" w:hanging="626"/>
        <w:spacing w:after="0" w:line="273" w:lineRule="auto"/>
        <w:tabs>
          <w:tab w:leader="none" w:pos="10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Target shares from any shareholder(s) of the Target pursuant to section 39c (</w:t>
      </w:r>
      <w:r>
        <w:rPr>
          <w:rFonts w:ascii="Times New Roman" w:cs="Times New Roman" w:eastAsia="Times New Roman" w:hAnsi="Times New Roman"/>
          <w:sz w:val="18"/>
          <w:szCs w:val="18"/>
          <w:i w:val="1"/>
          <w:iCs w:val="1"/>
          <w:color w:val="auto"/>
        </w:rPr>
        <w:t>Andienungsrecht</w:t>
      </w:r>
      <w:r>
        <w:rPr>
          <w:rFonts w:ascii="Times New Roman" w:cs="Times New Roman" w:eastAsia="Times New Roman" w:hAnsi="Times New Roman"/>
          <w:sz w:val="18"/>
          <w:szCs w:val="18"/>
          <w:color w:val="auto"/>
        </w:rPr>
        <w:t>) of the German Takeover Code; and</w:t>
      </w:r>
    </w:p>
    <w:p>
      <w:pPr>
        <w:spacing w:after="0" w:line="73"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acquisition agreement (including over the stock exchange, in the open market or via any other trading platform) entered into by the Borrower in connection with the Offer.</w:t>
      </w:r>
    </w:p>
    <w:p>
      <w:pPr>
        <w:spacing w:after="0" w:line="6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Acquisition Approvals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80" w:hanging="626"/>
        <w:spacing w:after="0" w:line="258" w:lineRule="auto"/>
        <w:tabs>
          <w:tab w:leader="none" w:pos="105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control clearances by the respective competent authorities in Austria, Germany, The Netherlands, Poland, Spain and Turkey. If referred to the EU Commission, which is unlikely, the EU Commission by decide on the merger control clearance instead of the national authorities in Austria, Germany, The Netherlands, Poland, and Spain;</w:t>
      </w:r>
    </w:p>
    <w:p>
      <w:pPr>
        <w:spacing w:after="0" w:line="85" w:lineRule="exact"/>
        <w:rPr>
          <w:rFonts w:ascii="Times New Roman" w:cs="Times New Roman" w:eastAsia="Times New Roman" w:hAnsi="Times New Roman"/>
          <w:sz w:val="18"/>
          <w:szCs w:val="18"/>
          <w:color w:val="auto"/>
        </w:rPr>
      </w:pPr>
    </w:p>
    <w:p>
      <w:pPr>
        <w:ind w:left="1050" w:right="440" w:hanging="626"/>
        <w:spacing w:after="0" w:line="270" w:lineRule="auto"/>
        <w:tabs>
          <w:tab w:leader="none" w:pos="105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direct investment clearances by the competent authorities in Germany, Austria and (if applicable) France, Italy, Poland, and Spain; and</w:t>
      </w:r>
    </w:p>
    <w:p>
      <w:pPr>
        <w:spacing w:after="0" w:line="76" w:lineRule="exact"/>
        <w:rPr>
          <w:rFonts w:ascii="Times New Roman" w:cs="Times New Roman" w:eastAsia="Times New Roman" w:hAnsi="Times New Roman"/>
          <w:sz w:val="18"/>
          <w:szCs w:val="18"/>
          <w:color w:val="auto"/>
        </w:rPr>
      </w:pPr>
    </w:p>
    <w:p>
      <w:pPr>
        <w:ind w:left="1050" w:right="220" w:hanging="626"/>
        <w:spacing w:after="0" w:line="270" w:lineRule="auto"/>
        <w:tabs>
          <w:tab w:leader="none" w:pos="105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European Commission according to Regulation (EU) 2022/2560 on foreign subsidies distorting the internal market (FSR).</w:t>
      </w:r>
    </w:p>
    <w:p>
      <w:pPr>
        <w:spacing w:after="0" w:line="61" w:lineRule="exact"/>
        <w:rPr>
          <w:sz w:val="20"/>
          <w:szCs w:val="20"/>
          <w:color w:val="auto"/>
        </w:rPr>
      </w:pPr>
    </w:p>
    <w:p>
      <w:pPr>
        <w:ind w:left="430" w:right="5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Acquisition Costs </w:t>
      </w:r>
      <w:r>
        <w:rPr>
          <w:rFonts w:ascii="Times New Roman" w:cs="Times New Roman" w:eastAsia="Times New Roman" w:hAnsi="Times New Roman"/>
          <w:sz w:val="18"/>
          <w:szCs w:val="18"/>
          <w:color w:val="auto"/>
        </w:rPr>
        <w:t>means all fees, costs and expenses, stamp, registration and other Taxes incurred by the Borrower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or the Transaction Documents, as set out in the Acquisition Funds Flow Statement.</w:t>
      </w:r>
    </w:p>
    <w:p>
      <w:pPr>
        <w:spacing w:after="0" w:line="5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Acquisition DD Reports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Due Diligence / Operational Due Diligence Report prepared by EY-Parthenon GmbH Wirtschaftsprüfungsgesellschaft;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Due Diligence Report prepared by EY-Parthenon GmbH Wirtschaftsprüfungsgesellschaft;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Due Diligence Report prepared by EY-Parthenon GmbH Wirtschaftsprüfungsgesellschaft; and</w:t>
      </w:r>
    </w:p>
    <w:p>
      <w:pPr>
        <w:spacing w:after="0" w:line="123" w:lineRule="exact"/>
        <w:rPr>
          <w:rFonts w:ascii="Times New Roman" w:cs="Times New Roman" w:eastAsia="Times New Roman" w:hAnsi="Times New Roman"/>
          <w:sz w:val="18"/>
          <w:szCs w:val="18"/>
          <w:color w:val="auto"/>
        </w:rPr>
      </w:pPr>
    </w:p>
    <w:p>
      <w:pPr>
        <w:ind w:left="430" w:right="400" w:hanging="6"/>
        <w:spacing w:after="0" w:line="390" w:lineRule="auto"/>
        <w:tabs>
          <w:tab w:leader="none" w:pos="105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Due Diligence Report prepared by Baker McKenzie Rechtsanwaltsgesellschaft mbH von Rechtsanwälten und Steuerberatern, each relating to the Acquisition.</w:t>
      </w:r>
    </w:p>
    <w:p>
      <w:pPr>
        <w:spacing w:after="0" w:line="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50"/>
          </w:cols>
          <w:pgMar w:left="550" w:top="264" w:right="599" w:bottom="1440" w:gutter="0" w:footer="0" w:header="0"/>
        </w:sectPr>
      </w:pPr>
    </w:p>
    <w:bookmarkStart w:id="527" w:name="page528"/>
    <w:bookmarkEnd w:id="527"/>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Acquisition Documents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Announcement;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Document;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ancillary to or entered into in connection with the Offer Announcement or the Offer Document; and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document or agreement designated as an “Acquisition Document” by the Borrower and the Agent.</w:t>
      </w:r>
    </w:p>
    <w:p>
      <w:pPr>
        <w:spacing w:after="0" w:line="108" w:lineRule="exact"/>
        <w:rPr>
          <w:sz w:val="20"/>
          <w:szCs w:val="20"/>
          <w:color w:val="auto"/>
        </w:rPr>
      </w:pPr>
    </w:p>
    <w:p>
      <w:pPr>
        <w:ind w:left="6" w:right="5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Acquisition Equity Funds </w:t>
      </w:r>
      <w:r>
        <w:rPr>
          <w:rFonts w:ascii="Times New Roman" w:cs="Times New Roman" w:eastAsia="Times New Roman" w:hAnsi="Times New Roman"/>
          <w:sz w:val="18"/>
          <w:szCs w:val="18"/>
          <w:color w:val="auto"/>
        </w:rPr>
        <w:t>means the funds (if any) to be contributed by the Borrower (excluding the Facility) towards the Acquisition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Acquisition Costs.</w:t>
      </w:r>
    </w:p>
    <w:p>
      <w:pPr>
        <w:spacing w:after="0" w:line="58" w:lineRule="exact"/>
        <w:rPr>
          <w:sz w:val="20"/>
          <w:szCs w:val="20"/>
          <w:color w:val="auto"/>
        </w:rPr>
      </w:pPr>
    </w:p>
    <w:p>
      <w:pPr>
        <w:ind w:left="6" w:right="2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Acquisition Equity Funds Availability Evidence </w:t>
      </w:r>
      <w:r>
        <w:rPr>
          <w:rFonts w:ascii="Times New Roman" w:cs="Times New Roman" w:eastAsia="Times New Roman" w:hAnsi="Times New Roman"/>
          <w:sz w:val="18"/>
          <w:szCs w:val="18"/>
          <w:color w:val="auto"/>
        </w:rPr>
        <w:t>means, if applicable, evidence in form and substance satisfactory to the Agent (acting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of the Majority Lenders (acting reasonably)) that the Borrower has received the Acquisition Equity Funds.</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Acquisition Funds Flow Statement </w:t>
      </w:r>
      <w:r>
        <w:rPr>
          <w:rFonts w:ascii="Times New Roman" w:cs="Times New Roman" w:eastAsia="Times New Roman" w:hAnsi="Times New Roman"/>
          <w:sz w:val="18"/>
          <w:szCs w:val="18"/>
          <w:color w:val="auto"/>
        </w:rPr>
        <w:t>means the funds flow statement with respect to the Acquisition and the Acquisition Costs.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Adjusted Consolidated EBITDA </w:t>
      </w:r>
      <w:r>
        <w:rPr>
          <w:rFonts w:ascii="Times New Roman" w:cs="Times New Roman" w:eastAsia="Times New Roman" w:hAnsi="Times New Roman"/>
          <w:sz w:val="18"/>
          <w:szCs w:val="18"/>
          <w:color w:val="auto"/>
        </w:rPr>
        <w:t>has the meaning given to it in Clause 20.1 (Financial definitions).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Administrative Parties </w:t>
      </w:r>
      <w:r>
        <w:rPr>
          <w:rFonts w:ascii="Times New Roman" w:cs="Times New Roman" w:eastAsia="Times New Roman" w:hAnsi="Times New Roman"/>
          <w:sz w:val="18"/>
          <w:szCs w:val="18"/>
          <w:color w:val="auto"/>
        </w:rPr>
        <w:t>means each of the Agent, the MLABUs and the Arrangers (each an</w:t>
      </w:r>
      <w:r>
        <w:rPr>
          <w:rFonts w:ascii="Times New Roman" w:cs="Times New Roman" w:eastAsia="Times New Roman" w:hAnsi="Times New Roman"/>
          <w:sz w:val="18"/>
          <w:szCs w:val="18"/>
          <w:b w:val="1"/>
          <w:bCs w:val="1"/>
          <w:color w:val="auto"/>
        </w:rPr>
        <w:t xml:space="preserve"> Administrative Party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right="6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relation to any person, a Subsidiary of that person or a Holding Company of that person or any other Subsidiary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Company of that person.</w:t>
      </w:r>
    </w:p>
    <w:p>
      <w:pPr>
        <w:spacing w:after="0" w:line="58" w:lineRule="exact"/>
        <w:rPr>
          <w:sz w:val="20"/>
          <w:szCs w:val="20"/>
          <w:color w:val="auto"/>
        </w:rPr>
      </w:pPr>
    </w:p>
    <w:p>
      <w:pPr>
        <w:ind w:left="6" w:right="3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Anti-Boycott Regulations </w:t>
      </w:r>
      <w:r>
        <w:rPr>
          <w:rFonts w:ascii="Times New Roman" w:cs="Times New Roman" w:eastAsia="Times New Roman" w:hAnsi="Times New Roman"/>
          <w:sz w:val="18"/>
          <w:szCs w:val="18"/>
          <w:color w:val="auto"/>
        </w:rPr>
        <w:t>means Council Regulation (EC) 2271/96 of 22 November 1996 (as amended) protecting against the effects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extra-territorial application of legislation adopted by a third country, and actions based thereon or resulting therefrom, 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and/or any other applicable blocking laws or regulations.</w:t>
      </w:r>
    </w:p>
    <w:p>
      <w:pPr>
        <w:spacing w:after="0" w:line="70" w:lineRule="exact"/>
        <w:rPr>
          <w:sz w:val="20"/>
          <w:szCs w:val="20"/>
          <w:color w:val="auto"/>
        </w:rPr>
      </w:pPr>
    </w:p>
    <w:p>
      <w:pPr>
        <w:ind w:left="6" w:right="2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Arranger </w:t>
      </w:r>
      <w:r>
        <w:rPr>
          <w:rFonts w:ascii="Times New Roman" w:cs="Times New Roman" w:eastAsia="Times New Roman" w:hAnsi="Times New Roman"/>
          <w:sz w:val="18"/>
          <w:szCs w:val="18"/>
          <w:color w:val="auto"/>
        </w:rPr>
        <w:t>means any person which enters into a Syndication Agreement and been awarded the title of mandated lead arranger and bookrunner,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mandated lead arranger, lead arranger, arranger or similar.</w:t>
      </w:r>
    </w:p>
    <w:p>
      <w:pPr>
        <w:spacing w:after="0" w:line="58" w:lineRule="exact"/>
        <w:rPr>
          <w:sz w:val="20"/>
          <w:szCs w:val="20"/>
          <w:color w:val="auto"/>
        </w:rPr>
      </w:pPr>
    </w:p>
    <w:p>
      <w:pPr>
        <w:ind w:left="6" w:right="2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Assignment Agreement </w:t>
      </w:r>
      <w:r>
        <w:rPr>
          <w:rFonts w:ascii="Times New Roman" w:cs="Times New Roman" w:eastAsia="Times New Roman" w:hAnsi="Times New Roman"/>
          <w:sz w:val="18"/>
          <w:szCs w:val="18"/>
          <w:color w:val="auto"/>
        </w:rPr>
        <w:t>means, in relation to any assignment by any Lender of any or all of its rights under this Agreement, an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substantially in a recommended form of the LMA or any other form agreed between the applicable assignor, the applicable assignee and the Agent.</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in respect of the Guarantor:</w:t>
      </w:r>
    </w:p>
    <w:p>
      <w:pPr>
        <w:spacing w:after="0" w:line="125" w:lineRule="exact"/>
        <w:rPr>
          <w:sz w:val="20"/>
          <w:szCs w:val="20"/>
          <w:color w:val="auto"/>
        </w:rPr>
      </w:pPr>
    </w:p>
    <w:p>
      <w:pPr>
        <w:ind w:left="626" w:hanging="626"/>
        <w:spacing w:after="0"/>
        <w:tabs>
          <w:tab w:leader="none" w:pos="62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PricewaterhouseCoopers, Ernst &amp; Young, KPMG or Deloitte &amp; Touche;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locally established or incorporated auditor firm that is a recognised affiliate of any firm referred to in paragraph (a);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firm mutually agreed to by the Borrower and the Agent (acting on the instructions of the Majority Lenders).</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Authorisation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consent, approval, resolution, licence, exemption, filing, notarisation, lodgement or registration; and/or</w:t>
      </w:r>
    </w:p>
    <w:p>
      <w:pPr>
        <w:spacing w:after="0" w:line="123" w:lineRule="exact"/>
        <w:rPr>
          <w:rFonts w:ascii="Times New Roman" w:cs="Times New Roman" w:eastAsia="Times New Roman" w:hAnsi="Times New Roman"/>
          <w:sz w:val="18"/>
          <w:szCs w:val="18"/>
          <w:color w:val="auto"/>
        </w:rPr>
      </w:pPr>
    </w:p>
    <w:p>
      <w:pPr>
        <w:ind w:left="626" w:right="80" w:hanging="626"/>
        <w:spacing w:after="0" w:line="300" w:lineRule="auto"/>
        <w:tabs>
          <w:tab w:leader="none" w:pos="626"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Availability Period </w:t>
      </w:r>
      <w:r>
        <w:rPr>
          <w:rFonts w:ascii="Times New Roman" w:cs="Times New Roman" w:eastAsia="Times New Roman" w:hAnsi="Times New Roman"/>
          <w:sz w:val="18"/>
          <w:szCs w:val="18"/>
          <w:color w:val="auto"/>
        </w:rPr>
        <w:t>means the period from and including the date of this Agreement to and including the earlier of:</w:t>
      </w:r>
    </w:p>
    <w:p>
      <w:pPr>
        <w:spacing w:after="0" w:line="126" w:lineRule="exact"/>
        <w:rPr>
          <w:sz w:val="20"/>
          <w:szCs w:val="20"/>
          <w:color w:val="auto"/>
        </w:rPr>
      </w:pPr>
    </w:p>
    <w:p>
      <w:pPr>
        <w:ind w:left="626" w:hanging="626"/>
        <w:spacing w:after="0"/>
        <w:tabs>
          <w:tab w:leader="none" w:pos="62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eighteen (18) Months after the date of this Agreement; and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the Available Facility is zero.</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Available Commitment </w:t>
      </w:r>
      <w:r>
        <w:rPr>
          <w:rFonts w:ascii="Times New Roman" w:cs="Times New Roman" w:eastAsia="Times New Roman" w:hAnsi="Times New Roman"/>
          <w:sz w:val="18"/>
          <w:szCs w:val="18"/>
          <w:color w:val="auto"/>
        </w:rPr>
        <w:t>means in relation to a Lender and save as otherwise provided in this Agreement, that Lender’s Commitment minus:</w:t>
      </w:r>
    </w:p>
    <w:p>
      <w:pPr>
        <w:spacing w:after="0" w:line="126" w:lineRule="exact"/>
        <w:rPr>
          <w:sz w:val="20"/>
          <w:szCs w:val="20"/>
          <w:color w:val="auto"/>
        </w:rPr>
      </w:pPr>
    </w:p>
    <w:p>
      <w:pPr>
        <w:ind w:left="626" w:hanging="626"/>
        <w:spacing w:after="0" w:line="270" w:lineRule="auto"/>
        <w:tabs>
          <w:tab w:leader="none" w:pos="6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its participation in any outstanding Loan (for such purpose taking into account the principal amount of each such Loan when it is made and disregarding any subsequent reduction in such principal amount); and</w:t>
      </w:r>
    </w:p>
    <w:p>
      <w:pPr>
        <w:spacing w:after="0" w:line="76" w:lineRule="exact"/>
        <w:rPr>
          <w:rFonts w:ascii="Times New Roman" w:cs="Times New Roman" w:eastAsia="Times New Roman" w:hAnsi="Times New Roman"/>
          <w:sz w:val="18"/>
          <w:szCs w:val="18"/>
          <w:color w:val="auto"/>
        </w:rPr>
      </w:pPr>
    </w:p>
    <w:p>
      <w:pPr>
        <w:ind w:left="626" w:right="660" w:hanging="626"/>
        <w:spacing w:after="0" w:line="270" w:lineRule="auto"/>
        <w:tabs>
          <w:tab w:leader="none" w:pos="62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that Lender’s participation in any Loan (other than the Loan the subject of such proposed Utilisation) that is due to be made on or before the Utilisation Date for such proposed Utilisation.</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Available Facility </w:t>
      </w:r>
      <w:r>
        <w:rPr>
          <w:rFonts w:ascii="Times New Roman" w:cs="Times New Roman" w:eastAsia="Times New Roman" w:hAnsi="Times New Roman"/>
          <w:sz w:val="18"/>
          <w:szCs w:val="18"/>
          <w:color w:val="auto"/>
        </w:rPr>
        <w:t>means the aggregate for the time being of each Lender’s Available Commitment.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BaFin </w:t>
      </w:r>
      <w:r>
        <w:rPr>
          <w:rFonts w:ascii="Times New Roman" w:cs="Times New Roman" w:eastAsia="Times New Roman" w:hAnsi="Times New Roman"/>
          <w:sz w:val="18"/>
          <w:szCs w:val="18"/>
          <w:color w:val="auto"/>
        </w:rPr>
        <w:t>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346"/>
          </w:cols>
          <w:pgMar w:left="974" w:top="264" w:right="579" w:bottom="1440" w:gutter="0" w:footer="0" w:header="0"/>
        </w:sectPr>
      </w:pPr>
    </w:p>
    <w:bookmarkStart w:id="528" w:name="page529"/>
    <w:bookmarkEnd w:id="528"/>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Break Costs </w:t>
      </w:r>
      <w:r>
        <w:rPr>
          <w:rFonts w:ascii="Times New Roman" w:cs="Times New Roman" w:eastAsia="Times New Roman" w:hAnsi="Times New Roman"/>
          <w:sz w:val="18"/>
          <w:szCs w:val="18"/>
          <w:color w:val="auto"/>
        </w:rPr>
        <w:t>means the amount (if any) by which:</w:t>
      </w:r>
    </w:p>
    <w:p>
      <w:pPr>
        <w:spacing w:after="0" w:line="126" w:lineRule="exact"/>
        <w:rPr>
          <w:sz w:val="20"/>
          <w:szCs w:val="20"/>
          <w:color w:val="auto"/>
        </w:rPr>
      </w:pPr>
    </w:p>
    <w:p>
      <w:pPr>
        <w:ind w:left="1040" w:hanging="626"/>
        <w:spacing w:after="0" w:line="253" w:lineRule="auto"/>
        <w:tabs>
          <w:tab w:leader="none" w:pos="104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(excluding any portion thereof attributable to the Margin) which a Finance Party should have received pursuant to the terms of this Agreement for the period from the date of receipt or recovery of all or any part of the principal amount of a Loan or an Unpaid Sum to the last day of the current Interest Period in respect of that Loan or that Unpaid Sum, had the principal amount of that Loan or had that Unpaid Sum so received or recovered been paid on the last day of that Interest Period;</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exceeds:</w:t>
      </w:r>
    </w:p>
    <w:p>
      <w:pPr>
        <w:spacing w:after="0" w:line="124" w:lineRule="exact"/>
        <w:rPr>
          <w:sz w:val="20"/>
          <w:szCs w:val="20"/>
          <w:color w:val="auto"/>
        </w:rPr>
      </w:pPr>
    </w:p>
    <w:p>
      <w:pPr>
        <w:jc w:val="both"/>
        <w:ind w:left="1040" w:right="60" w:hanging="626"/>
        <w:spacing w:after="0" w:line="258" w:lineRule="auto"/>
        <w:tabs>
          <w:tab w:leader="none" w:pos="104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which that Finance Party would be able to obtain by placing an amount equal to the principal amount of that Loan or equal to that Unpaid Sum so received or recovered by it on deposit with a leading bank in the Relevant Market for a period starting on the Business Day following such receipt or recovery and ending on the last day of that current Interest Period.</w:t>
      </w:r>
    </w:p>
    <w:p>
      <w:pPr>
        <w:spacing w:after="0" w:line="71" w:lineRule="exact"/>
        <w:rPr>
          <w:sz w:val="20"/>
          <w:szCs w:val="20"/>
          <w:color w:val="auto"/>
        </w:rPr>
      </w:pPr>
    </w:p>
    <w:p>
      <w:pPr>
        <w:ind w:left="420" w:right="2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banks are open for general business in Frankfurt am Main,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Singapore and (in relation to any date for payment or purchase of euro) any TARGET Day.</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Certain Funds Period </w:t>
      </w:r>
      <w:r>
        <w:rPr>
          <w:rFonts w:ascii="Times New Roman" w:cs="Times New Roman" w:eastAsia="Times New Roman" w:hAnsi="Times New Roman"/>
          <w:sz w:val="18"/>
          <w:szCs w:val="18"/>
          <w:color w:val="auto"/>
        </w:rPr>
        <w:t>means the period commencing on the date of this Agreement and ending at 11.59 p.m. on the earliest to occur of:</w:t>
      </w:r>
    </w:p>
    <w:p>
      <w:pPr>
        <w:spacing w:after="0" w:line="126" w:lineRule="exact"/>
        <w:rPr>
          <w:sz w:val="20"/>
          <w:szCs w:val="20"/>
          <w:color w:val="auto"/>
        </w:rPr>
      </w:pPr>
    </w:p>
    <w:p>
      <w:pPr>
        <w:ind w:left="1040" w:hanging="626"/>
        <w:spacing w:after="0"/>
        <w:tabs>
          <w:tab w:leader="none" w:pos="10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Final Closing Date;</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Availability Period; and</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Withdrawal Date.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Certain Funds Utilisation </w:t>
      </w:r>
      <w:r>
        <w:rPr>
          <w:rFonts w:ascii="Times New Roman" w:cs="Times New Roman" w:eastAsia="Times New Roman" w:hAnsi="Times New Roman"/>
          <w:sz w:val="18"/>
          <w:szCs w:val="18"/>
          <w:color w:val="auto"/>
        </w:rPr>
        <w:t>means a Utilisation made or to be made during the Certain Funds Period.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has the meaning given to it in Clause 7.5(b) (Change of Control).</w:t>
      </w:r>
    </w:p>
    <w:p>
      <w:pPr>
        <w:spacing w:after="0" w:line="110" w:lineRule="exact"/>
        <w:rPr>
          <w:sz w:val="20"/>
          <w:szCs w:val="20"/>
          <w:color w:val="auto"/>
        </w:rPr>
      </w:pPr>
    </w:p>
    <w:p>
      <w:pPr>
        <w:ind w:left="420" w:right="7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Clean-Up Default </w:t>
      </w:r>
      <w:r>
        <w:rPr>
          <w:rFonts w:ascii="Times New Roman" w:cs="Times New Roman" w:eastAsia="Times New Roman" w:hAnsi="Times New Roman"/>
          <w:sz w:val="18"/>
          <w:szCs w:val="18"/>
          <w:color w:val="auto"/>
        </w:rPr>
        <w:t>means an Event of Default referred to in Clauses 22.2 (Financial covenants) to 22.5 (Cross default) and Clauses 22.7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(Insolvency proceedings) to 22.13 (Material adverse change).</w:t>
      </w:r>
    </w:p>
    <w:p>
      <w:pPr>
        <w:spacing w:after="0" w:line="58" w:lineRule="exact"/>
        <w:rPr>
          <w:sz w:val="20"/>
          <w:szCs w:val="20"/>
          <w:color w:val="auto"/>
        </w:rPr>
      </w:pPr>
    </w:p>
    <w:p>
      <w:pPr>
        <w:ind w:left="420" w:right="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Clean-Up Period </w:t>
      </w:r>
      <w:r>
        <w:rPr>
          <w:rFonts w:ascii="Times New Roman" w:cs="Times New Roman" w:eastAsia="Times New Roman" w:hAnsi="Times New Roman"/>
          <w:sz w:val="18"/>
          <w:szCs w:val="18"/>
          <w:color w:val="auto"/>
        </w:rPr>
        <w:t>means the period beginning on the date of this Agreement and ending on the date falling six (6) Months after the Offer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58" w:lineRule="exact"/>
        <w:rPr>
          <w:sz w:val="20"/>
          <w:szCs w:val="20"/>
          <w:color w:val="auto"/>
        </w:rPr>
      </w:pPr>
    </w:p>
    <w:p>
      <w:pPr>
        <w:ind w:left="4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Clean-Up Representation </w:t>
      </w:r>
      <w:r>
        <w:rPr>
          <w:rFonts w:ascii="Times New Roman" w:cs="Times New Roman" w:eastAsia="Times New Roman" w:hAnsi="Times New Roman"/>
          <w:sz w:val="18"/>
          <w:szCs w:val="18"/>
          <w:color w:val="auto"/>
        </w:rPr>
        <w:t>means any of the representations and warranties under Clauses 18.1 (Status) to 18.6 (Governing law and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18.9 (No default) insofar as it relates to a Clean-Up Default and Clauses 18.10 (No misleading information) to 18.14 (Authorised signatories).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Clean-Up Undertaking </w:t>
      </w:r>
      <w:r>
        <w:rPr>
          <w:rFonts w:ascii="Times New Roman" w:cs="Times New Roman" w:eastAsia="Times New Roman" w:hAnsi="Times New Roman"/>
          <w:sz w:val="18"/>
          <w:szCs w:val="18"/>
          <w:color w:val="auto"/>
        </w:rPr>
        <w:t>means any of the undertakings specified in Clause 21 (General Undertakings).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US Internal Revenue Code of 1986.</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right="80" w:hanging="626"/>
        <w:spacing w:after="0" w:line="258" w:lineRule="auto"/>
        <w:tabs>
          <w:tab w:leader="none" w:pos="10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sum of the amount set opposite its name under the heading “ Commitment” in Schedule 1 (The Original Lenders) and the amount of any other Commitment transferred to it pursuant to Clause 23 (Changes to the Lenders) or assumed by it in accordance with Clause 2.3 (Increase); and</w:t>
      </w:r>
    </w:p>
    <w:p>
      <w:pPr>
        <w:spacing w:after="0" w:line="85" w:lineRule="exact"/>
        <w:rPr>
          <w:rFonts w:ascii="Times New Roman" w:cs="Times New Roman" w:eastAsia="Times New Roman" w:hAnsi="Times New Roman"/>
          <w:sz w:val="18"/>
          <w:szCs w:val="18"/>
          <w:color w:val="auto"/>
        </w:rPr>
      </w:pPr>
    </w:p>
    <w:p>
      <w:pPr>
        <w:ind w:left="1040" w:right="520" w:hanging="626"/>
        <w:spacing w:after="0" w:line="270" w:lineRule="auto"/>
        <w:tabs>
          <w:tab w:leader="none" w:pos="10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Lender, the amount of any Commitment transferred to it pursuant to Clause 23 (Changes to the Lenders) or assumed by it in accordance with Clause 2.3 (Increase),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 the extent not cancelled or reduced under this Agreement or transferred by it pursuant to Clause 23 (Changes to the Lenders).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Compliance Certificate </w:t>
      </w:r>
      <w:r>
        <w:rPr>
          <w:rFonts w:ascii="Times New Roman" w:cs="Times New Roman" w:eastAsia="Times New Roman" w:hAnsi="Times New Roman"/>
          <w:sz w:val="18"/>
          <w:szCs w:val="18"/>
          <w:color w:val="auto"/>
        </w:rPr>
        <w:t>means a certificate substantially in the form set out in Schedule 5 (Form of Compliance Certificate).</w:t>
      </w:r>
    </w:p>
    <w:p>
      <w:pPr>
        <w:spacing w:after="0" w:line="110" w:lineRule="exact"/>
        <w:rPr>
          <w:sz w:val="20"/>
          <w:szCs w:val="20"/>
          <w:color w:val="auto"/>
        </w:rPr>
      </w:pPr>
    </w:p>
    <w:p>
      <w:pPr>
        <w:ind w:left="4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all information relating to an Obligor, any Group Member, the Acquisition, any Target Group Member,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91" w:lineRule="exact"/>
        <w:rPr>
          <w:sz w:val="20"/>
          <w:szCs w:val="20"/>
          <w:color w:val="auto"/>
        </w:rPr>
      </w:pPr>
    </w:p>
    <w:p>
      <w:pPr>
        <w:ind w:left="1040" w:hanging="626"/>
        <w:spacing w:after="0"/>
        <w:tabs>
          <w:tab w:leader="none" w:pos="10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the Target Group or any of their respective advisers; or</w:t>
      </w:r>
    </w:p>
    <w:p>
      <w:pPr>
        <w:spacing w:after="0" w:line="123" w:lineRule="exact"/>
        <w:rPr>
          <w:rFonts w:ascii="Times New Roman" w:cs="Times New Roman" w:eastAsia="Times New Roman" w:hAnsi="Times New Roman"/>
          <w:sz w:val="18"/>
          <w:szCs w:val="18"/>
          <w:color w:val="auto"/>
        </w:rPr>
      </w:pPr>
    </w:p>
    <w:p>
      <w:pPr>
        <w:ind w:left="1040" w:right="200" w:hanging="626"/>
        <w:spacing w:after="0" w:line="270" w:lineRule="auto"/>
        <w:tabs>
          <w:tab w:leader="none" w:pos="10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Group Member, any Target Group Member or any of their respective advisers,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60" w:top="264" w:right="579" w:bottom="1440" w:gutter="0" w:footer="0" w:header="0"/>
        </w:sectPr>
      </w:pPr>
    </w:p>
    <w:bookmarkStart w:id="529" w:name="page530"/>
    <w:bookmarkEnd w:id="529"/>
    <w:p>
      <w:pPr>
        <w:ind w:left="6" w:right="740"/>
        <w:spacing w:after="0" w:line="27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in whatever form, and includes information given orally and any document, electronic file or any other way of representing or recording information which contains or is derived or copied from such information but excludes information that:</w:t>
      </w:r>
    </w:p>
    <w:p>
      <w:pPr>
        <w:spacing w:after="0" w:line="76" w:lineRule="exact"/>
        <w:rPr>
          <w:sz w:val="20"/>
          <w:szCs w:val="20"/>
          <w:color w:val="auto"/>
        </w:rPr>
      </w:pPr>
    </w:p>
    <w:p>
      <w:pPr>
        <w:ind w:left="626" w:right="140" w:hanging="626"/>
        <w:spacing w:after="0" w:line="270" w:lineRule="auto"/>
        <w:tabs>
          <w:tab w:leader="none" w:pos="62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25 (Disclosure of Information); or</w:t>
      </w:r>
    </w:p>
    <w:p>
      <w:pPr>
        <w:spacing w:after="0" w:line="76" w:lineRule="exact"/>
        <w:rPr>
          <w:rFonts w:ascii="Times New Roman" w:cs="Times New Roman" w:eastAsia="Times New Roman" w:hAnsi="Times New Roman"/>
          <w:sz w:val="18"/>
          <w:szCs w:val="18"/>
          <w:color w:val="auto"/>
        </w:rPr>
      </w:pPr>
    </w:p>
    <w:p>
      <w:pPr>
        <w:ind w:left="626" w:right="480" w:hanging="626"/>
        <w:spacing w:after="0" w:line="270" w:lineRule="auto"/>
        <w:tabs>
          <w:tab w:leader="none" w:pos="62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Group Member, any Target Group Member or any of their respective advisers; or</w:t>
      </w:r>
    </w:p>
    <w:p>
      <w:pPr>
        <w:spacing w:after="0" w:line="76" w:lineRule="exact"/>
        <w:rPr>
          <w:rFonts w:ascii="Times New Roman" w:cs="Times New Roman" w:eastAsia="Times New Roman" w:hAnsi="Times New Roman"/>
          <w:sz w:val="18"/>
          <w:szCs w:val="18"/>
          <w:color w:val="auto"/>
        </w:rPr>
      </w:pPr>
    </w:p>
    <w:p>
      <w:pPr>
        <w:ind w:left="626" w:hanging="626"/>
        <w:spacing w:after="0" w:line="253" w:lineRule="auto"/>
        <w:tabs>
          <w:tab w:leader="none" w:pos="62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or the Target Group and which, in either case, as far as that Finance Party is aware, has not been obtained in breach of, and is not otherwise subject to, any obligation of confidentiality.</w:t>
      </w:r>
    </w:p>
    <w:p>
      <w:pPr>
        <w:spacing w:after="0" w:line="77" w:lineRule="exact"/>
        <w:rPr>
          <w:sz w:val="20"/>
          <w:szCs w:val="20"/>
          <w:color w:val="auto"/>
        </w:rPr>
      </w:pPr>
    </w:p>
    <w:p>
      <w:pPr>
        <w:ind w:left="6" w:right="1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Confidentiality Undertaking </w:t>
      </w:r>
      <w:r>
        <w:rPr>
          <w:rFonts w:ascii="Times New Roman" w:cs="Times New Roman" w:eastAsia="Times New Roman" w:hAnsi="Times New Roman"/>
          <w:sz w:val="18"/>
          <w:szCs w:val="18"/>
          <w:color w:val="auto"/>
        </w:rPr>
        <w:t>means a confidentiality undertaking substantially in a recommended form of the LMA or in any other form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Borrower and the Agent.</w:t>
      </w:r>
    </w:p>
    <w:p>
      <w:pPr>
        <w:spacing w:after="0" w:line="58" w:lineRule="exact"/>
        <w:rPr>
          <w:sz w:val="20"/>
          <w:szCs w:val="20"/>
          <w:color w:val="auto"/>
        </w:rPr>
      </w:pPr>
    </w:p>
    <w:p>
      <w:pPr>
        <w:ind w:left="6" w:right="1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Consolidated Total Assets </w:t>
      </w:r>
      <w:r>
        <w:rPr>
          <w:rFonts w:ascii="Times New Roman" w:cs="Times New Roman" w:eastAsia="Times New Roman" w:hAnsi="Times New Roman"/>
          <w:sz w:val="18"/>
          <w:szCs w:val="18"/>
          <w:color w:val="auto"/>
        </w:rPr>
        <w:t>means, at any time, the consolidated total assets of the Group as at the date as of which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Guarantor then most recently delivered in accordance with paragraph (i) of Clause 19.1 (Financial statements) (or, if such time falls prior to the delivery of the first set of consolidated financial statements of the Guarantor in accordance with paragraph (i) of Clause 19.1 (Financial statements), the Original Financial Statements) were prepared.</w:t>
      </w:r>
    </w:p>
    <w:p>
      <w:pPr>
        <w:spacing w:after="0" w:line="76" w:lineRule="exact"/>
        <w:rPr>
          <w:sz w:val="20"/>
          <w:szCs w:val="20"/>
          <w:color w:val="auto"/>
        </w:rPr>
      </w:pPr>
    </w:p>
    <w:p>
      <w:pPr>
        <w:ind w:left="6" w:right="2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Core Business </w:t>
      </w:r>
      <w:r>
        <w:rPr>
          <w:rFonts w:ascii="Times New Roman" w:cs="Times New Roman" w:eastAsia="Times New Roman" w:hAnsi="Times New Roman"/>
          <w:sz w:val="18"/>
          <w:szCs w:val="18"/>
          <w:color w:val="auto"/>
        </w:rPr>
        <w:t>means the provision of e-commerce services through the establishment of online direct sales and online marketplace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(excluding, for the avoidance of doubt, the establishment and operation of any fulfilment infrastructure which supports or is otherwise ancillary to such e-commerce services and the business of developing financial products and services for the online market (including supply chain financing and microcredit) and consumer financing).</w:t>
      </w:r>
    </w:p>
    <w:p>
      <w:pPr>
        <w:spacing w:after="0" w:line="76" w:lineRule="exact"/>
        <w:rPr>
          <w:sz w:val="20"/>
          <w:szCs w:val="20"/>
          <w:color w:val="auto"/>
        </w:rPr>
      </w:pPr>
    </w:p>
    <w:p>
      <w:pPr>
        <w:ind w:left="6"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Core Business Group Member </w:t>
      </w:r>
      <w:r>
        <w:rPr>
          <w:rFonts w:ascii="Times New Roman" w:cs="Times New Roman" w:eastAsia="Times New Roman" w:hAnsi="Times New Roman"/>
          <w:sz w:val="18"/>
          <w:szCs w:val="18"/>
          <w:color w:val="auto"/>
        </w:rPr>
        <w:t>means at any time, any Group Member the majority of the total revenue of which (being more than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revenue) for the then Most Recent Testing Period and excluding all items between Group Members derive from activities or operations in the Core Business.</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Debt Purchase Transaction </w:t>
      </w:r>
      <w:r>
        <w:rPr>
          <w:rFonts w:ascii="Times New Roman" w:cs="Times New Roman" w:eastAsia="Times New Roman" w:hAnsi="Times New Roman"/>
          <w:sz w:val="18"/>
          <w:szCs w:val="18"/>
          <w:color w:val="auto"/>
        </w:rPr>
        <w:t>means, in relation to a person, a transaction where such person:</w:t>
      </w:r>
    </w:p>
    <w:p>
      <w:pPr>
        <w:spacing w:after="0" w:line="126" w:lineRule="exact"/>
        <w:rPr>
          <w:sz w:val="20"/>
          <w:szCs w:val="20"/>
          <w:color w:val="auto"/>
        </w:rPr>
      </w:pPr>
    </w:p>
    <w:p>
      <w:pPr>
        <w:ind w:left="626" w:hanging="626"/>
        <w:spacing w:after="0"/>
        <w:tabs>
          <w:tab w:leader="none" w:pos="62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acquires by way of assignment or transfer any rights and/or obligations in respect of;</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123" w:lineRule="exact"/>
        <w:rPr>
          <w:rFonts w:ascii="Times New Roman" w:cs="Times New Roman" w:eastAsia="Times New Roman" w:hAnsi="Times New Roman"/>
          <w:sz w:val="18"/>
          <w:szCs w:val="18"/>
          <w:color w:val="auto"/>
        </w:rPr>
      </w:pPr>
    </w:p>
    <w:p>
      <w:pPr>
        <w:ind w:left="6" w:right="500" w:hanging="6"/>
        <w:spacing w:after="0" w:line="366" w:lineRule="auto"/>
        <w:tabs>
          <w:tab w:leader="none" w:pos="633"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any commitment represented thereby) or any amount outstanding under any Finance Document.</w:t>
      </w:r>
    </w:p>
    <w:p>
      <w:pPr>
        <w:spacing w:after="0" w:line="1" w:lineRule="exact"/>
        <w:rPr>
          <w:sz w:val="20"/>
          <w:szCs w:val="20"/>
          <w:color w:val="auto"/>
        </w:rPr>
      </w:pPr>
    </w:p>
    <w:p>
      <w:pPr>
        <w:ind w:left="6" w:right="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an Event of Default or any event or circumstance which would (with the expiry of a grace period, the giving of notice, the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determination under the Finance Documents or any combination of any of the foregoing) be an Event of Default.</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Defaulting Lender </w:t>
      </w:r>
      <w:r>
        <w:rPr>
          <w:rFonts w:ascii="Times New Roman" w:cs="Times New Roman" w:eastAsia="Times New Roman" w:hAnsi="Times New Roman"/>
          <w:sz w:val="18"/>
          <w:szCs w:val="18"/>
          <w:color w:val="auto"/>
        </w:rPr>
        <w:t>means any Lender:</w:t>
      </w:r>
    </w:p>
    <w:p>
      <w:pPr>
        <w:spacing w:after="0" w:line="126" w:lineRule="exact"/>
        <w:rPr>
          <w:sz w:val="20"/>
          <w:szCs w:val="20"/>
          <w:color w:val="auto"/>
        </w:rPr>
      </w:pPr>
    </w:p>
    <w:p>
      <w:pPr>
        <w:ind w:left="626" w:right="300" w:hanging="626"/>
        <w:spacing w:after="0" w:line="270" w:lineRule="auto"/>
        <w:tabs>
          <w:tab w:leader="none" w:pos="62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any Loan available (or has notified the Agent that it will not make its participation in any Loan available) by the Utilisation Date of that Loan as required in accordance with Clause 5.4 (Lenders’ participation);</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24" w:lineRule="exact"/>
        <w:rPr>
          <w:sz w:val="20"/>
          <w:szCs w:val="20"/>
          <w:color w:val="auto"/>
        </w:rPr>
      </w:pPr>
    </w:p>
    <w:p>
      <w:pPr>
        <w:ind w:left="626" w:hanging="626"/>
        <w:spacing w:after="0"/>
        <w:tabs>
          <w:tab w:leader="none" w:pos="62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0"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such payment is made within five (5) Business Days of its due date; or</w:t>
      </w:r>
    </w:p>
    <w:p>
      <w:pPr>
        <w:spacing w:after="0" w:line="150" w:lineRule="exact"/>
        <w:rPr>
          <w:sz w:val="20"/>
          <w:szCs w:val="20"/>
          <w:color w:val="auto"/>
        </w:rPr>
      </w:pPr>
    </w:p>
    <w:p>
      <w:pPr>
        <w:ind w:left="492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46"/>
          </w:cols>
          <w:pgMar w:left="974" w:top="267" w:right="579" w:bottom="1440" w:gutter="0" w:footer="0" w:header="0"/>
        </w:sectPr>
      </w:pPr>
    </w:p>
    <w:bookmarkStart w:id="530" w:name="page531"/>
    <w:bookmarkEnd w:id="530"/>
    <w:p>
      <w:pPr>
        <w:ind w:left="626" w:right="60" w:hanging="626"/>
        <w:spacing w:after="0" w:line="270" w:lineRule="auto"/>
        <w:tabs>
          <w:tab w:leader="none" w:pos="62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such Lender is disputing in good faith whether it is contractually obliged to make such payment and/or to make its participation in such Loan available.</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Disruption Event </w:t>
      </w:r>
      <w:r>
        <w:rPr>
          <w:rFonts w:ascii="Times New Roman" w:cs="Times New Roman" w:eastAsia="Times New Roman" w:hAnsi="Times New Roman"/>
          <w:sz w:val="18"/>
          <w:szCs w:val="18"/>
          <w:color w:val="auto"/>
        </w:rPr>
        <w:t>means either or both of:</w:t>
      </w:r>
    </w:p>
    <w:p>
      <w:pPr>
        <w:spacing w:after="0" w:line="126" w:lineRule="exact"/>
        <w:rPr>
          <w:sz w:val="20"/>
          <w:szCs w:val="20"/>
          <w:color w:val="auto"/>
        </w:rPr>
      </w:pPr>
    </w:p>
    <w:p>
      <w:pPr>
        <w:ind w:left="626" w:right="60" w:hanging="626"/>
        <w:spacing w:after="0" w:line="258" w:lineRule="auto"/>
        <w:tabs>
          <w:tab w:leader="none" w:pos="62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and/or</w:t>
      </w:r>
    </w:p>
    <w:p>
      <w:pPr>
        <w:spacing w:after="0" w:line="85" w:lineRule="exact"/>
        <w:rPr>
          <w:rFonts w:ascii="Times New Roman" w:cs="Times New Roman" w:eastAsia="Times New Roman" w:hAnsi="Times New Roman"/>
          <w:sz w:val="18"/>
          <w:szCs w:val="18"/>
          <w:color w:val="auto"/>
        </w:rPr>
      </w:pPr>
    </w:p>
    <w:p>
      <w:pPr>
        <w:ind w:left="626" w:right="320" w:hanging="626"/>
        <w:spacing w:after="0" w:line="270" w:lineRule="auto"/>
        <w:tabs>
          <w:tab w:leader="none" w:pos="62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76"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Equity Interest </w:t>
      </w:r>
      <w:r>
        <w:rPr>
          <w:rFonts w:ascii="Times New Roman" w:cs="Times New Roman" w:eastAsia="Times New Roman" w:hAnsi="Times New Roman"/>
          <w:sz w:val="18"/>
          <w:szCs w:val="18"/>
          <w:color w:val="auto"/>
        </w:rPr>
        <w:t>means, in relation to any person:</w:t>
      </w:r>
    </w:p>
    <w:p>
      <w:pPr>
        <w:spacing w:after="0" w:line="126" w:lineRule="exact"/>
        <w:rPr>
          <w:sz w:val="20"/>
          <w:szCs w:val="20"/>
          <w:color w:val="auto"/>
        </w:rPr>
      </w:pPr>
    </w:p>
    <w:p>
      <w:pPr>
        <w:ind w:left="626" w:right="540" w:hanging="626"/>
        <w:spacing w:after="0" w:line="270" w:lineRule="auto"/>
        <w:tabs>
          <w:tab w:leader="none" w:pos="62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any class or capital stock of or equity interest (including partnership or membership interest) in such person or any depositary receipt in respect of any such shares, capital stock or equity interest;</w:t>
      </w:r>
    </w:p>
    <w:p>
      <w:pPr>
        <w:spacing w:after="0" w:line="76" w:lineRule="exact"/>
        <w:rPr>
          <w:rFonts w:ascii="Times New Roman" w:cs="Times New Roman" w:eastAsia="Times New Roman" w:hAnsi="Times New Roman"/>
          <w:sz w:val="18"/>
          <w:szCs w:val="18"/>
          <w:color w:val="auto"/>
        </w:rPr>
      </w:pPr>
    </w:p>
    <w:p>
      <w:pPr>
        <w:ind w:left="626" w:right="40" w:hanging="626"/>
        <w:spacing w:after="0" w:line="258" w:lineRule="auto"/>
        <w:tabs>
          <w:tab w:leader="none" w:pos="62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convertible or exchangeable (whether at the option of the holder thereof or otherwise and whether such conversion is conditional or otherwise) into any such shares, capital stock, equity interest or depositary receipt, or any depositary receipt in respect of any such securities; or</w:t>
      </w:r>
    </w:p>
    <w:p>
      <w:pPr>
        <w:spacing w:after="0" w:line="85" w:lineRule="exact"/>
        <w:rPr>
          <w:rFonts w:ascii="Times New Roman" w:cs="Times New Roman" w:eastAsia="Times New Roman" w:hAnsi="Times New Roman"/>
          <w:sz w:val="18"/>
          <w:szCs w:val="18"/>
          <w:color w:val="auto"/>
        </w:rPr>
      </w:pPr>
    </w:p>
    <w:p>
      <w:pPr>
        <w:ind w:left="626" w:hanging="626"/>
        <w:spacing w:after="0" w:line="270" w:lineRule="auto"/>
        <w:tabs>
          <w:tab w:leader="none" w:pos="626"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or other right to acquire any such shares, capital stock, equity interest, securities or depositary receipts referred to in paragraphs (a) and/or (b).</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EURIBOR </w:t>
      </w:r>
      <w:r>
        <w:rPr>
          <w:rFonts w:ascii="Times New Roman" w:cs="Times New Roman" w:eastAsia="Times New Roman" w:hAnsi="Times New Roman"/>
          <w:sz w:val="18"/>
          <w:szCs w:val="18"/>
          <w:color w:val="auto"/>
        </w:rPr>
        <w:t>means, in relation to any Loan in euro:</w:t>
      </w:r>
    </w:p>
    <w:p>
      <w:pPr>
        <w:spacing w:after="0" w:line="126" w:lineRule="exact"/>
        <w:rPr>
          <w:sz w:val="20"/>
          <w:szCs w:val="20"/>
          <w:color w:val="auto"/>
        </w:rPr>
      </w:pPr>
    </w:p>
    <w:p>
      <w:pPr>
        <w:ind w:left="626" w:hanging="626"/>
        <w:spacing w:after="0"/>
        <w:tabs>
          <w:tab w:leader="none" w:pos="6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as of the Specified Time for euro and for a period equal in length to the Interest Period of that Loan;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10.1 (Unavailability of Screen Rate),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and if, in either case, that rate is less than zero, EURIBOR shall be deemed to be zero.</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means any event or circumstance specified in any of Clauses 22.1 (Non-payment) to 22.13 (Material adverse change).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18"/>
          <w:szCs w:val="18"/>
          <w:color w:val="auto"/>
        </w:rPr>
        <w:t>means the term loan facility made or to be made available under this Agreement as described in Clause 2.1 (The Facility).</w:t>
      </w:r>
    </w:p>
    <w:p>
      <w:pPr>
        <w:spacing w:after="0" w:line="110" w:lineRule="exact"/>
        <w:rPr>
          <w:sz w:val="20"/>
          <w:szCs w:val="20"/>
          <w:color w:val="auto"/>
        </w:rPr>
      </w:pPr>
    </w:p>
    <w:p>
      <w:pPr>
        <w:ind w:left="6"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Facility Agreement (Facility B) </w:t>
      </w:r>
      <w:r>
        <w:rPr>
          <w:rFonts w:ascii="Times New Roman" w:cs="Times New Roman" w:eastAsia="Times New Roman" w:hAnsi="Times New Roman"/>
          <w:sz w:val="18"/>
          <w:szCs w:val="18"/>
          <w:color w:val="auto"/>
        </w:rPr>
        <w:t>means the EUR facility agreement dated on or about the date of this Agreement between (among others)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(as borrower) and The Hongkong and Shanghai Banking Corporation Limited as agent for the purpose of (among other things) refinancing the Financial Indebtedness incurred by any Target Group Member.</w:t>
      </w:r>
    </w:p>
    <w:p>
      <w:pPr>
        <w:spacing w:after="0" w:line="70" w:lineRule="exact"/>
        <w:rPr>
          <w:sz w:val="20"/>
          <w:szCs w:val="20"/>
          <w:color w:val="auto"/>
        </w:rPr>
      </w:pPr>
    </w:p>
    <w:p>
      <w:pPr>
        <w:ind w:left="6"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Facility Office </w:t>
      </w:r>
      <w:r>
        <w:rPr>
          <w:rFonts w:ascii="Times New Roman" w:cs="Times New Roman" w:eastAsia="Times New Roman" w:hAnsi="Times New Roman"/>
          <w:sz w:val="18"/>
          <w:szCs w:val="18"/>
          <w:color w:val="auto"/>
        </w:rPr>
        <w:t>means the office or offices notified by a Lender to the Agent in writing on or before the date it becomes a Lender (or,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date, by not less than five (5) Business Days’ written notice) as the office(s) through which it will perform its obligations under this Agreement.</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FATCA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123" w:lineRule="exact"/>
        <w:rPr>
          <w:rFonts w:ascii="Times New Roman" w:cs="Times New Roman" w:eastAsia="Times New Roman" w:hAnsi="Times New Roman"/>
          <w:sz w:val="18"/>
          <w:szCs w:val="18"/>
          <w:color w:val="auto"/>
        </w:rPr>
      </w:pPr>
    </w:p>
    <w:p>
      <w:pPr>
        <w:ind w:left="626" w:right="380" w:hanging="626"/>
        <w:spacing w:after="0" w:line="300" w:lineRule="auto"/>
        <w:tabs>
          <w:tab w:leader="none" w:pos="626"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53" w:lineRule="exact"/>
        <w:rPr>
          <w:rFonts w:ascii="Times New Roman" w:cs="Times New Roman" w:eastAsia="Times New Roman" w:hAnsi="Times New Roman"/>
          <w:sz w:val="17"/>
          <w:szCs w:val="17"/>
          <w:color w:val="auto"/>
        </w:rPr>
      </w:pPr>
    </w:p>
    <w:p>
      <w:pPr>
        <w:ind w:left="626" w:right="300" w:hanging="626"/>
        <w:spacing w:after="0" w:line="270" w:lineRule="auto"/>
        <w:tabs>
          <w:tab w:leader="none" w:pos="62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03"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26"/>
          </w:cols>
          <w:pgMar w:left="974" w:top="266" w:right="699" w:bottom="1440" w:gutter="0" w:footer="0" w:header="0"/>
        </w:sectPr>
      </w:pPr>
    </w:p>
    <w:bookmarkStart w:id="531" w:name="page532"/>
    <w:bookmarkEnd w:id="531"/>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FATCA Application Date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right="60" w:hanging="626"/>
        <w:spacing w:after="0" w:line="270" w:lineRule="auto"/>
        <w:tabs>
          <w:tab w:leader="none" w:pos="62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76" w:lineRule="exact"/>
        <w:rPr>
          <w:rFonts w:ascii="Times New Roman" w:cs="Times New Roman" w:eastAsia="Times New Roman" w:hAnsi="Times New Roman"/>
          <w:sz w:val="18"/>
          <w:szCs w:val="18"/>
          <w:color w:val="auto"/>
        </w:rPr>
      </w:pPr>
    </w:p>
    <w:p>
      <w:pPr>
        <w:ind w:left="626" w:right="40" w:hanging="626"/>
        <w:spacing w:after="0" w:line="270" w:lineRule="auto"/>
        <w:tabs>
          <w:tab w:leader="none" w:pos="626"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61" w:lineRule="exact"/>
        <w:rPr>
          <w:sz w:val="20"/>
          <w:szCs w:val="20"/>
          <w:color w:val="auto"/>
        </w:rPr>
      </w:pPr>
    </w:p>
    <w:p>
      <w:pPr>
        <w:ind w:left="6" w:right="188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FATCA Deduction </w:t>
      </w:r>
      <w:r>
        <w:rPr>
          <w:rFonts w:ascii="Times New Roman" w:cs="Times New Roman" w:eastAsia="Times New Roman" w:hAnsi="Times New Roman"/>
          <w:sz w:val="18"/>
          <w:szCs w:val="18"/>
          <w:color w:val="auto"/>
        </w:rPr>
        <w:t>means a deduction or withholding from a payment under a Finance Document required by FATCA.</w:t>
      </w:r>
      <w:r>
        <w:rPr>
          <w:rFonts w:ascii="Times New Roman" w:cs="Times New Roman" w:eastAsia="Times New Roman" w:hAnsi="Times New Roman"/>
          <w:sz w:val="18"/>
          <w:szCs w:val="18"/>
          <w:b w:val="1"/>
          <w:bCs w:val="1"/>
          <w:color w:val="auto"/>
        </w:rPr>
        <w:t xml:space="preserve"> FATCA Exempt Party </w:t>
      </w:r>
      <w:r>
        <w:rPr>
          <w:rFonts w:ascii="Times New Roman" w:cs="Times New Roman" w:eastAsia="Times New Roman" w:hAnsi="Times New Roman"/>
          <w:sz w:val="18"/>
          <w:szCs w:val="18"/>
          <w:color w:val="auto"/>
        </w:rPr>
        <w:t>means a Party that is entitled to receive payments free from any FATCA Deduction.</w:t>
      </w:r>
      <w:r>
        <w:rPr>
          <w:rFonts w:ascii="Times New Roman" w:cs="Times New Roman" w:eastAsia="Times New Roman" w:hAnsi="Times New Roman"/>
          <w:sz w:val="18"/>
          <w:szCs w:val="18"/>
          <w:b w:val="1"/>
          <w:bCs w:val="1"/>
          <w:color w:val="auto"/>
        </w:rPr>
        <w:t xml:space="preserve"> Fee Letter </w:t>
      </w:r>
      <w:r>
        <w:rPr>
          <w:rFonts w:ascii="Times New Roman" w:cs="Times New Roman" w:eastAsia="Times New Roman" w:hAnsi="Times New Roman"/>
          <w:sz w:val="18"/>
          <w:szCs w:val="18"/>
          <w:color w:val="auto"/>
        </w:rPr>
        <w:t>means any letter or letters referring to this Agreement or the Facility:</w:t>
      </w:r>
    </w:p>
    <w:p>
      <w:pPr>
        <w:spacing w:after="0" w:line="2" w:lineRule="exact"/>
        <w:rPr>
          <w:sz w:val="20"/>
          <w:szCs w:val="20"/>
          <w:color w:val="auto"/>
        </w:rPr>
      </w:pPr>
    </w:p>
    <w:p>
      <w:pPr>
        <w:ind w:left="626" w:hanging="626"/>
        <w:spacing w:after="0" w:line="270" w:lineRule="auto"/>
        <w:tabs>
          <w:tab w:leader="none" w:pos="6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one or more of the Administrative Parties (on the one hand) and the Borrower (on the other hand) setting out any fees (including any of the fees referred to in Clause 11 (Fees)); or</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out any fees payable to a Finance Party referred to in paragraph (g) of Clause 2.3 (Increase),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including but not limited to the Syndication and Fee Letter.</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Final Maturity Date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three hundred and sixty-four (364) days after the Initial Utilisation Date;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earlier, the date which is twenty-seven (27) Months after the date of this Agreement,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 in either case, if that date is not a Business Day, the preceding Business Day.</w:t>
      </w:r>
    </w:p>
    <w:p>
      <w:pPr>
        <w:spacing w:after="0" w:line="108" w:lineRule="exact"/>
        <w:rPr>
          <w:sz w:val="20"/>
          <w:szCs w:val="20"/>
          <w:color w:val="auto"/>
        </w:rPr>
      </w:pPr>
    </w:p>
    <w:p>
      <w:pPr>
        <w:ind w:left="6" w:right="1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Finance Documents </w:t>
      </w:r>
      <w:r>
        <w:rPr>
          <w:rFonts w:ascii="Times New Roman" w:cs="Times New Roman" w:eastAsia="Times New Roman" w:hAnsi="Times New Roman"/>
          <w:sz w:val="18"/>
          <w:szCs w:val="18"/>
          <w:color w:val="auto"/>
        </w:rPr>
        <w:t>means this Agreement, the Fee Letters, any Utilisation Request, any Selection Notice, any Compliance Certificate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document(s) designated as a “Finance Document” by the Agent and the Borrower (each 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Finance Lease </w:t>
      </w:r>
      <w:r>
        <w:rPr>
          <w:rFonts w:ascii="Times New Roman" w:cs="Times New Roman" w:eastAsia="Times New Roman" w:hAnsi="Times New Roman"/>
          <w:sz w:val="18"/>
          <w:szCs w:val="18"/>
          <w:color w:val="auto"/>
        </w:rPr>
        <w:t>means any lease or hire purchase contract, a liability under which would, in accordance with GAAP, be treated as a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(other than any liability in respect of a lease or hire purchase contract which would, in accordance with GAAP immediately before the adoption of ASC 840 (Lease), have been treated as an operating lease).</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Finance Parties </w:t>
      </w:r>
      <w:r>
        <w:rPr>
          <w:rFonts w:ascii="Times New Roman" w:cs="Times New Roman" w:eastAsia="Times New Roman" w:hAnsi="Times New Roman"/>
          <w:sz w:val="18"/>
          <w:szCs w:val="18"/>
          <w:color w:val="auto"/>
        </w:rPr>
        <w:t>means the Agent, the MLABUs, the Arrangers and the Lenders (each a</w:t>
      </w:r>
      <w:r>
        <w:rPr>
          <w:rFonts w:ascii="Times New Roman" w:cs="Times New Roman" w:eastAsia="Times New Roman" w:hAnsi="Times New Roman"/>
          <w:sz w:val="18"/>
          <w:szCs w:val="18"/>
          <w:b w:val="1"/>
          <w:bCs w:val="1"/>
          <w:color w:val="auto"/>
        </w:rPr>
        <w:t xml:space="preserve"> Finance Party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 xml:space="preserve">Financial Half Year </w:t>
      </w:r>
      <w:r>
        <w:rPr>
          <w:rFonts w:ascii="Times New Roman" w:cs="Times New Roman" w:eastAsia="Times New Roman" w:hAnsi="Times New Roman"/>
          <w:sz w:val="17"/>
          <w:szCs w:val="17"/>
          <w:color w:val="auto"/>
        </w:rPr>
        <w:t>means the period commencing on the date falling immediately after a Half Year Date and ending on the next Half Year Date.</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Financial Indebtedness </w:t>
      </w:r>
      <w:r>
        <w:rPr>
          <w:rFonts w:ascii="Times New Roman" w:cs="Times New Roman" w:eastAsia="Times New Roman" w:hAnsi="Times New Roman"/>
          <w:sz w:val="18"/>
          <w:szCs w:val="18"/>
          <w:color w:val="auto"/>
        </w:rPr>
        <w:t>means any indebtedness for or in respect of:</w:t>
      </w:r>
    </w:p>
    <w:p>
      <w:pPr>
        <w:spacing w:after="0" w:line="126" w:lineRule="exact"/>
        <w:rPr>
          <w:sz w:val="20"/>
          <w:szCs w:val="20"/>
          <w:color w:val="auto"/>
        </w:rPr>
      </w:pPr>
    </w:p>
    <w:p>
      <w:pPr>
        <w:ind w:left="626" w:hanging="626"/>
        <w:spacing w:after="0"/>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moneys borrowed;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(including any dematerialised equivalent thereof);</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Finance Lease;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sold or discounted (other than any receivables to the extent they are sold on a non-recourse basis);</w:t>
      </w:r>
    </w:p>
    <w:p>
      <w:pPr>
        <w:spacing w:after="0" w:line="123" w:lineRule="exact"/>
        <w:rPr>
          <w:rFonts w:ascii="Times New Roman" w:cs="Times New Roman" w:eastAsia="Times New Roman" w:hAnsi="Times New Roman"/>
          <w:sz w:val="18"/>
          <w:szCs w:val="18"/>
          <w:color w:val="auto"/>
        </w:rPr>
      </w:pPr>
    </w:p>
    <w:p>
      <w:pPr>
        <w:ind w:left="626" w:right="120" w:hanging="626"/>
        <w:spacing w:after="0" w:line="270" w:lineRule="auto"/>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primarily entered into as a method of raising finance or to finance the acquisition of any asset;</w:t>
      </w:r>
    </w:p>
    <w:p>
      <w:pPr>
        <w:spacing w:after="0" w:line="76" w:lineRule="exact"/>
        <w:rPr>
          <w:rFonts w:ascii="Times New Roman" w:cs="Times New Roman" w:eastAsia="Times New Roman" w:hAnsi="Times New Roman"/>
          <w:sz w:val="18"/>
          <w:szCs w:val="18"/>
          <w:color w:val="auto"/>
        </w:rPr>
      </w:pPr>
    </w:p>
    <w:p>
      <w:pPr>
        <w:ind w:left="626" w:right="160" w:hanging="626"/>
        <w:spacing w:after="0" w:line="270" w:lineRule="auto"/>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76" w:lineRule="exact"/>
        <w:rPr>
          <w:rFonts w:ascii="Times New Roman" w:cs="Times New Roman" w:eastAsia="Times New Roman" w:hAnsi="Times New Roman"/>
          <w:sz w:val="18"/>
          <w:szCs w:val="18"/>
          <w:color w:val="auto"/>
        </w:rPr>
      </w:pPr>
    </w:p>
    <w:p>
      <w:pPr>
        <w:ind w:left="626" w:right="220" w:hanging="626"/>
        <w:spacing w:after="0" w:line="270" w:lineRule="auto"/>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76" w:lineRule="exact"/>
        <w:rPr>
          <w:rFonts w:ascii="Times New Roman" w:cs="Times New Roman" w:eastAsia="Times New Roman" w:hAnsi="Times New Roman"/>
          <w:sz w:val="18"/>
          <w:szCs w:val="18"/>
          <w:color w:val="auto"/>
        </w:rPr>
      </w:pPr>
    </w:p>
    <w:p>
      <w:pPr>
        <w:ind w:left="626" w:right="620" w:hanging="626"/>
        <w:spacing w:after="0" w:line="270" w:lineRule="auto"/>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and/or</w:t>
      </w:r>
    </w:p>
    <w:p>
      <w:pPr>
        <w:spacing w:after="0" w:line="76" w:lineRule="exact"/>
        <w:rPr>
          <w:rFonts w:ascii="Times New Roman" w:cs="Times New Roman" w:eastAsia="Times New Roman" w:hAnsi="Times New Roman"/>
          <w:sz w:val="18"/>
          <w:szCs w:val="18"/>
          <w:color w:val="auto"/>
        </w:rPr>
      </w:pPr>
    </w:p>
    <w:p>
      <w:pPr>
        <w:ind w:left="626" w:right="540" w:hanging="626"/>
        <w:spacing w:after="0" w:line="270" w:lineRule="auto"/>
        <w:tabs>
          <w:tab w:leader="none" w:pos="62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or indemnity or similar assurance against financial loss for any of the items referred to in paragraphs (a) to (i) above.</w:t>
      </w:r>
    </w:p>
    <w:p>
      <w:pPr>
        <w:spacing w:after="0" w:line="10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326"/>
          </w:cols>
          <w:pgMar w:left="974" w:top="264" w:right="599" w:bottom="1440" w:gutter="0" w:footer="0" w:header="0"/>
        </w:sectPr>
      </w:pPr>
    </w:p>
    <w:bookmarkStart w:id="532" w:name="page533"/>
    <w:bookmarkEnd w:id="53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Financial Year </w:t>
      </w:r>
      <w:r>
        <w:rPr>
          <w:rFonts w:ascii="Times New Roman" w:cs="Times New Roman" w:eastAsia="Times New Roman" w:hAnsi="Times New Roman"/>
          <w:sz w:val="18"/>
          <w:szCs w:val="18"/>
          <w:color w:val="auto"/>
        </w:rPr>
        <w:t>means the annual accounting period of the Group ending on 31 December in each year.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Borrower, German GAAP;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Guarantor, generally accepted accounting principles in the United States of America.</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Commercial Code </w:t>
      </w:r>
      <w:r>
        <w:rPr>
          <w:rFonts w:ascii="Times New Roman" w:cs="Times New Roman" w:eastAsia="Times New Roman" w:hAnsi="Times New Roman"/>
          <w:sz w:val="18"/>
          <w:szCs w:val="18"/>
          <w:color w:val="auto"/>
        </w:rPr>
        <w:t>means the German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GAAP </w:t>
      </w:r>
      <w:r>
        <w:rPr>
          <w:rFonts w:ascii="Times New Roman" w:cs="Times New Roman" w:eastAsia="Times New Roman" w:hAnsi="Times New Roman"/>
          <w:sz w:val="18"/>
          <w:szCs w:val="18"/>
          <w:color w:val="auto"/>
        </w:rPr>
        <w:t>means Grundsätze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ordnungsmäßiger Buchführung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German Commercial Code, including IFRS.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Person </w:t>
      </w:r>
      <w:r>
        <w:rPr>
          <w:rFonts w:ascii="Times New Roman" w:cs="Times New Roman" w:eastAsia="Times New Roman" w:hAnsi="Times New Roman"/>
          <w:sz w:val="18"/>
          <w:szCs w:val="18"/>
          <w:color w:val="auto"/>
        </w:rPr>
        <w:t>means any person (including any Obligor) that has its registered office (</w:t>
      </w:r>
      <w:r>
        <w:rPr>
          <w:rFonts w:ascii="Times New Roman" w:cs="Times New Roman" w:eastAsia="Times New Roman" w:hAnsi="Times New Roman"/>
          <w:sz w:val="18"/>
          <w:szCs w:val="18"/>
          <w:i w:val="1"/>
          <w:iCs w:val="1"/>
          <w:color w:val="auto"/>
        </w:rPr>
        <w:t>Sitz</w:t>
      </w:r>
      <w:r>
        <w:rPr>
          <w:rFonts w:ascii="Times New Roman" w:cs="Times New Roman" w:eastAsia="Times New Roman" w:hAnsi="Times New Roman"/>
          <w:sz w:val="18"/>
          <w:szCs w:val="18"/>
          <w:color w:val="auto"/>
        </w:rPr>
        <w:t>) in Germany or is managed from Germany.</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Takeover Code </w:t>
      </w:r>
      <w:r>
        <w:rPr>
          <w:rFonts w:ascii="Times New Roman" w:cs="Times New Roman" w:eastAsia="Times New Roman" w:hAnsi="Times New Roman"/>
          <w:sz w:val="18"/>
          <w:szCs w:val="18"/>
          <w:color w:val="auto"/>
        </w:rPr>
        <w:t>means the German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Wertpapiererwerbs- und Übernahmegesetz (WpÜG)</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Germany </w:t>
      </w:r>
      <w:r>
        <w:rPr>
          <w:rFonts w:ascii="Times New Roman" w:cs="Times New Roman" w:eastAsia="Times New Roman" w:hAnsi="Times New Roman"/>
          <w:sz w:val="18"/>
          <w:szCs w:val="18"/>
          <w:color w:val="auto"/>
        </w:rPr>
        <w:t>means the Federal Republic of Germany.</w:t>
      </w:r>
    </w:p>
    <w:p>
      <w:pPr>
        <w:spacing w:after="0" w:line="110" w:lineRule="exact"/>
        <w:rPr>
          <w:sz w:val="20"/>
          <w:szCs w:val="20"/>
          <w:color w:val="auto"/>
        </w:rPr>
      </w:pPr>
    </w:p>
    <w:p>
      <w:pPr>
        <w:ind w:left="6"/>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Governmental Agency </w:t>
      </w:r>
      <w:r>
        <w:rPr>
          <w:rFonts w:ascii="Times New Roman" w:cs="Times New Roman" w:eastAsia="Times New Roman" w:hAnsi="Times New Roman"/>
          <w:sz w:val="18"/>
          <w:szCs w:val="18"/>
          <w:color w:val="auto"/>
        </w:rPr>
        <w:t>means any government or any governmental, semi-governmental, regulatory or judicial agency, department, body,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authority (including, without limitation, any stock exchange or any self-regulatory organisation established under statute).</w:t>
      </w:r>
    </w:p>
    <w:p>
      <w:pPr>
        <w:spacing w:after="0" w:line="58" w:lineRule="exact"/>
        <w:rPr>
          <w:sz w:val="20"/>
          <w:szCs w:val="20"/>
          <w:color w:val="auto"/>
        </w:rPr>
      </w:pPr>
    </w:p>
    <w:p>
      <w:pPr>
        <w:ind w:left="6" w:right="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Guarantor and its Subsidiaries from time to time (including, from the Offer Closing Date, the Target if it is a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Group Member </w:t>
      </w:r>
      <w:r>
        <w:rPr>
          <w:rFonts w:ascii="Times New Roman" w:cs="Times New Roman" w:eastAsia="Times New Roman" w:hAnsi="Times New Roman"/>
          <w:sz w:val="18"/>
          <w:szCs w:val="18"/>
          <w:color w:val="auto"/>
        </w:rPr>
        <w:t>means any member of the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Guarantor Listing Stock Exchange </w:t>
      </w:r>
      <w:r>
        <w:rPr>
          <w:rFonts w:ascii="Times New Roman" w:cs="Times New Roman" w:eastAsia="Times New Roman" w:hAnsi="Times New Roman"/>
          <w:sz w:val="18"/>
          <w:szCs w:val="18"/>
          <w:color w:val="auto"/>
        </w:rPr>
        <w:t>means NASDAQ or the Main Board of the Hong Kong Stock Exchange.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Half Year Dates </w:t>
      </w:r>
      <w:r>
        <w:rPr>
          <w:rFonts w:ascii="Times New Roman" w:cs="Times New Roman" w:eastAsia="Times New Roman" w:hAnsi="Times New Roman"/>
          <w:sz w:val="18"/>
          <w:szCs w:val="18"/>
          <w:color w:val="auto"/>
        </w:rPr>
        <w:t>means each of 30 June and 31 December (each a</w:t>
      </w:r>
      <w:r>
        <w:rPr>
          <w:rFonts w:ascii="Times New Roman" w:cs="Times New Roman" w:eastAsia="Times New Roman" w:hAnsi="Times New Roman"/>
          <w:sz w:val="18"/>
          <w:szCs w:val="18"/>
          <w:b w:val="1"/>
          <w:bCs w:val="1"/>
          <w:color w:val="auto"/>
        </w:rPr>
        <w:t xml:space="preserve"> Half Year Date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Holding Company </w:t>
      </w:r>
      <w:r>
        <w:rPr>
          <w:rFonts w:ascii="Times New Roman" w:cs="Times New Roman" w:eastAsia="Times New Roman" w:hAnsi="Times New Roman"/>
          <w:sz w:val="18"/>
          <w:szCs w:val="18"/>
          <w:color w:val="auto"/>
        </w:rPr>
        <w:t>means, in relation to a company, corporation or entity, any other company, corporation or entity in respect of which it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means the Hong Kong Special Administrative Region of the People’s Republic of China.</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Hong Kong Stock Exchange </w:t>
      </w:r>
      <w:r>
        <w:rPr>
          <w:rFonts w:ascii="Times New Roman" w:cs="Times New Roman" w:eastAsia="Times New Roman" w:hAnsi="Times New Roman"/>
          <w:sz w:val="18"/>
          <w:szCs w:val="18"/>
          <w:color w:val="auto"/>
        </w:rPr>
        <w:t>means The Stock Exchange of Hong Kong Limited or any successor.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HSBC Group </w:t>
      </w:r>
      <w:r>
        <w:rPr>
          <w:rFonts w:ascii="Times New Roman" w:cs="Times New Roman" w:eastAsia="Times New Roman" w:hAnsi="Times New Roman"/>
          <w:sz w:val="18"/>
          <w:szCs w:val="18"/>
          <w:color w:val="auto"/>
        </w:rPr>
        <w:t>means HSBC Holdings PLC together with its subsidiary undertakings from time to time.</w:t>
      </w:r>
    </w:p>
    <w:p>
      <w:pPr>
        <w:spacing w:after="0" w:line="110" w:lineRule="exact"/>
        <w:rPr>
          <w:sz w:val="20"/>
          <w:szCs w:val="20"/>
          <w:color w:val="auto"/>
        </w:rPr>
      </w:pPr>
    </w:p>
    <w:p>
      <w:pPr>
        <w:ind w:left="6" w:right="3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IFRS </w:t>
      </w:r>
      <w:r>
        <w:rPr>
          <w:rFonts w:ascii="Times New Roman" w:cs="Times New Roman" w:eastAsia="Times New Roman" w:hAnsi="Times New Roman"/>
          <w:sz w:val="18"/>
          <w:szCs w:val="18"/>
          <w:color w:val="auto"/>
        </w:rPr>
        <w:t>means international accounting standards within the meaning of the IAS Regulation 1606/2002 to the extent applicable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Impaired Agent </w:t>
      </w:r>
      <w:r>
        <w:rPr>
          <w:rFonts w:ascii="Times New Roman" w:cs="Times New Roman" w:eastAsia="Times New Roman" w:hAnsi="Times New Roman"/>
          <w:sz w:val="18"/>
          <w:szCs w:val="18"/>
          <w:color w:val="auto"/>
        </w:rPr>
        <w:t>means the Agent at any time when:</w:t>
      </w:r>
    </w:p>
    <w:p>
      <w:pPr>
        <w:spacing w:after="0" w:line="126" w:lineRule="exact"/>
        <w:rPr>
          <w:sz w:val="20"/>
          <w:szCs w:val="20"/>
          <w:color w:val="auto"/>
        </w:rPr>
      </w:pPr>
    </w:p>
    <w:p>
      <w:pPr>
        <w:ind w:left="626" w:right="20" w:hanging="626"/>
        <w:spacing w:after="0" w:line="270" w:lineRule="auto"/>
        <w:tabs>
          <w:tab w:leader="none" w:pos="62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(b) or (c) of the definition of “Defaulting Lender”; or</w:t>
      </w:r>
    </w:p>
    <w:p>
      <w:pPr>
        <w:spacing w:after="0" w:line="110" w:lineRule="exact"/>
        <w:rPr>
          <w:rFonts w:ascii="Times New Roman" w:cs="Times New Roman" w:eastAsia="Times New Roman" w:hAnsi="Times New Roman"/>
          <w:sz w:val="18"/>
          <w:szCs w:val="18"/>
          <w:color w:val="auto"/>
        </w:rPr>
      </w:pPr>
    </w:p>
    <w:p>
      <w:pPr>
        <w:ind w:left="266" w:hanging="258"/>
        <w:spacing w:after="0"/>
        <w:tabs>
          <w:tab w:leader="none" w:pos="26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has occurred and is continuing with respect to the Agent;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24" w:lineRule="exact"/>
        <w:rPr>
          <w:sz w:val="20"/>
          <w:szCs w:val="20"/>
          <w:color w:val="auto"/>
        </w:rPr>
      </w:pPr>
    </w:p>
    <w:p>
      <w:pPr>
        <w:ind w:left="626" w:hanging="626"/>
        <w:spacing w:after="0"/>
        <w:tabs>
          <w:tab w:leader="none" w:pos="62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0"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such payment is made within five (5) Business Days of its due date; or</w:t>
      </w:r>
    </w:p>
    <w:p>
      <w:pPr>
        <w:spacing w:after="0" w:line="124" w:lineRule="exact"/>
        <w:rPr>
          <w:sz w:val="20"/>
          <w:szCs w:val="20"/>
          <w:color w:val="auto"/>
        </w:rPr>
      </w:pPr>
    </w:p>
    <w:p>
      <w:pPr>
        <w:ind w:left="626" w:hanging="626"/>
        <w:spacing w:after="0"/>
        <w:tabs>
          <w:tab w:leader="none" w:pos="626"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Increase Confirmation </w:t>
      </w:r>
      <w:r>
        <w:rPr>
          <w:rFonts w:ascii="Times New Roman" w:cs="Times New Roman" w:eastAsia="Times New Roman" w:hAnsi="Times New Roman"/>
          <w:sz w:val="18"/>
          <w:szCs w:val="18"/>
          <w:color w:val="auto"/>
        </w:rPr>
        <w:t>means a confirmation substantially in the form set out in Schedule 7 (Form of Increase Confirmation).</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Initial Utilisation Date </w:t>
      </w:r>
      <w:r>
        <w:rPr>
          <w:rFonts w:ascii="Times New Roman" w:cs="Times New Roman" w:eastAsia="Times New Roman" w:hAnsi="Times New Roman"/>
          <w:sz w:val="18"/>
          <w:szCs w:val="18"/>
          <w:color w:val="auto"/>
        </w:rPr>
        <w:t>means the first Utilisation Date under this Agreement.</w:t>
      </w:r>
    </w:p>
    <w:p>
      <w:pPr>
        <w:spacing w:after="0" w:line="152"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26"/>
          </w:cols>
          <w:pgMar w:left="974" w:top="264" w:right="699" w:bottom="1440" w:gutter="0" w:footer="0" w:header="0"/>
        </w:sectPr>
      </w:pPr>
    </w:p>
    <w:bookmarkStart w:id="533" w:name="page534"/>
    <w:bookmarkEnd w:id="533"/>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Insolvency Event </w:t>
      </w:r>
      <w:r>
        <w:rPr>
          <w:rFonts w:ascii="Times New Roman" w:cs="Times New Roman" w:eastAsia="Times New Roman" w:hAnsi="Times New Roman"/>
          <w:sz w:val="18"/>
          <w:szCs w:val="18"/>
          <w:color w:val="auto"/>
        </w:rPr>
        <w:t>in relation to an entity means that the entity:</w:t>
      </w:r>
    </w:p>
    <w:p>
      <w:pPr>
        <w:spacing w:after="0" w:line="126" w:lineRule="exact"/>
        <w:rPr>
          <w:sz w:val="20"/>
          <w:szCs w:val="20"/>
          <w:color w:val="auto"/>
        </w:rPr>
      </w:pPr>
    </w:p>
    <w:p>
      <w:pPr>
        <w:ind w:left="626" w:hanging="626"/>
        <w:spacing w:after="0"/>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123" w:lineRule="exact"/>
        <w:rPr>
          <w:rFonts w:ascii="Times New Roman" w:cs="Times New Roman" w:eastAsia="Times New Roman" w:hAnsi="Times New Roman"/>
          <w:sz w:val="18"/>
          <w:szCs w:val="18"/>
          <w:color w:val="auto"/>
        </w:rPr>
      </w:pPr>
    </w:p>
    <w:p>
      <w:pPr>
        <w:ind w:left="626" w:right="60" w:hanging="626"/>
        <w:spacing w:after="0" w:line="270" w:lineRule="auto"/>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 or a moratorium is declared in respect of any of its indebtedness;</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composition or compromise with, or for the benefit of, its creditors;</w:t>
      </w:r>
    </w:p>
    <w:p>
      <w:pPr>
        <w:spacing w:after="0" w:line="123" w:lineRule="exact"/>
        <w:rPr>
          <w:rFonts w:ascii="Times New Roman" w:cs="Times New Roman" w:eastAsia="Times New Roman" w:hAnsi="Times New Roman"/>
          <w:sz w:val="18"/>
          <w:szCs w:val="18"/>
          <w:color w:val="auto"/>
        </w:rPr>
      </w:pPr>
    </w:p>
    <w:p>
      <w:pPr>
        <w:ind w:left="626" w:right="40" w:hanging="626"/>
        <w:spacing w:after="0" w:line="273" w:lineRule="auto"/>
        <w:tabs>
          <w:tab w:leader="none" w:pos="626"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75" w:lineRule="exact"/>
        <w:rPr>
          <w:rFonts w:ascii="Times New Roman" w:cs="Times New Roman" w:eastAsia="Times New Roman" w:hAnsi="Times New Roman"/>
          <w:sz w:val="17"/>
          <w:szCs w:val="17"/>
          <w:color w:val="auto"/>
        </w:rPr>
      </w:pPr>
    </w:p>
    <w:p>
      <w:pPr>
        <w:ind w:left="626" w:right="80" w:hanging="626"/>
        <w:spacing w:after="0" w:line="253" w:lineRule="auto"/>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Times New Roman" w:cs="Times New Roman" w:eastAsia="Times New Roman" w:hAnsi="Times New Roman"/>
          <w:sz w:val="18"/>
          <w:szCs w:val="18"/>
          <w:color w:val="auto"/>
        </w:rPr>
      </w:pPr>
    </w:p>
    <w:p>
      <w:pPr>
        <w:ind w:left="1286" w:right="80" w:hanging="639"/>
        <w:spacing w:after="0" w:line="270" w:lineRule="auto"/>
        <w:tabs>
          <w:tab w:leader="none" w:pos="128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76"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thirty (30) days of the institution or presentation thereof;</w:t>
      </w:r>
    </w:p>
    <w:p>
      <w:pPr>
        <w:spacing w:after="0" w:line="123" w:lineRule="exact"/>
        <w:rPr>
          <w:rFonts w:ascii="Times New Roman" w:cs="Times New Roman" w:eastAsia="Times New Roman" w:hAnsi="Times New Roman"/>
          <w:sz w:val="18"/>
          <w:szCs w:val="18"/>
          <w:color w:val="auto"/>
        </w:rPr>
      </w:pPr>
    </w:p>
    <w:p>
      <w:pPr>
        <w:ind w:left="626" w:right="200" w:hanging="626"/>
        <w:spacing w:after="0" w:line="270" w:lineRule="auto"/>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76" w:lineRule="exact"/>
        <w:rPr>
          <w:rFonts w:ascii="Times New Roman" w:cs="Times New Roman" w:eastAsia="Times New Roman" w:hAnsi="Times New Roman"/>
          <w:sz w:val="18"/>
          <w:szCs w:val="18"/>
          <w:color w:val="auto"/>
        </w:rPr>
      </w:pPr>
    </w:p>
    <w:p>
      <w:pPr>
        <w:jc w:val="both"/>
        <w:ind w:left="626" w:right="80" w:hanging="626"/>
        <w:spacing w:after="0" w:line="280" w:lineRule="auto"/>
        <w:tabs>
          <w:tab w:leader="none" w:pos="626"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seeks or becomes subject to the appointment of an administrator, provisional liquidator, conservator, receiver, trustee, custodian, monitor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69" w:lineRule="exact"/>
        <w:rPr>
          <w:rFonts w:ascii="Times New Roman" w:cs="Times New Roman" w:eastAsia="Times New Roman" w:hAnsi="Times New Roman"/>
          <w:sz w:val="17"/>
          <w:szCs w:val="17"/>
          <w:color w:val="auto"/>
        </w:rPr>
      </w:pPr>
    </w:p>
    <w:p>
      <w:pPr>
        <w:ind w:left="626" w:hanging="626"/>
        <w:spacing w:after="0" w:line="258" w:lineRule="auto"/>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w:t>
      </w:r>
    </w:p>
    <w:p>
      <w:pPr>
        <w:spacing w:after="0" w:line="85" w:lineRule="exact"/>
        <w:rPr>
          <w:rFonts w:ascii="Times New Roman" w:cs="Times New Roman" w:eastAsia="Times New Roman" w:hAnsi="Times New Roman"/>
          <w:sz w:val="18"/>
          <w:szCs w:val="18"/>
          <w:color w:val="auto"/>
        </w:rPr>
      </w:pPr>
    </w:p>
    <w:p>
      <w:pPr>
        <w:ind w:left="626" w:right="140" w:hanging="626"/>
        <w:spacing w:after="0" w:line="270" w:lineRule="auto"/>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(h) above; or</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right="60" w:hanging="626"/>
        <w:spacing w:after="0" w:line="258" w:lineRule="auto"/>
        <w:tabs>
          <w:tab w:leader="none" w:pos="62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trade-marks,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85" w:lineRule="exact"/>
        <w:rPr>
          <w:rFonts w:ascii="Times New Roman" w:cs="Times New Roman" w:eastAsia="Times New Roman" w:hAnsi="Times New Roman"/>
          <w:sz w:val="18"/>
          <w:szCs w:val="18"/>
          <w:color w:val="auto"/>
        </w:rPr>
      </w:pPr>
    </w:p>
    <w:p>
      <w:pPr>
        <w:ind w:left="626" w:right="560" w:hanging="626"/>
        <w:spacing w:after="0" w:line="270" w:lineRule="auto"/>
        <w:tabs>
          <w:tab w:leader="none" w:pos="62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rights to use any or all of the assets referred to in paragraph (a) (which may now or in the future subsist).</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Interest Period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Loan, any period determined in accordance with Clause 9 (Interest Periods); and/or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Unpaid Sum, any period determined in accordance with Clause 8.3 (Default interest).</w:t>
      </w:r>
    </w:p>
    <w:p>
      <w:pPr>
        <w:spacing w:after="0" w:line="108" w:lineRule="exact"/>
        <w:rPr>
          <w:sz w:val="20"/>
          <w:szCs w:val="20"/>
          <w:color w:val="auto"/>
        </w:rPr>
      </w:pPr>
    </w:p>
    <w:p>
      <w:pPr>
        <w:ind w:left="6"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Interpolated Screen Rate </w:t>
      </w:r>
      <w:r>
        <w:rPr>
          <w:rFonts w:ascii="Times New Roman" w:cs="Times New Roman" w:eastAsia="Times New Roman" w:hAnsi="Times New Roman"/>
          <w:sz w:val="18"/>
          <w:szCs w:val="18"/>
          <w:color w:val="auto"/>
        </w:rPr>
        <w:t>means, in relation to EURIBOR for any Loan or any Unpaid Sum and any Interest Period relating thereto, the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(rounded upwards to four decimal places) for a period equal to the length of such Interest Period which results from interpolating on a linear basis between:</w:t>
      </w:r>
    </w:p>
    <w:p>
      <w:pPr>
        <w:spacing w:after="0" w:line="85" w:lineRule="exact"/>
        <w:rPr>
          <w:sz w:val="20"/>
          <w:szCs w:val="20"/>
          <w:color w:val="auto"/>
        </w:rPr>
      </w:pPr>
    </w:p>
    <w:p>
      <w:pPr>
        <w:ind w:left="626" w:right="20" w:hanging="626"/>
        <w:spacing w:after="0" w:line="270" w:lineRule="auto"/>
        <w:tabs>
          <w:tab w:leader="none" w:pos="62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annum that is equal to the applicable Screen Rate for the longest period (for which that Screen Rate is available) which is less than the length of such Interest Period; and</w:t>
      </w:r>
    </w:p>
    <w:p>
      <w:pPr>
        <w:spacing w:after="0" w:line="76" w:lineRule="exact"/>
        <w:rPr>
          <w:rFonts w:ascii="Times New Roman" w:cs="Times New Roman" w:eastAsia="Times New Roman" w:hAnsi="Times New Roman"/>
          <w:sz w:val="18"/>
          <w:szCs w:val="18"/>
          <w:color w:val="auto"/>
        </w:rPr>
      </w:pPr>
    </w:p>
    <w:p>
      <w:pPr>
        <w:ind w:left="626" w:right="460" w:hanging="626"/>
        <w:spacing w:after="0" w:line="270" w:lineRule="auto"/>
        <w:tabs>
          <w:tab w:leader="none" w:pos="62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annum that is equal to the applicable Screen Rate for the shortest period (for which that Screen Rate is available) which exceeds the length of such Interest Period,</w:t>
      </w:r>
    </w:p>
    <w:p>
      <w:pPr>
        <w:spacing w:after="0" w:line="103"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346"/>
          </w:cols>
          <w:pgMar w:left="974" w:top="264" w:right="579" w:bottom="1440" w:gutter="0" w:footer="0" w:header="0"/>
        </w:sectPr>
      </w:pPr>
    </w:p>
    <w:bookmarkStart w:id="534" w:name="page535"/>
    <w:bookmarkEnd w:id="53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each as of the Specified Time on the Quotation Day for the currency of such Loan or such Unpaid Sum and for such Interest Period.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Health Group </w:t>
      </w:r>
      <w:r>
        <w:rPr>
          <w:rFonts w:ascii="Times New Roman" w:cs="Times New Roman" w:eastAsia="Times New Roman" w:hAnsi="Times New Roman"/>
          <w:sz w:val="18"/>
          <w:szCs w:val="18"/>
          <w:color w:val="auto"/>
        </w:rPr>
        <w:t>means JD Health International Inc. and its Subsidiaries from time to time.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Health Group Member </w:t>
      </w:r>
      <w:r>
        <w:rPr>
          <w:rFonts w:ascii="Times New Roman" w:cs="Times New Roman" w:eastAsia="Times New Roman" w:hAnsi="Times New Roman"/>
          <w:sz w:val="18"/>
          <w:szCs w:val="18"/>
          <w:color w:val="auto"/>
        </w:rPr>
        <w:t>means any member of the JD Health Group.</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Industrial Group </w:t>
      </w:r>
      <w:r>
        <w:rPr>
          <w:rFonts w:ascii="Times New Roman" w:cs="Times New Roman" w:eastAsia="Times New Roman" w:hAnsi="Times New Roman"/>
          <w:sz w:val="18"/>
          <w:szCs w:val="18"/>
          <w:color w:val="auto"/>
        </w:rPr>
        <w:t>means JINGDONG Industrials, Inc. and its Subsidiaries from time to time.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Industrial Group Member </w:t>
      </w:r>
      <w:r>
        <w:rPr>
          <w:rFonts w:ascii="Times New Roman" w:cs="Times New Roman" w:eastAsia="Times New Roman" w:hAnsi="Times New Roman"/>
          <w:sz w:val="18"/>
          <w:szCs w:val="18"/>
          <w:color w:val="auto"/>
        </w:rPr>
        <w:t>means any member of the JD Industrial Group.</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Logistics Group </w:t>
      </w:r>
      <w:r>
        <w:rPr>
          <w:rFonts w:ascii="Times New Roman" w:cs="Times New Roman" w:eastAsia="Times New Roman" w:hAnsi="Times New Roman"/>
          <w:sz w:val="18"/>
          <w:szCs w:val="18"/>
          <w:color w:val="auto"/>
        </w:rPr>
        <w:t>means JD Logistics, Inc. and its Subsidiaries from time to time.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Logistics Group Member </w:t>
      </w:r>
      <w:r>
        <w:rPr>
          <w:rFonts w:ascii="Times New Roman" w:cs="Times New Roman" w:eastAsia="Times New Roman" w:hAnsi="Times New Roman"/>
          <w:sz w:val="18"/>
          <w:szCs w:val="18"/>
          <w:color w:val="auto"/>
        </w:rPr>
        <w:t>means any member of the JD Logistics Group.</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Property Group </w:t>
      </w:r>
      <w:r>
        <w:rPr>
          <w:rFonts w:ascii="Times New Roman" w:cs="Times New Roman" w:eastAsia="Times New Roman" w:hAnsi="Times New Roman"/>
          <w:sz w:val="18"/>
          <w:szCs w:val="18"/>
          <w:color w:val="auto"/>
        </w:rPr>
        <w:t>means JINGDONG Property, Inc. and its Subsidiaries from time to time.</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JD Property Group Member </w:t>
      </w:r>
      <w:r>
        <w:rPr>
          <w:rFonts w:ascii="Times New Roman" w:cs="Times New Roman" w:eastAsia="Times New Roman" w:hAnsi="Times New Roman"/>
          <w:sz w:val="18"/>
          <w:szCs w:val="18"/>
          <w:color w:val="auto"/>
        </w:rPr>
        <w:t>means any member of the JD Property Group.</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Legal Reservations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right="720" w:hanging="626"/>
        <w:spacing w:after="0" w:line="280" w:lineRule="auto"/>
        <w:tabs>
          <w:tab w:leader="none" w:pos="1040"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principle that certain (including equitable) remedies may be granted or refused at the discretion of a court, the principle of reasonableness and fairness where implied by law and the limitation of enforcement by laws relating to bankruptcy, insolvency, reorganisation, court schemes, administration, moratoria and other laws generally affecting the rights of creditors;</w:t>
      </w:r>
    </w:p>
    <w:p>
      <w:pPr>
        <w:spacing w:after="0" w:line="69" w:lineRule="exact"/>
        <w:rPr>
          <w:rFonts w:ascii="Times New Roman" w:cs="Times New Roman" w:eastAsia="Times New Roman" w:hAnsi="Times New Roman"/>
          <w:sz w:val="17"/>
          <w:szCs w:val="17"/>
          <w:color w:val="auto"/>
        </w:rPr>
      </w:pPr>
    </w:p>
    <w:p>
      <w:pPr>
        <w:ind w:left="1040" w:right="20" w:hanging="626"/>
        <w:spacing w:after="0" w:line="300" w:lineRule="auto"/>
        <w:tabs>
          <w:tab w:leader="none" w:pos="1040"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53" w:lineRule="exact"/>
        <w:rPr>
          <w:rFonts w:ascii="Times New Roman" w:cs="Times New Roman" w:eastAsia="Times New Roman" w:hAnsi="Times New Roman"/>
          <w:sz w:val="17"/>
          <w:szCs w:val="17"/>
          <w:color w:val="auto"/>
        </w:rPr>
      </w:pPr>
    </w:p>
    <w:p>
      <w:pPr>
        <w:ind w:left="1040" w:right="460" w:hanging="626"/>
        <w:spacing w:after="0" w:line="270" w:lineRule="auto"/>
        <w:tabs>
          <w:tab w:leader="none" w:pos="10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in respect of the enforceability of a contract, agreement or undertaking under the laws of any Relevant Jurisdiction;</w:t>
      </w:r>
    </w:p>
    <w:p>
      <w:pPr>
        <w:spacing w:after="0" w:line="76" w:lineRule="exact"/>
        <w:rPr>
          <w:rFonts w:ascii="Times New Roman" w:cs="Times New Roman" w:eastAsia="Times New Roman" w:hAnsi="Times New Roman"/>
          <w:sz w:val="18"/>
          <w:szCs w:val="18"/>
          <w:color w:val="auto"/>
        </w:rPr>
      </w:pPr>
    </w:p>
    <w:p>
      <w:pPr>
        <w:ind w:left="1040" w:hanging="626"/>
        <w:spacing w:after="0" w:line="270" w:lineRule="auto"/>
        <w:tabs>
          <w:tab w:leader="none" w:pos="10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additional interest imposed pursuant to any relevant agreement may be held to be unenforceable on the grounds that it is a penalty and thus void;</w:t>
      </w:r>
    </w:p>
    <w:p>
      <w:pPr>
        <w:spacing w:after="0" w:line="76"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 and</w:t>
      </w:r>
    </w:p>
    <w:p>
      <w:pPr>
        <w:spacing w:after="0" w:line="123" w:lineRule="exact"/>
        <w:rPr>
          <w:rFonts w:ascii="Times New Roman" w:cs="Times New Roman" w:eastAsia="Times New Roman" w:hAnsi="Times New Roman"/>
          <w:sz w:val="18"/>
          <w:szCs w:val="18"/>
          <w:color w:val="auto"/>
        </w:rPr>
      </w:pPr>
    </w:p>
    <w:p>
      <w:pPr>
        <w:ind w:left="1040" w:right="120" w:hanging="626"/>
        <w:spacing w:after="0" w:line="253" w:lineRule="auto"/>
        <w:tabs>
          <w:tab w:leader="none" w:pos="10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and which are set out in the legal opinions required to be delivered under this Agreement (as if references therein to any document to which such legal opinions apply were references to any document to which any representation or warranty under any Finance Document (which is qualified by the Legal Reservations) relates).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Lender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hanging="626"/>
        <w:spacing w:after="0"/>
        <w:tabs>
          <w:tab w:leader="none" w:pos="10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and/or</w:t>
      </w:r>
    </w:p>
    <w:p>
      <w:pPr>
        <w:spacing w:after="0" w:line="123" w:lineRule="exact"/>
        <w:rPr>
          <w:rFonts w:ascii="Times New Roman" w:cs="Times New Roman" w:eastAsia="Times New Roman" w:hAnsi="Times New Roman"/>
          <w:sz w:val="18"/>
          <w:szCs w:val="18"/>
          <w:color w:val="auto"/>
        </w:rPr>
      </w:pPr>
    </w:p>
    <w:p>
      <w:pPr>
        <w:ind w:left="1040" w:right="600" w:hanging="626"/>
        <w:spacing w:after="0" w:line="270" w:lineRule="auto"/>
        <w:tabs>
          <w:tab w:leader="none" w:pos="104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in accordance with Clause 23 (Changes to the Lenders) or Clause 2.3 (Increase),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which in each case has not ceased to be a Party in accordance with the terms of this Agreement.</w:t>
      </w:r>
    </w:p>
    <w:p>
      <w:pPr>
        <w:spacing w:after="0" w:line="108" w:lineRule="exact"/>
        <w:rPr>
          <w:sz w:val="20"/>
          <w:szCs w:val="20"/>
          <w:color w:val="auto"/>
        </w:rPr>
      </w:pPr>
    </w:p>
    <w:p>
      <w:pPr>
        <w:ind w:left="420"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as the context requires, a loan made or to be made under the Facility or the principal amount outstanding for the time being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LMA </w:t>
      </w:r>
      <w:r>
        <w:rPr>
          <w:rFonts w:ascii="Times New Roman" w:cs="Times New Roman" w:eastAsia="Times New Roman" w:hAnsi="Times New Roman"/>
          <w:sz w:val="18"/>
          <w:szCs w:val="18"/>
          <w:color w:val="auto"/>
        </w:rPr>
        <w:t>means the Loan Market Association.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2" w:lineRule="exact"/>
        <w:rPr>
          <w:sz w:val="20"/>
          <w:szCs w:val="20"/>
          <w:color w:val="auto"/>
        </w:rPr>
      </w:pPr>
    </w:p>
    <w:p>
      <w:pPr>
        <w:ind w:left="420" w:right="240"/>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Majority Lenders </w:t>
      </w:r>
      <w:r>
        <w:rPr>
          <w:rFonts w:ascii="Times New Roman" w:cs="Times New Roman" w:eastAsia="Times New Roman" w:hAnsi="Times New Roman"/>
          <w:sz w:val="18"/>
          <w:szCs w:val="18"/>
          <w:color w:val="auto"/>
        </w:rPr>
        <w:t>means a Lender or Lenders whose Commitments aggregate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or more of the Total Commitments (or, if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have been reduced to zero, aggregated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or more of the Total Commitments immediately prior to the reduction of the Total Commitments to zero).</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Material Adverse Effect </w:t>
      </w:r>
      <w:r>
        <w:rPr>
          <w:rFonts w:ascii="Times New Roman" w:cs="Times New Roman" w:eastAsia="Times New Roman" w:hAnsi="Times New Roman"/>
          <w:sz w:val="18"/>
          <w:szCs w:val="18"/>
          <w:color w:val="auto"/>
        </w:rPr>
        <w:t>means a material adverse effect on:</w:t>
      </w:r>
    </w:p>
    <w:p>
      <w:pPr>
        <w:spacing w:after="0" w:line="126" w:lineRule="exact"/>
        <w:rPr>
          <w:sz w:val="20"/>
          <w:szCs w:val="20"/>
          <w:color w:val="auto"/>
        </w:rPr>
      </w:pPr>
    </w:p>
    <w:p>
      <w:pPr>
        <w:ind w:left="1040" w:hanging="626"/>
        <w:spacing w:after="0"/>
        <w:tabs>
          <w:tab w:leader="none" w:pos="104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or financial condition of:</w:t>
      </w:r>
    </w:p>
    <w:p>
      <w:pPr>
        <w:spacing w:after="0" w:line="123"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or</w:t>
      </w:r>
    </w:p>
    <w:p>
      <w:pPr>
        <w:spacing w:after="0" w:line="123"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(taken as a whole);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560" w:top="266" w:right="579" w:bottom="1440" w:gutter="0" w:footer="0" w:header="0"/>
        </w:sectPr>
      </w:pPr>
    </w:p>
    <w:bookmarkStart w:id="535" w:name="page536"/>
    <w:bookmarkEnd w:id="535"/>
    <w:p>
      <w:pPr>
        <w:ind w:left="1040" w:hanging="626"/>
        <w:spacing w:after="0"/>
        <w:tabs>
          <w:tab w:leader="none" w:pos="10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ability of an Obligor to perform its payment obligations under any Finance Document; or</w:t>
      </w:r>
    </w:p>
    <w:p>
      <w:pPr>
        <w:spacing w:after="0" w:line="123" w:lineRule="exact"/>
        <w:rPr>
          <w:rFonts w:ascii="Times New Roman" w:cs="Times New Roman" w:eastAsia="Times New Roman" w:hAnsi="Times New Roman"/>
          <w:sz w:val="18"/>
          <w:szCs w:val="18"/>
          <w:color w:val="auto"/>
        </w:rPr>
      </w:pPr>
    </w:p>
    <w:p>
      <w:pPr>
        <w:ind w:left="1040" w:right="160" w:hanging="626"/>
        <w:spacing w:after="0" w:line="270" w:lineRule="auto"/>
        <w:tabs>
          <w:tab w:leader="none" w:pos="104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legality or enforceability of any Finance Document or the rights or remedies of any Finance Party under any of the Finance Documents.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10" w:lineRule="exact"/>
        <w:rPr>
          <w:sz w:val="20"/>
          <w:szCs w:val="20"/>
          <w:color w:val="auto"/>
        </w:rPr>
      </w:pPr>
    </w:p>
    <w:p>
      <w:pPr>
        <w:ind w:left="420" w:right="80"/>
        <w:spacing w:after="0" w:line="270" w:lineRule="auto"/>
        <w:rPr>
          <w:sz w:val="20"/>
          <w:szCs w:val="20"/>
          <w:color w:val="auto"/>
        </w:rPr>
      </w:pPr>
      <w:r>
        <w:rPr>
          <w:rFonts w:ascii="Times New Roman" w:cs="Times New Roman" w:eastAsia="Times New Roman" w:hAnsi="Times New Roman"/>
          <w:sz w:val="18"/>
          <w:szCs w:val="18"/>
          <w:color w:val="auto"/>
        </w:rPr>
        <w:t>A report by the auditors of the Guarantor (which shall be one of the Auditors) that a Group Member is or is not a Material Subsidiary shall, in the absence of manifest error, be conclusive and binding on all Parties.</w:t>
      </w:r>
    </w:p>
    <w:p>
      <w:pPr>
        <w:spacing w:after="0" w:line="61" w:lineRule="exact"/>
        <w:rPr>
          <w:sz w:val="20"/>
          <w:szCs w:val="20"/>
          <w:color w:val="auto"/>
        </w:rPr>
      </w:pPr>
    </w:p>
    <w:p>
      <w:pPr>
        <w:ind w:left="420" w:right="3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period starting on one day in a calendar month and ending on the numerically corresponding day in the next calendar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w:t>
      </w:r>
    </w:p>
    <w:p>
      <w:pPr>
        <w:spacing w:after="0" w:line="73" w:lineRule="exact"/>
        <w:rPr>
          <w:sz w:val="20"/>
          <w:szCs w:val="20"/>
          <w:color w:val="auto"/>
        </w:rPr>
      </w:pPr>
    </w:p>
    <w:p>
      <w:pPr>
        <w:ind w:left="1040" w:right="60" w:hanging="626"/>
        <w:spacing w:after="0" w:line="258" w:lineRule="auto"/>
        <w:tabs>
          <w:tab w:leader="none" w:pos="10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if the numerically corresponding day in that next calendar month (in which that period is to end) is not a Business Day, that period shall end on the next Business Day in that next calendar month if there is one, or if there is not, on the immediately preceding Business Day in that next calendar month;</w:t>
      </w:r>
    </w:p>
    <w:p>
      <w:pPr>
        <w:spacing w:after="0" w:line="85" w:lineRule="exact"/>
        <w:rPr>
          <w:rFonts w:ascii="Times New Roman" w:cs="Times New Roman" w:eastAsia="Times New Roman" w:hAnsi="Times New Roman"/>
          <w:sz w:val="18"/>
          <w:szCs w:val="18"/>
          <w:color w:val="auto"/>
        </w:rPr>
      </w:pPr>
    </w:p>
    <w:p>
      <w:pPr>
        <w:ind w:left="1040" w:right="120" w:hanging="626"/>
        <w:spacing w:after="0" w:line="270" w:lineRule="auto"/>
        <w:tabs>
          <w:tab w:leader="none" w:pos="10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that next calendar month (in which that period is to end), that period shall end on the last Business Day in that next calendar month; and</w:t>
      </w:r>
    </w:p>
    <w:p>
      <w:pPr>
        <w:spacing w:after="0" w:line="76" w:lineRule="exact"/>
        <w:rPr>
          <w:rFonts w:ascii="Times New Roman" w:cs="Times New Roman" w:eastAsia="Times New Roman" w:hAnsi="Times New Roman"/>
          <w:sz w:val="18"/>
          <w:szCs w:val="18"/>
          <w:color w:val="auto"/>
        </w:rPr>
      </w:pPr>
    </w:p>
    <w:p>
      <w:pPr>
        <w:ind w:left="1040" w:right="20" w:hanging="626"/>
        <w:spacing w:after="0" w:line="270" w:lineRule="auto"/>
        <w:tabs>
          <w:tab w:leader="none" w:pos="104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period begins on the last Business Day of a calendar month, that period shall end on the last Business Day in the calendar month in which that period is to end.</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above rules will only apply to the last Month of any period.</w:t>
      </w:r>
    </w:p>
    <w:p>
      <w:pPr>
        <w:spacing w:after="0" w:line="108" w:lineRule="exact"/>
        <w:rPr>
          <w:sz w:val="20"/>
          <w:szCs w:val="20"/>
          <w:color w:val="auto"/>
        </w:rPr>
      </w:pPr>
    </w:p>
    <w:p>
      <w:pPr>
        <w:ind w:left="420"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Most Recent Testing Period </w:t>
      </w:r>
      <w:r>
        <w:rPr>
          <w:rFonts w:ascii="Times New Roman" w:cs="Times New Roman" w:eastAsia="Times New Roman" w:hAnsi="Times New Roman"/>
          <w:sz w:val="18"/>
          <w:szCs w:val="18"/>
          <w:color w:val="auto"/>
        </w:rPr>
        <w:t>means, as at any time, the period of twelve (12) Months ending on the date as at which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Guarantor most recently delivered to the Agent under Clause 19.1 (Financial statements) of this Agreement (as at such time) were prepared. For the avoidance of doubt, as at the date of this Agreement, such most recently delivered consolidated financial statements of the Guarantor are the Original Financial Statements.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New Lender </w:t>
      </w:r>
      <w:r>
        <w:rPr>
          <w:rFonts w:ascii="Times New Roman" w:cs="Times New Roman" w:eastAsia="Times New Roman" w:hAnsi="Times New Roman"/>
          <w:sz w:val="18"/>
          <w:szCs w:val="18"/>
          <w:color w:val="auto"/>
        </w:rPr>
        <w:t>has the meaning given to it in Clause 23 (Changes to the Lenders).</w:t>
      </w:r>
    </w:p>
    <w:p>
      <w:pPr>
        <w:spacing w:after="0" w:line="110" w:lineRule="exact"/>
        <w:rPr>
          <w:sz w:val="20"/>
          <w:szCs w:val="20"/>
          <w:color w:val="auto"/>
        </w:rPr>
      </w:pPr>
    </w:p>
    <w:p>
      <w:pPr>
        <w:ind w:left="420" w:right="3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Nei Bao Wai Dai Transaction </w:t>
      </w:r>
      <w:r>
        <w:rPr>
          <w:rFonts w:ascii="Times New Roman" w:cs="Times New Roman" w:eastAsia="Times New Roman" w:hAnsi="Times New Roman"/>
          <w:sz w:val="18"/>
          <w:szCs w:val="18"/>
          <w:color w:val="auto"/>
        </w:rPr>
        <w:t>means any transaction under which any person that is incorporated or organised outside of the PRC incurs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Indebtedness from any creditor which is incorporated or organised outside of the PRC and where such Financial Indebtedness is supported by any guarantee or Security over assets granted by any person that is incorporated or organised in (or is a resident or citizen of) the PRC.</w:t>
      </w:r>
    </w:p>
    <w:p>
      <w:pPr>
        <w:spacing w:after="0" w:line="76" w:lineRule="exact"/>
        <w:rPr>
          <w:sz w:val="20"/>
          <w:szCs w:val="20"/>
          <w:color w:val="auto"/>
        </w:rPr>
      </w:pPr>
    </w:p>
    <w:p>
      <w:pPr>
        <w:ind w:left="420" w:right="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Nei Cun Wai Dai Transaction </w:t>
      </w:r>
      <w:r>
        <w:rPr>
          <w:rFonts w:ascii="Times New Roman" w:cs="Times New Roman" w:eastAsia="Times New Roman" w:hAnsi="Times New Roman"/>
          <w:sz w:val="18"/>
          <w:szCs w:val="18"/>
          <w:color w:val="auto"/>
        </w:rPr>
        <w:t>means any transaction or banking arrangement entered into by any Material Entity involving any netting or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cash-pooling arrangement where:</w:t>
      </w:r>
    </w:p>
    <w:p>
      <w:pPr>
        <w:spacing w:after="0" w:line="73" w:lineRule="exact"/>
        <w:rPr>
          <w:sz w:val="20"/>
          <w:szCs w:val="20"/>
          <w:color w:val="auto"/>
        </w:rPr>
      </w:pPr>
    </w:p>
    <w:p>
      <w:pPr>
        <w:ind w:left="1040" w:right="220" w:hanging="626"/>
        <w:spacing w:after="0" w:line="270" w:lineRule="auto"/>
        <w:tabs>
          <w:tab w:leader="none" w:pos="10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provider of any cash deposit or credit balance (involved in such transaction or arrangement) is incorporated or organised in (or is a resident or citizen of) the PRC; and</w:t>
      </w:r>
    </w:p>
    <w:p>
      <w:pPr>
        <w:spacing w:after="0" w:line="76" w:lineRule="exact"/>
        <w:rPr>
          <w:rFonts w:ascii="Times New Roman" w:cs="Times New Roman" w:eastAsia="Times New Roman" w:hAnsi="Times New Roman"/>
          <w:sz w:val="18"/>
          <w:szCs w:val="18"/>
          <w:color w:val="auto"/>
        </w:rPr>
      </w:pPr>
    </w:p>
    <w:p>
      <w:pPr>
        <w:ind w:left="1040" w:right="520" w:hanging="626"/>
        <w:spacing w:after="0" w:line="270" w:lineRule="auto"/>
        <w:tabs>
          <w:tab w:leader="none" w:pos="10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can benefit from such cash deposit or credit balance pursuant to such transaction or arrangement is incorporated or organised outside the PRC.</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Obligor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hanging="626"/>
        <w:spacing w:after="0"/>
        <w:tabs>
          <w:tab w:leader="none" w:pos="104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OFAC </w:t>
      </w:r>
      <w:r>
        <w:rPr>
          <w:rFonts w:ascii="Times New Roman" w:cs="Times New Roman" w:eastAsia="Times New Roman" w:hAnsi="Times New Roman"/>
          <w:sz w:val="18"/>
          <w:szCs w:val="18"/>
          <w:color w:val="auto"/>
        </w:rPr>
        <w:t>means the Office of Foreign Assets Control of the US Department of the Treasury (or any successor thereto).</w:t>
      </w:r>
    </w:p>
    <w:p>
      <w:pPr>
        <w:spacing w:after="0" w:line="110" w:lineRule="exact"/>
        <w:rPr>
          <w:sz w:val="20"/>
          <w:szCs w:val="20"/>
          <w:color w:val="auto"/>
        </w:rPr>
      </w:pPr>
    </w:p>
    <w:p>
      <w:pPr>
        <w:ind w:left="4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Offer </w:t>
      </w:r>
      <w:r>
        <w:rPr>
          <w:rFonts w:ascii="Times New Roman" w:cs="Times New Roman" w:eastAsia="Times New Roman" w:hAnsi="Times New Roman"/>
          <w:sz w:val="18"/>
          <w:szCs w:val="18"/>
          <w:color w:val="auto"/>
        </w:rPr>
        <w:t>means the public tender offer by the Borrower for all issued shares in the capital of the Target to shareholders of the Target, as the same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amended in a manner not prohibited under this Agreement.</w:t>
      </w:r>
    </w:p>
    <w:p>
      <w:pPr>
        <w:spacing w:after="0" w:line="58" w:lineRule="exact"/>
        <w:rPr>
          <w:sz w:val="20"/>
          <w:szCs w:val="20"/>
          <w:color w:val="auto"/>
        </w:rPr>
      </w:pPr>
    </w:p>
    <w:p>
      <w:pPr>
        <w:ind w:left="420" w:right="3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Offer Announcement </w:t>
      </w:r>
      <w:r>
        <w:rPr>
          <w:rFonts w:ascii="Times New Roman" w:cs="Times New Roman" w:eastAsia="Times New Roman" w:hAnsi="Times New Roman"/>
          <w:sz w:val="18"/>
          <w:szCs w:val="18"/>
          <w:color w:val="auto"/>
        </w:rPr>
        <w:t>means the public announcement to all shareholders of the Target for acquisition of all issued shares in the capital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pursuant to section 10 of the German Takeover Code.</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Closing Date </w:t>
      </w:r>
      <w:r>
        <w:rPr>
          <w:rFonts w:ascii="Times New Roman" w:cs="Times New Roman" w:eastAsia="Times New Roman" w:hAnsi="Times New Roman"/>
          <w:sz w:val="18"/>
          <w:szCs w:val="18"/>
          <w:color w:val="auto"/>
        </w:rPr>
        <w:t>the date on which the Offer is settled.</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Document </w:t>
      </w:r>
      <w:r>
        <w:rPr>
          <w:rFonts w:ascii="Times New Roman" w:cs="Times New Roman" w:eastAsia="Times New Roman" w:hAnsi="Times New Roman"/>
          <w:sz w:val="18"/>
          <w:szCs w:val="18"/>
          <w:color w:val="auto"/>
        </w:rPr>
        <w:t>means the offer document (</w:t>
      </w:r>
      <w:r>
        <w:rPr>
          <w:rFonts w:ascii="Times New Roman" w:cs="Times New Roman" w:eastAsia="Times New Roman" w:hAnsi="Times New Roman"/>
          <w:sz w:val="18"/>
          <w:szCs w:val="18"/>
          <w:i w:val="1"/>
          <w:iCs w:val="1"/>
          <w:color w:val="auto"/>
        </w:rPr>
        <w:t>Angebotsunterlage</w:t>
      </w:r>
      <w:r>
        <w:rPr>
          <w:rFonts w:ascii="Times New Roman" w:cs="Times New Roman" w:eastAsia="Times New Roman" w:hAnsi="Times New Roman"/>
          <w:sz w:val="18"/>
          <w:szCs w:val="18"/>
          <w:color w:val="auto"/>
        </w:rPr>
        <w:t>) as approved by BaFin, containing details of the Offer.</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Final Closing Date </w:t>
      </w:r>
      <w:r>
        <w:rPr>
          <w:rFonts w:ascii="Times New Roman" w:cs="Times New Roman" w:eastAsia="Times New Roman" w:hAnsi="Times New Roman"/>
          <w:sz w:val="18"/>
          <w:szCs w:val="18"/>
          <w:color w:val="auto"/>
        </w:rPr>
        <w:t>means the later of:</w:t>
      </w:r>
    </w:p>
    <w:p>
      <w:pPr>
        <w:spacing w:after="0" w:line="126" w:lineRule="exact"/>
        <w:rPr>
          <w:sz w:val="20"/>
          <w:szCs w:val="20"/>
          <w:color w:val="auto"/>
        </w:rPr>
      </w:pPr>
    </w:p>
    <w:p>
      <w:pPr>
        <w:ind w:left="1040" w:hanging="626"/>
        <w:spacing w:after="0"/>
        <w:tabs>
          <w:tab w:leader="none" w:pos="104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Closing Date; and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60"/>
          </w:cols>
          <w:pgMar w:left="560" w:top="266" w:right="579" w:bottom="1440" w:gutter="0" w:footer="0" w:header="0"/>
        </w:sectPr>
      </w:pPr>
    </w:p>
    <w:bookmarkStart w:id="536" w:name="page537"/>
    <w:bookmarkEnd w:id="536"/>
    <w:p>
      <w:pPr>
        <w:ind w:left="1040" w:hanging="626"/>
        <w:spacing w:after="0"/>
        <w:tabs>
          <w:tab w:leader="none" w:pos="1040"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date on which the last acquisition of Target shares tendered pursuant to section 39c of the German Takeover Code (if any) is settled.</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Maximum Price </w:t>
      </w:r>
      <w:r>
        <w:rPr>
          <w:rFonts w:ascii="Times New Roman" w:cs="Times New Roman" w:eastAsia="Times New Roman" w:hAnsi="Times New Roman"/>
          <w:sz w:val="18"/>
          <w:szCs w:val="18"/>
          <w:color w:val="auto"/>
        </w:rPr>
        <w:t>means EUR4.60 (or such other amount agreed by the Borrower and the Agent).</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Undertaking </w:t>
      </w:r>
      <w:r>
        <w:rPr>
          <w:rFonts w:ascii="Times New Roman" w:cs="Times New Roman" w:eastAsia="Times New Roman" w:hAnsi="Times New Roman"/>
          <w:sz w:val="18"/>
          <w:szCs w:val="18"/>
          <w:color w:val="auto"/>
        </w:rPr>
        <w:t>means each of the undertakings of the Borrower set out in Clause 21.13 (Offer Undertaking).</w:t>
      </w:r>
    </w:p>
    <w:p>
      <w:pPr>
        <w:spacing w:after="0" w:line="110"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Offer Withdrawal Date </w:t>
      </w:r>
      <w:r>
        <w:rPr>
          <w:rFonts w:ascii="Times New Roman" w:cs="Times New Roman" w:eastAsia="Times New Roman" w:hAnsi="Times New Roman"/>
          <w:sz w:val="18"/>
          <w:szCs w:val="18"/>
          <w:color w:val="auto"/>
        </w:rPr>
        <w:t>means the date on which the Borrower determines (acting in good faith) to irrevocably withdraw the Offer or the date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Offer has otherwise lapsed (such date in each case to be notified to the Agent in writing as soon as reasonably practicable after making such determination).</w:t>
      </w:r>
    </w:p>
    <w:p>
      <w:pPr>
        <w:spacing w:after="0" w:line="70" w:lineRule="exact"/>
        <w:rPr>
          <w:sz w:val="20"/>
          <w:szCs w:val="20"/>
          <w:color w:val="auto"/>
        </w:rPr>
      </w:pPr>
    </w:p>
    <w:p>
      <w:pPr>
        <w:ind w:left="420" w:right="1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Original Financial Statements </w:t>
      </w:r>
      <w:r>
        <w:rPr>
          <w:rFonts w:ascii="Times New Roman" w:cs="Times New Roman" w:eastAsia="Times New Roman" w:hAnsi="Times New Roman"/>
          <w:sz w:val="18"/>
          <w:szCs w:val="18"/>
          <w:color w:val="auto"/>
        </w:rPr>
        <w:t>means the audited consolidated financial statements of the Guarantor for its Financial Year ended 31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58" w:lineRule="exact"/>
        <w:rPr>
          <w:sz w:val="20"/>
          <w:szCs w:val="20"/>
          <w:color w:val="auto"/>
        </w:rPr>
      </w:pPr>
    </w:p>
    <w:p>
      <w:pPr>
        <w:ind w:left="420" w:right="6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Participating Member State </w:t>
      </w:r>
      <w:r>
        <w:rPr>
          <w:rFonts w:ascii="Times New Roman" w:cs="Times New Roman" w:eastAsia="Times New Roman" w:hAnsi="Times New Roman"/>
          <w:sz w:val="18"/>
          <w:szCs w:val="18"/>
          <w:color w:val="auto"/>
        </w:rPr>
        <w:t>means any member state of the European Union that has the euro as its lawful currency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legislation of the European Union relating to Economic and Monetary Union.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Party </w:t>
      </w:r>
      <w:r>
        <w:rPr>
          <w:rFonts w:ascii="Times New Roman" w:cs="Times New Roman" w:eastAsia="Times New Roman" w:hAnsi="Times New Roman"/>
          <w:sz w:val="18"/>
          <w:szCs w:val="18"/>
          <w:color w:val="auto"/>
        </w:rPr>
        <w:t>means a party to this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right="5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PRC </w:t>
      </w:r>
      <w:r>
        <w:rPr>
          <w:rFonts w:ascii="Times New Roman" w:cs="Times New Roman" w:eastAsia="Times New Roman" w:hAnsi="Times New Roman"/>
          <w:sz w:val="18"/>
          <w:szCs w:val="18"/>
          <w:color w:val="auto"/>
        </w:rPr>
        <w:t>means the People’s Republic of China (which, for the purposes of the Finance Documents, does not include Hong Kong,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Region of Macau or Taiwan).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Quasi-Security </w:t>
      </w:r>
      <w:r>
        <w:rPr>
          <w:rFonts w:ascii="Times New Roman" w:cs="Times New Roman" w:eastAsia="Times New Roman" w:hAnsi="Times New Roman"/>
          <w:sz w:val="18"/>
          <w:szCs w:val="18"/>
          <w:color w:val="auto"/>
        </w:rPr>
        <w:t>means any arrangement or transaction described in Clause 21.4(b) (Negative pledge).</w:t>
      </w:r>
    </w:p>
    <w:p>
      <w:pPr>
        <w:spacing w:after="0" w:line="110" w:lineRule="exact"/>
        <w:rPr>
          <w:sz w:val="20"/>
          <w:szCs w:val="20"/>
          <w:color w:val="auto"/>
        </w:rPr>
      </w:pPr>
    </w:p>
    <w:p>
      <w:pPr>
        <w:ind w:left="420" w:right="1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Quotation Day </w:t>
      </w:r>
      <w:r>
        <w:rPr>
          <w:rFonts w:ascii="Times New Roman" w:cs="Times New Roman" w:eastAsia="Times New Roman" w:hAnsi="Times New Roman"/>
          <w:sz w:val="18"/>
          <w:szCs w:val="18"/>
          <w:color w:val="auto"/>
        </w:rPr>
        <w:t>means, in relation to any period for which an interest rate is to be determined, two (2) TARGET Days before the first day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Market </w:t>
      </w:r>
      <w:r>
        <w:rPr>
          <w:rFonts w:ascii="Times New Roman" w:cs="Times New Roman" w:eastAsia="Times New Roman" w:hAnsi="Times New Roman"/>
          <w:sz w:val="18"/>
          <w:szCs w:val="18"/>
          <w:color w:val="auto"/>
        </w:rPr>
        <w:t>means the European interbank market.</w:t>
      </w:r>
    </w:p>
    <w:p>
      <w:pPr>
        <w:spacing w:after="0" w:line="110" w:lineRule="exact"/>
        <w:rPr>
          <w:sz w:val="20"/>
          <w:szCs w:val="20"/>
          <w:color w:val="auto"/>
        </w:rPr>
      </w:pPr>
    </w:p>
    <w:p>
      <w:pPr>
        <w:ind w:left="420"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Reference Bank Rate </w:t>
      </w:r>
      <w:r>
        <w:rPr>
          <w:rFonts w:ascii="Times New Roman" w:cs="Times New Roman" w:eastAsia="Times New Roman" w:hAnsi="Times New Roman"/>
          <w:sz w:val="18"/>
          <w:szCs w:val="18"/>
          <w:color w:val="auto"/>
        </w:rPr>
        <w:t>means, in relation to any Loan or Unpaid Sum and any period relating thereto, the arithmetic mean of the rates (rounded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upwards to four decimal places) as supplied to the Agent at its request by each of the Reference Banks as the rate at which such Reference Bank could borrow funds in the Relevant Market for such period, were it to do so by asking for and then accepting interbank offers for deposits in reasonable market size in such currency and for such period.</w:t>
      </w:r>
    </w:p>
    <w:p>
      <w:pPr>
        <w:spacing w:after="0" w:line="76" w:lineRule="exact"/>
        <w:rPr>
          <w:sz w:val="20"/>
          <w:szCs w:val="20"/>
          <w:color w:val="auto"/>
        </w:rPr>
      </w:pPr>
    </w:p>
    <w:p>
      <w:pPr>
        <w:ind w:left="420"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Reference Banks </w:t>
      </w:r>
      <w:r>
        <w:rPr>
          <w:rFonts w:ascii="Times New Roman" w:cs="Times New Roman" w:eastAsia="Times New Roman" w:hAnsi="Times New Roman"/>
          <w:sz w:val="18"/>
          <w:szCs w:val="18"/>
          <w:color w:val="auto"/>
        </w:rPr>
        <w:t>means the principal London offices of any bank(s) as may be appointed by the Agent after consultation with the Borrower,</w:t>
      </w:r>
      <w:r>
        <w:rPr>
          <w:rFonts w:ascii="Times New Roman" w:cs="Times New Roman" w:eastAsia="Times New Roman" w:hAnsi="Times New Roman"/>
          <w:sz w:val="18"/>
          <w:szCs w:val="18"/>
          <w:b w:val="1"/>
          <w:bCs w:val="1"/>
          <w:color w:val="auto"/>
        </w:rPr>
        <w:t xml:space="preserve"> provided that </w:t>
      </w:r>
      <w:r>
        <w:rPr>
          <w:rFonts w:ascii="Times New Roman" w:cs="Times New Roman" w:eastAsia="Times New Roman" w:hAnsi="Times New Roman"/>
          <w:sz w:val="18"/>
          <w:szCs w:val="18"/>
          <w:color w:val="auto"/>
        </w:rPr>
        <w:t>no bank shall be appointed as a Reference Bank without its prior consent and the Borrower’s prior consent (</w:t>
      </w:r>
      <w:r>
        <w:rPr>
          <w:rFonts w:ascii="Times New Roman" w:cs="Times New Roman" w:eastAsia="Times New Roman" w:hAnsi="Times New Roman"/>
          <w:sz w:val="18"/>
          <w:szCs w:val="18"/>
          <w:b w:val="1"/>
          <w:bCs w:val="1"/>
          <w:color w:val="auto"/>
        </w:rPr>
        <w:t xml:space="preserve">provided further that </w:t>
      </w:r>
      <w:r>
        <w:rPr>
          <w:rFonts w:ascii="Times New Roman" w:cs="Times New Roman" w:eastAsia="Times New Roman" w:hAnsi="Times New Roman"/>
          <w:sz w:val="18"/>
          <w:szCs w:val="18"/>
          <w:color w:val="auto"/>
        </w:rPr>
        <w:t>the Borrower’s consent shall not be unreasonably withheld or delayed and will be deemed to be given five (5) Business Days after the Agent has requested in writing).</w:t>
      </w:r>
    </w:p>
    <w:p>
      <w:pPr>
        <w:spacing w:after="0" w:line="76" w:lineRule="exact"/>
        <w:rPr>
          <w:sz w:val="20"/>
          <w:szCs w:val="20"/>
          <w:color w:val="auto"/>
        </w:rPr>
      </w:pPr>
    </w:p>
    <w:p>
      <w:pPr>
        <w:ind w:left="420"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Related Fund </w:t>
      </w:r>
      <w:r>
        <w:rPr>
          <w:rFonts w:ascii="Times New Roman" w:cs="Times New Roman" w:eastAsia="Times New Roman" w:hAnsi="Times New Roman"/>
          <w:sz w:val="18"/>
          <w:szCs w:val="18"/>
          <w:color w:val="auto"/>
        </w:rPr>
        <w:t>in relation to a fund (the</w:t>
      </w:r>
      <w:r>
        <w:rPr>
          <w:rFonts w:ascii="Times New Roman" w:cs="Times New Roman" w:eastAsia="Times New Roman" w:hAnsi="Times New Roman"/>
          <w:sz w:val="18"/>
          <w:szCs w:val="18"/>
          <w:b w:val="1"/>
          <w:bCs w:val="1"/>
          <w:color w:val="auto"/>
        </w:rPr>
        <w:t xml:space="preserve"> first fund</w:t>
      </w:r>
      <w:r>
        <w:rPr>
          <w:rFonts w:ascii="Times New Roman" w:cs="Times New Roman" w:eastAsia="Times New Roman" w:hAnsi="Times New Roman"/>
          <w:sz w:val="18"/>
          <w:szCs w:val="18"/>
          <w:color w:val="auto"/>
        </w:rPr>
        <w:t>), means a fund which is managed or advised by the same investment manager or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adviser as the first fund or, if it is managed by a different investment manager or investment adviser, a fund whose investment manager or investment adviser is an Affiliate of the investment manager or investment adviser of the first fund.</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Jurisdiction </w:t>
      </w:r>
      <w:r>
        <w:rPr>
          <w:rFonts w:ascii="Times New Roman" w:cs="Times New Roman" w:eastAsia="Times New Roman" w:hAnsi="Times New Roman"/>
          <w:sz w:val="18"/>
          <w:szCs w:val="18"/>
          <w:color w:val="auto"/>
        </w:rPr>
        <w:t>means, in relation to an Obligor:</w:t>
      </w:r>
    </w:p>
    <w:p>
      <w:pPr>
        <w:spacing w:after="0" w:line="126" w:lineRule="exact"/>
        <w:rPr>
          <w:sz w:val="20"/>
          <w:szCs w:val="20"/>
          <w:color w:val="auto"/>
        </w:rPr>
      </w:pPr>
    </w:p>
    <w:p>
      <w:pPr>
        <w:ind w:left="1040" w:hanging="626"/>
        <w:spacing w:after="0"/>
        <w:tabs>
          <w:tab w:leader="none" w:pos="104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jurisdiction of incorporation; and</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a material part of its business.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means has the meaning given to it in Clause 20.1 (Financial definitions).</w:t>
      </w:r>
    </w:p>
    <w:p>
      <w:pPr>
        <w:spacing w:after="0" w:line="110" w:lineRule="exact"/>
        <w:rPr>
          <w:sz w:val="20"/>
          <w:szCs w:val="20"/>
          <w:color w:val="auto"/>
        </w:rPr>
      </w:pPr>
    </w:p>
    <w:p>
      <w:pPr>
        <w:ind w:left="420" w:right="42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Repeating Representations </w:t>
      </w:r>
      <w:r>
        <w:rPr>
          <w:rFonts w:ascii="Times New Roman" w:cs="Times New Roman" w:eastAsia="Times New Roman" w:hAnsi="Times New Roman"/>
          <w:sz w:val="17"/>
          <w:szCs w:val="17"/>
          <w:color w:val="auto"/>
        </w:rPr>
        <w:t>means each of the representations and warranties set out in Clauses 18.1 (Status) to 18.6 (Governing law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enforcement) (inclusive), paragraph (b) of Clause 18.9 (No default), paragraph (c) of Clause 18.10 (No misleading information), paragraphs</w:t>
      </w:r>
    </w:p>
    <w:p>
      <w:pPr>
        <w:spacing w:after="0" w:line="1" w:lineRule="exact"/>
        <w:rPr>
          <w:sz w:val="20"/>
          <w:szCs w:val="20"/>
          <w:color w:val="auto"/>
        </w:rPr>
      </w:pPr>
    </w:p>
    <w:p>
      <w:pPr>
        <w:ind w:left="420" w:right="340" w:firstLine="2"/>
        <w:spacing w:after="0" w:line="250" w:lineRule="auto"/>
        <w:tabs>
          <w:tab w:leader="none" w:pos="66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Clause 18.11 (Financial statements) and Clause 18.13 (No proceedings pending or threatened) to Clause 18.15 (Sanctions, anti-money laundering and anti-corruption) (inclusive).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Representative </w:t>
      </w:r>
      <w:r>
        <w:rPr>
          <w:rFonts w:ascii="Times New Roman" w:cs="Times New Roman" w:eastAsia="Times New Roman" w:hAnsi="Times New Roman"/>
          <w:sz w:val="18"/>
          <w:szCs w:val="18"/>
          <w:color w:val="auto"/>
        </w:rPr>
        <w:t>means any delegate, agent, manager, administrator, nominee, attorney, trustee or custodian.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Restricted Finance Party </w:t>
      </w:r>
      <w:r>
        <w:rPr>
          <w:rFonts w:ascii="Times New Roman" w:cs="Times New Roman" w:eastAsia="Times New Roman" w:hAnsi="Times New Roman"/>
          <w:sz w:val="18"/>
          <w:szCs w:val="18"/>
          <w:color w:val="auto"/>
        </w:rPr>
        <w:t>has the meaning given to that term in Clause 1.6 (Sanctions).</w:t>
      </w:r>
    </w:p>
    <w:p>
      <w:pPr>
        <w:spacing w:after="0" w:line="110" w:lineRule="exact"/>
        <w:rPr>
          <w:sz w:val="20"/>
          <w:szCs w:val="20"/>
          <w:color w:val="auto"/>
        </w:rPr>
      </w:pPr>
    </w:p>
    <w:p>
      <w:pPr>
        <w:ind w:left="420" w:right="2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Sanctions </w:t>
      </w:r>
      <w:r>
        <w:rPr>
          <w:rFonts w:ascii="Times New Roman" w:cs="Times New Roman" w:eastAsia="Times New Roman" w:hAnsi="Times New Roman"/>
          <w:sz w:val="18"/>
          <w:szCs w:val="18"/>
          <w:color w:val="auto"/>
        </w:rPr>
        <w:t>means the sanctions laws, regulations, embargoes or restrictive measures administered, enacted or enforced by any of the 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Sanctions Authorities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hanging="626"/>
        <w:spacing w:after="0"/>
        <w:tabs>
          <w:tab w:leader="none" w:pos="104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60" w:top="266" w:right="619" w:bottom="1440" w:gutter="0" w:footer="0" w:header="0"/>
        </w:sectPr>
      </w:pPr>
    </w:p>
    <w:bookmarkStart w:id="537" w:name="page538"/>
    <w:bookmarkEnd w:id="537"/>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United Nations;</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German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Monetary Authority;</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Monetary Authority of Singapore;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of France;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or</w:t>
      </w:r>
    </w:p>
    <w:p>
      <w:pPr>
        <w:spacing w:after="0" w:line="123" w:lineRule="exact"/>
        <w:rPr>
          <w:rFonts w:ascii="Times New Roman" w:cs="Times New Roman" w:eastAsia="Times New Roman" w:hAnsi="Times New Roman"/>
          <w:sz w:val="18"/>
          <w:szCs w:val="18"/>
          <w:color w:val="auto"/>
        </w:rPr>
      </w:pPr>
    </w:p>
    <w:p>
      <w:pPr>
        <w:ind w:left="626" w:right="80" w:hanging="626"/>
        <w:spacing w:after="0" w:line="270" w:lineRule="auto"/>
        <w:tabs>
          <w:tab w:leader="none" w:pos="6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Governmental Agencies of any of the foregoing, including without limitation, OFAC, the US Department of State, the US Department of the Treasury’s Office of Foreign Assets Control and His Majesty’s Treasury.</w:t>
      </w:r>
    </w:p>
    <w:p>
      <w:pPr>
        <w:spacing w:after="0" w:line="61" w:lineRule="exact"/>
        <w:rPr>
          <w:sz w:val="20"/>
          <w:szCs w:val="20"/>
          <w:color w:val="auto"/>
        </w:rPr>
      </w:pPr>
    </w:p>
    <w:p>
      <w:pPr>
        <w:jc w:val="both"/>
        <w:ind w:left="6"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Sanctions Provisions </w:t>
      </w:r>
      <w:r>
        <w:rPr>
          <w:rFonts w:ascii="Times New Roman" w:cs="Times New Roman" w:eastAsia="Times New Roman" w:hAnsi="Times New Roman"/>
          <w:sz w:val="18"/>
          <w:szCs w:val="18"/>
          <w:color w:val="auto"/>
        </w:rPr>
        <w:t>means the representations, general undertakings, restrictions and any other provisions related to Sanctions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Clause 18.15 (Sanctions, anti-money laundering and anti-corruption) and Clause 21.12 (Sanctions), and any other existing or future provision relating to Sanctions in this Agreement or any other Finance Document.</w:t>
      </w:r>
    </w:p>
    <w:p>
      <w:pPr>
        <w:spacing w:after="0" w:line="70"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Screen Rate </w:t>
      </w:r>
      <w:r>
        <w:rPr>
          <w:rFonts w:ascii="Times New Roman" w:cs="Times New Roman" w:eastAsia="Times New Roman" w:hAnsi="Times New Roman"/>
          <w:sz w:val="18"/>
          <w:szCs w:val="18"/>
          <w:color w:val="auto"/>
        </w:rPr>
        <w:t>means in relation to EURIBOR, the euro interbank offered rate administered by the European Money Markets Institute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which takes over the administration of that rate) for the relevant period displayed on page EURIBOR01 of the Refinitiv screen (or any replacement Refinitiv page which displays that rate), or, on the appropriate page of such other information service which publishes that rate from time to time in place of Refinitiv. If such page or service ceases to be available, the Agent may specify another page or service displaying the relevant rate after consultation with the Borrower and the Lenders.</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Security </w:t>
      </w:r>
      <w:r>
        <w:rPr>
          <w:rFonts w:ascii="Times New Roman" w:cs="Times New Roman" w:eastAsia="Times New Roman" w:hAnsi="Times New Roman"/>
          <w:sz w:val="18"/>
          <w:szCs w:val="18"/>
          <w:color w:val="auto"/>
        </w:rPr>
        <w:t>means a mortgage, charge, pledge, lien or other security interest securing any obligation of any person or any other agreement or</w:t>
      </w:r>
    </w:p>
    <w:p>
      <w:pPr>
        <w:spacing w:after="0" w:line="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arrangement having a similar effect, including, in respect of the Borrower or, from the Offer Closing Date, any Target Group Member</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incorporated in Germany, any assignment for security purposes (</w:t>
      </w:r>
      <w:r>
        <w:rPr>
          <w:rFonts w:ascii="Times New Roman" w:cs="Times New Roman" w:eastAsia="Times New Roman" w:hAnsi="Times New Roman"/>
          <w:sz w:val="18"/>
          <w:szCs w:val="18"/>
          <w:i w:val="1"/>
          <w:iCs w:val="1"/>
          <w:color w:val="auto"/>
        </w:rPr>
        <w:t>Sicherungsabtretung</w:t>
      </w:r>
      <w:r>
        <w:rPr>
          <w:rFonts w:ascii="Times New Roman" w:cs="Times New Roman" w:eastAsia="Times New Roman" w:hAnsi="Times New Roman"/>
          <w:sz w:val="18"/>
          <w:szCs w:val="18"/>
          <w:color w:val="auto"/>
        </w:rPr>
        <w:t>), any transfer for security purposes</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Sicherungsübereignung</w:t>
      </w:r>
      <w:r>
        <w:rPr>
          <w:rFonts w:ascii="Times New Roman" w:cs="Times New Roman" w:eastAsia="Times New Roman" w:hAnsi="Times New Roman"/>
          <w:sz w:val="18"/>
          <w:szCs w:val="18"/>
          <w:color w:val="auto"/>
        </w:rPr>
        <w:t>) or other in rem security (</w:t>
      </w:r>
      <w:r>
        <w:rPr>
          <w:rFonts w:ascii="Times New Roman" w:cs="Times New Roman" w:eastAsia="Times New Roman" w:hAnsi="Times New Roman"/>
          <w:sz w:val="18"/>
          <w:szCs w:val="18"/>
          <w:i w:val="1"/>
          <w:iCs w:val="1"/>
          <w:color w:val="auto"/>
        </w:rPr>
        <w:t>dingliche Sicherheit</w:t>
      </w:r>
      <w:r>
        <w:rPr>
          <w:rFonts w:ascii="Times New Roman" w:cs="Times New Roman" w:eastAsia="Times New Roman" w:hAnsi="Times New Roman"/>
          <w:sz w:val="18"/>
          <w:szCs w:val="18"/>
          <w:color w:val="auto"/>
        </w:rPr>
        <w:t>) securing any obligation of any person or any other agreement or</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arrangement having a similar effect.</w:t>
      </w:r>
    </w:p>
    <w:p>
      <w:pPr>
        <w:spacing w:after="0" w:line="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Selection Notice </w:t>
      </w:r>
      <w:r>
        <w:rPr>
          <w:rFonts w:ascii="Times New Roman" w:cs="Times New Roman" w:eastAsia="Times New Roman" w:hAnsi="Times New Roman"/>
          <w:sz w:val="18"/>
          <w:szCs w:val="18"/>
          <w:color w:val="auto"/>
        </w:rPr>
        <w:t>means a notice in substantially the form set out in Part 2 of Schedule 3 (Requests).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Specified Time </w:t>
      </w:r>
      <w:r>
        <w:rPr>
          <w:rFonts w:ascii="Times New Roman" w:cs="Times New Roman" w:eastAsia="Times New Roman" w:hAnsi="Times New Roman"/>
          <w:sz w:val="18"/>
          <w:szCs w:val="18"/>
          <w:color w:val="auto"/>
        </w:rPr>
        <w:t>means the applicable time determined in accordance with Schedule 6 (Timetables).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in relation to any company, corporation or entity, a company, corporation or entity:</w:t>
      </w:r>
    </w:p>
    <w:p>
      <w:pPr>
        <w:spacing w:after="0" w:line="126" w:lineRule="exact"/>
        <w:rPr>
          <w:sz w:val="20"/>
          <w:szCs w:val="20"/>
          <w:color w:val="auto"/>
        </w:rPr>
      </w:pPr>
    </w:p>
    <w:p>
      <w:pPr>
        <w:ind w:left="626" w:hanging="626"/>
        <w:spacing w:after="0"/>
        <w:tabs>
          <w:tab w:leader="none" w:pos="62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by the first mentioned company, corporation or entity;</w:t>
      </w:r>
    </w:p>
    <w:p>
      <w:pPr>
        <w:spacing w:after="0" w:line="123" w:lineRule="exact"/>
        <w:rPr>
          <w:rFonts w:ascii="Times New Roman" w:cs="Times New Roman" w:eastAsia="Times New Roman" w:hAnsi="Times New Roman"/>
          <w:sz w:val="18"/>
          <w:szCs w:val="18"/>
          <w:color w:val="auto"/>
        </w:rPr>
      </w:pPr>
    </w:p>
    <w:p>
      <w:pPr>
        <w:ind w:left="626" w:hanging="626"/>
        <w:spacing w:after="0" w:line="270" w:lineRule="auto"/>
        <w:tabs>
          <w:tab w:leader="none" w:pos="62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registered capital or equity interest of which is beneficially owned, directly or indirectly by the first mentioned company, corporation or entity;</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corporation or entity; or</w:t>
      </w:r>
    </w:p>
    <w:p>
      <w:pPr>
        <w:spacing w:after="0" w:line="123" w:lineRule="exact"/>
        <w:rPr>
          <w:rFonts w:ascii="Times New Roman" w:cs="Times New Roman" w:eastAsia="Times New Roman" w:hAnsi="Times New Roman"/>
          <w:sz w:val="18"/>
          <w:szCs w:val="18"/>
          <w:color w:val="auto"/>
        </w:rPr>
      </w:pPr>
    </w:p>
    <w:p>
      <w:pPr>
        <w:ind w:left="626" w:right="240" w:hanging="626"/>
        <w:spacing w:after="0" w:line="258" w:lineRule="auto"/>
        <w:tabs>
          <w:tab w:leader="none" w:pos="62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or results of operation of which are or are required under GAAP to be consolidated for the purposes of the consolidated financial statements of the first mentioned company, corporation or entity (including any VIE Entity that is the subject of any VIE Contract),</w:t>
      </w:r>
    </w:p>
    <w:p>
      <w:pPr>
        <w:spacing w:after="0" w:line="73" w:lineRule="exact"/>
        <w:rPr>
          <w:sz w:val="20"/>
          <w:szCs w:val="20"/>
          <w:color w:val="auto"/>
        </w:rPr>
      </w:pPr>
    </w:p>
    <w:p>
      <w:pPr>
        <w:ind w:left="6"/>
        <w:spacing w:after="0" w:line="273" w:lineRule="auto"/>
        <w:rPr>
          <w:sz w:val="20"/>
          <w:szCs w:val="20"/>
          <w:color w:val="auto"/>
        </w:rPr>
      </w:pPr>
      <w:r>
        <w:rPr>
          <w:rFonts w:ascii="Times New Roman" w:cs="Times New Roman" w:eastAsia="Times New Roman" w:hAnsi="Times New Roman"/>
          <w:sz w:val="17"/>
          <w:szCs w:val="17"/>
          <w:color w:val="auto"/>
        </w:rPr>
        <w:t>and for this purpose, a company, corporation or entity shall be treated as being controlled by another if that other company, corporation or entity is able to direct its affairs and/or to control the majority of the composition of its board of directors or equivalent body, provided however that paragraphs (a), (b) and (d) above shall not apply in respect of the Target being either a Subsidiary of the Borrower or a Group Member and the Target shall only be a Subsidiary of the Borrower and a Group Member as a result of the shareholding of the Borrower in the Target if either:</w:t>
      </w:r>
    </w:p>
    <w:p>
      <w:pPr>
        <w:spacing w:after="0" w:line="76" w:lineRule="exact"/>
        <w:rPr>
          <w:sz w:val="20"/>
          <w:szCs w:val="20"/>
          <w:color w:val="auto"/>
        </w:rPr>
      </w:pPr>
    </w:p>
    <w:p>
      <w:pPr>
        <w:ind w:left="1286" w:right="360" w:hanging="639"/>
        <w:spacing w:after="0" w:line="270" w:lineRule="auto"/>
        <w:tabs>
          <w:tab w:leader="none" w:pos="1286"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acquires greater than fifty per cent. (50%) of the shares of the Target and the Target has been converted into a German limited liability company (</w:t>
      </w:r>
      <w:r>
        <w:rPr>
          <w:rFonts w:ascii="Times New Roman" w:cs="Times New Roman" w:eastAsia="Times New Roman" w:hAnsi="Times New Roman"/>
          <w:sz w:val="18"/>
          <w:szCs w:val="18"/>
          <w:i w:val="1"/>
          <w:iCs w:val="1"/>
          <w:color w:val="auto"/>
        </w:rPr>
        <w:t>GmbH</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286" w:hanging="639"/>
        <w:spacing w:after="0" w:line="270" w:lineRule="auto"/>
        <w:tabs>
          <w:tab w:leader="none" w:pos="1286"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acquires greater than seventy five per cent. (75%) of the shares of the Target and a domination agreement pursuant to section 291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has been implemented.</w:t>
      </w:r>
    </w:p>
    <w:p>
      <w:pPr>
        <w:spacing w:after="0" w:line="10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326"/>
          </w:cols>
          <w:pgMar w:left="974" w:top="266" w:right="599" w:bottom="1440" w:gutter="0" w:footer="0" w:header="0"/>
        </w:sectPr>
      </w:pPr>
    </w:p>
    <w:bookmarkStart w:id="538" w:name="page539"/>
    <w:bookmarkEnd w:id="538"/>
    <w:p>
      <w:pPr>
        <w:ind w:left="6" w:right="3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Super Majority Lenders </w:t>
      </w:r>
      <w:r>
        <w:rPr>
          <w:rFonts w:ascii="Times New Roman" w:cs="Times New Roman" w:eastAsia="Times New Roman" w:hAnsi="Times New Roman"/>
          <w:sz w:val="18"/>
          <w:szCs w:val="18"/>
          <w:color w:val="auto"/>
        </w:rPr>
        <w:t>means a Lender or Lenders whose Commitments aggregate 80% or more of the Total Commitments (or, if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have been reduced to zero, aggregated 80% or more of the Total Commitments immediately prior to the reduction of the Total Commitments to zero).</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w:t>
      </w:r>
      <w:r>
        <w:rPr>
          <w:rFonts w:ascii="Times New Roman" w:cs="Times New Roman" w:eastAsia="Times New Roman" w:hAnsi="Times New Roman"/>
          <w:sz w:val="18"/>
          <w:szCs w:val="18"/>
          <w:color w:val="auto"/>
        </w:rPr>
        <w:t>means the primary syndication of the Facility as contemplated in the Syndication and Fee Letter.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Agreement </w:t>
      </w:r>
      <w:r>
        <w:rPr>
          <w:rFonts w:ascii="Times New Roman" w:cs="Times New Roman" w:eastAsia="Times New Roman" w:hAnsi="Times New Roman"/>
          <w:sz w:val="18"/>
          <w:szCs w:val="18"/>
          <w:color w:val="auto"/>
        </w:rPr>
        <w:t>has the meaning given to it in Clause 23.4 (Master assignment or transfer).</w:t>
      </w:r>
    </w:p>
    <w:p>
      <w:pPr>
        <w:spacing w:after="0" w:line="110" w:lineRule="exact"/>
        <w:rPr>
          <w:sz w:val="20"/>
          <w:szCs w:val="20"/>
          <w:color w:val="auto"/>
        </w:rPr>
      </w:pPr>
    </w:p>
    <w:p>
      <w:pPr>
        <w:ind w:left="6" w:right="6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Syndication and Fee Letter </w:t>
      </w:r>
      <w:r>
        <w:rPr>
          <w:rFonts w:ascii="Times New Roman" w:cs="Times New Roman" w:eastAsia="Times New Roman" w:hAnsi="Times New Roman"/>
          <w:sz w:val="18"/>
          <w:szCs w:val="18"/>
          <w:color w:val="auto"/>
        </w:rPr>
        <w:t>means the syndication and fee letter dated on or about the date of this Agreement between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MLABUs and the Agent in respect of this Agreement.</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Date </w:t>
      </w:r>
      <w:r>
        <w:rPr>
          <w:rFonts w:ascii="Times New Roman" w:cs="Times New Roman" w:eastAsia="Times New Roman" w:hAnsi="Times New Roman"/>
          <w:sz w:val="18"/>
          <w:szCs w:val="18"/>
          <w:color w:val="auto"/>
        </w:rPr>
        <w:t>means the last day of the Syndication Period (as defined in the Syndication and Fee Letter).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T2 </w:t>
      </w:r>
      <w:r>
        <w:rPr>
          <w:rFonts w:ascii="Times New Roman" w:cs="Times New Roman" w:eastAsia="Times New Roman" w:hAnsi="Times New Roman"/>
          <w:sz w:val="18"/>
          <w:szCs w:val="18"/>
          <w:color w:val="auto"/>
        </w:rPr>
        <w:t>means the real time gross settlement system operated by the Eurosystem, or any successor system.</w:t>
      </w:r>
    </w:p>
    <w:p>
      <w:pPr>
        <w:spacing w:after="0" w:line="110"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w:t>
      </w:r>
      <w:r>
        <w:rPr>
          <w:rFonts w:ascii="Times New Roman" w:cs="Times New Roman" w:eastAsia="Times New Roman" w:hAnsi="Times New Roman"/>
          <w:sz w:val="18"/>
          <w:szCs w:val="18"/>
          <w:color w:val="auto"/>
        </w:rPr>
        <w:t>means CECONOMY Aktiengesellschaft,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Germany, registered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Düsseldorf under registration number HRB 39473 and, as at the date of this Agreement, listed on the Frankfurt Stock Exchange (</w:t>
      </w:r>
      <w:r>
        <w:rPr>
          <w:rFonts w:ascii="Times New Roman" w:cs="Times New Roman" w:eastAsia="Times New Roman" w:hAnsi="Times New Roman"/>
          <w:sz w:val="18"/>
          <w:szCs w:val="18"/>
          <w:i w:val="1"/>
          <w:iCs w:val="1"/>
          <w:color w:val="auto"/>
        </w:rPr>
        <w:t>Börse Frankfurt</w:t>
      </w:r>
      <w:r>
        <w:rPr>
          <w:rFonts w:ascii="Times New Roman" w:cs="Times New Roman" w:eastAsia="Times New Roman" w:hAnsi="Times New Roman"/>
          <w:sz w:val="18"/>
          <w:szCs w:val="18"/>
          <w:color w:val="auto"/>
        </w:rPr>
        <w:t>) (725750 / DE0007257503).</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Day </w:t>
      </w:r>
      <w:r>
        <w:rPr>
          <w:rFonts w:ascii="Times New Roman" w:cs="Times New Roman" w:eastAsia="Times New Roman" w:hAnsi="Times New Roman"/>
          <w:sz w:val="18"/>
          <w:szCs w:val="18"/>
          <w:color w:val="auto"/>
        </w:rPr>
        <w:t>means any day on which T2 is open for the settlement of payments in Euro.</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Group </w:t>
      </w:r>
      <w:r>
        <w:rPr>
          <w:rFonts w:ascii="Times New Roman" w:cs="Times New Roman" w:eastAsia="Times New Roman" w:hAnsi="Times New Roman"/>
          <w:sz w:val="18"/>
          <w:szCs w:val="18"/>
          <w:color w:val="auto"/>
        </w:rPr>
        <w:t>means the Target and its Subsidiaries from time to time.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Group Member </w:t>
      </w:r>
      <w:r>
        <w:rPr>
          <w:rFonts w:ascii="Times New Roman" w:cs="Times New Roman" w:eastAsia="Times New Roman" w:hAnsi="Times New Roman"/>
          <w:sz w:val="18"/>
          <w:szCs w:val="18"/>
          <w:color w:val="auto"/>
        </w:rPr>
        <w:t>means any member of the Target Group.</w:t>
      </w:r>
    </w:p>
    <w:p>
      <w:pPr>
        <w:spacing w:after="0" w:line="110" w:lineRule="exact"/>
        <w:rPr>
          <w:sz w:val="20"/>
          <w:szCs w:val="20"/>
          <w:color w:val="auto"/>
        </w:rPr>
      </w:pPr>
    </w:p>
    <w:p>
      <w:pPr>
        <w:ind w:left="6" w:right="1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means any tax, levy, impost, duty or other charge or withholding of a similar nature (including any penalty or interest payable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failure to pay or any delay in paying any of the same).</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Tax Deduction </w:t>
      </w:r>
      <w:r>
        <w:rPr>
          <w:rFonts w:ascii="Times New Roman" w:cs="Times New Roman" w:eastAsia="Times New Roman" w:hAnsi="Times New Roman"/>
          <w:sz w:val="18"/>
          <w:szCs w:val="18"/>
          <w:color w:val="auto"/>
        </w:rPr>
        <w:t>has the meaning given to such term in paragraph (a) of Clause 12.1 (Definitions).</w:t>
      </w:r>
    </w:p>
    <w:p>
      <w:pPr>
        <w:spacing w:after="0" w:line="110" w:lineRule="exact"/>
        <w:rPr>
          <w:sz w:val="20"/>
          <w:szCs w:val="20"/>
          <w:color w:val="auto"/>
        </w:rPr>
      </w:pPr>
    </w:p>
    <w:p>
      <w:pPr>
        <w:ind w:left="6"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Total Book Equity </w:t>
      </w:r>
      <w:r>
        <w:rPr>
          <w:rFonts w:ascii="Times New Roman" w:cs="Times New Roman" w:eastAsia="Times New Roman" w:hAnsi="Times New Roman"/>
          <w:sz w:val="18"/>
          <w:szCs w:val="18"/>
          <w:color w:val="auto"/>
        </w:rPr>
        <w:t>means, at any time, the amount specified on the consolidated balance sheet of the Guarantor as “Total shareholders’ equity”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consolidated financial statements of the Guarantor then most recently delivered pursuant to Clause 19.1 (Financial statements) (or, if no such consolidated statements of the Guarantor have been so delivered as at such time, the Original Financial Statements).</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Total Commitments </w:t>
      </w:r>
      <w:r>
        <w:rPr>
          <w:rFonts w:ascii="Times New Roman" w:cs="Times New Roman" w:eastAsia="Times New Roman" w:hAnsi="Times New Roman"/>
          <w:sz w:val="18"/>
          <w:szCs w:val="18"/>
          <w:color w:val="auto"/>
        </w:rPr>
        <w:t>means the aggregate of the Commitments, being EUR1,232,000,000 at the date of this Agreement.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Transaction Documents </w:t>
      </w:r>
      <w:r>
        <w:rPr>
          <w:rFonts w:ascii="Times New Roman" w:cs="Times New Roman" w:eastAsia="Times New Roman" w:hAnsi="Times New Roman"/>
          <w:sz w:val="18"/>
          <w:szCs w:val="18"/>
          <w:color w:val="auto"/>
        </w:rPr>
        <w:t>means:</w:t>
      </w:r>
    </w:p>
    <w:p>
      <w:pPr>
        <w:spacing w:after="0" w:line="125" w:lineRule="exact"/>
        <w:rPr>
          <w:sz w:val="20"/>
          <w:szCs w:val="20"/>
          <w:color w:val="auto"/>
        </w:rPr>
      </w:pPr>
    </w:p>
    <w:p>
      <w:pPr>
        <w:ind w:left="626" w:hanging="626"/>
        <w:spacing w:after="0"/>
        <w:tabs>
          <w:tab w:leader="none" w:pos="62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Documents; and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 (as defined in the Facility Agreement (Facility B)).</w:t>
      </w:r>
    </w:p>
    <w:p>
      <w:pPr>
        <w:spacing w:after="0" w:line="108" w:lineRule="exact"/>
        <w:rPr>
          <w:sz w:val="20"/>
          <w:szCs w:val="20"/>
          <w:color w:val="auto"/>
        </w:rPr>
      </w:pPr>
    </w:p>
    <w:p>
      <w:pPr>
        <w:ind w:left="6" w:right="2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Transfer Certificate </w:t>
      </w:r>
      <w:r>
        <w:rPr>
          <w:rFonts w:ascii="Times New Roman" w:cs="Times New Roman" w:eastAsia="Times New Roman" w:hAnsi="Times New Roman"/>
          <w:sz w:val="18"/>
          <w:szCs w:val="18"/>
          <w:color w:val="auto"/>
        </w:rPr>
        <w:t>means a certificate substantially in the form set out in Schedule 4 (Form of Transfer Certificate) or any other form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Agent and the Borrower.</w:t>
      </w:r>
    </w:p>
    <w:p>
      <w:pPr>
        <w:spacing w:after="0" w:line="58" w:lineRule="exact"/>
        <w:rPr>
          <w:sz w:val="20"/>
          <w:szCs w:val="20"/>
          <w:color w:val="auto"/>
        </w:rPr>
      </w:pPr>
    </w:p>
    <w:p>
      <w:pPr>
        <w:ind w:left="6" w:right="1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Transfer Date </w:t>
      </w:r>
      <w:r>
        <w:rPr>
          <w:rFonts w:ascii="Times New Roman" w:cs="Times New Roman" w:eastAsia="Times New Roman" w:hAnsi="Times New Roman"/>
          <w:sz w:val="18"/>
          <w:szCs w:val="18"/>
          <w:color w:val="auto"/>
        </w:rPr>
        <w:t>means, in relation to an assignment by a Lender of any or all of its rights under this Agreement or a transfer by a Lender of 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its rights and obligations under this Agreement, the later of:</w:t>
      </w:r>
    </w:p>
    <w:p>
      <w:pPr>
        <w:spacing w:after="0" w:line="73" w:lineRule="exact"/>
        <w:rPr>
          <w:sz w:val="20"/>
          <w:szCs w:val="20"/>
          <w:color w:val="auto"/>
        </w:rPr>
      </w:pPr>
    </w:p>
    <w:p>
      <w:pPr>
        <w:ind w:left="626" w:right="440" w:hanging="626"/>
        <w:spacing w:after="0" w:line="270" w:lineRule="auto"/>
        <w:tabs>
          <w:tab w:leader="none" w:pos="62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Assignment Agreement relating to such assignment or (as the case may be) the Transfer Certificate relating to such transfer; and</w:t>
      </w:r>
    </w:p>
    <w:p>
      <w:pPr>
        <w:spacing w:after="0" w:line="76" w:lineRule="exact"/>
        <w:rPr>
          <w:rFonts w:ascii="Times New Roman" w:cs="Times New Roman" w:eastAsia="Times New Roman" w:hAnsi="Times New Roman"/>
          <w:sz w:val="18"/>
          <w:szCs w:val="18"/>
          <w:color w:val="auto"/>
        </w:rPr>
      </w:pPr>
    </w:p>
    <w:p>
      <w:pPr>
        <w:ind w:left="626" w:right="580" w:hanging="626"/>
        <w:spacing w:after="0" w:line="270" w:lineRule="auto"/>
        <w:tabs>
          <w:tab w:leader="none" w:pos="62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Assignment Agreement relating to such assignment or (as the case may be) the Transfer Certificate relating to such transfer.</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Unpaid Sum </w:t>
      </w:r>
      <w:r>
        <w:rPr>
          <w:rFonts w:ascii="Times New Roman" w:cs="Times New Roman" w:eastAsia="Times New Roman" w:hAnsi="Times New Roman"/>
          <w:sz w:val="18"/>
          <w:szCs w:val="18"/>
          <w:color w:val="auto"/>
        </w:rPr>
        <w:t>means any sum due and payable but unpaid by an Obligor under any or all of the Finance Documents.</w:t>
      </w:r>
    </w:p>
    <w:p>
      <w:pPr>
        <w:spacing w:after="0" w:line="110" w:lineRule="exact"/>
        <w:rPr>
          <w:sz w:val="20"/>
          <w:szCs w:val="20"/>
          <w:color w:val="auto"/>
        </w:rPr>
      </w:pPr>
    </w:p>
    <w:p>
      <w:pPr>
        <w:ind w:left="6" w:right="500"/>
        <w:spacing w:after="0" w:line="273" w:lineRule="auto"/>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United States </w:t>
      </w:r>
      <w:r>
        <w:rPr>
          <w:rFonts w:ascii="Times New Roman" w:cs="Times New Roman" w:eastAsia="Times New Roman" w:hAnsi="Times New Roman"/>
          <w:sz w:val="18"/>
          <w:szCs w:val="18"/>
          <w:color w:val="auto"/>
        </w:rPr>
        <w:t>means the United States of America, its territories, possessions and other areas subject to the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w:t>
      </w:r>
    </w:p>
    <w:p>
      <w:pPr>
        <w:spacing w:after="0" w:line="58" w:lineRule="exact"/>
        <w:rPr>
          <w:sz w:val="20"/>
          <w:szCs w:val="20"/>
          <w:color w:val="auto"/>
        </w:rPr>
      </w:pPr>
    </w:p>
    <w:p>
      <w:pPr>
        <w:ind w:left="6" w:right="1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2001, Public Law 107-56.</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US Bankruptcy Code </w:t>
      </w:r>
      <w:r>
        <w:rPr>
          <w:rFonts w:ascii="Times New Roman" w:cs="Times New Roman" w:eastAsia="Times New Roman" w:hAnsi="Times New Roman"/>
          <w:sz w:val="18"/>
          <w:szCs w:val="18"/>
          <w:color w:val="auto"/>
        </w:rPr>
        <w:t>means Title 11 of the United States Code, 11 USC. 101 et seq., entitled “Bankruptcy”.</w:t>
      </w:r>
    </w:p>
    <w:p>
      <w:pPr>
        <w:spacing w:after="0" w:line="152"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346"/>
          </w:cols>
          <w:pgMar w:left="974" w:top="264" w:right="579" w:bottom="1440" w:gutter="0" w:footer="0" w:header="0"/>
        </w:sectPr>
      </w:pPr>
    </w:p>
    <w:bookmarkStart w:id="539" w:name="page540"/>
    <w:bookmarkEnd w:id="539"/>
    <w:p>
      <w:pPr>
        <w:ind w:left="43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US Tax Obligor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resident for tax purposes in the US; or</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some or all of whose payments under the Finance Documents are from sources within the US for United States federal income tax purposes.</w:t>
      </w:r>
    </w:p>
    <w:p>
      <w:pPr>
        <w:spacing w:after="0" w:line="6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w:t>
      </w:r>
      <w:r>
        <w:rPr>
          <w:rFonts w:ascii="Times New Roman" w:cs="Times New Roman" w:eastAsia="Times New Roman" w:hAnsi="Times New Roman"/>
          <w:sz w:val="18"/>
          <w:szCs w:val="18"/>
          <w:color w:val="auto"/>
        </w:rPr>
        <w:t>means a utilisation of the Facility.</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Date </w:t>
      </w:r>
      <w:r>
        <w:rPr>
          <w:rFonts w:ascii="Times New Roman" w:cs="Times New Roman" w:eastAsia="Times New Roman" w:hAnsi="Times New Roman"/>
          <w:sz w:val="18"/>
          <w:szCs w:val="18"/>
          <w:color w:val="auto"/>
        </w:rPr>
        <w:t>means the date of a Utilisation, being the date on which the Loan (the subject of such Utilisation) is made or to be made.</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Request </w:t>
      </w:r>
      <w:r>
        <w:rPr>
          <w:rFonts w:ascii="Times New Roman" w:cs="Times New Roman" w:eastAsia="Times New Roman" w:hAnsi="Times New Roman"/>
          <w:sz w:val="18"/>
          <w:szCs w:val="18"/>
          <w:color w:val="auto"/>
        </w:rPr>
        <w:t>means a notice substantially in the form set out in Part 1 (Form of Utilisation Request) of Schedule 3 (Requests).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VAT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United Kingdom Value Added Tax Act 1994;</w:t>
      </w:r>
    </w:p>
    <w:p>
      <w:pPr>
        <w:spacing w:after="0" w:line="123" w:lineRule="exact"/>
        <w:rPr>
          <w:rFonts w:ascii="Times New Roman" w:cs="Times New Roman" w:eastAsia="Times New Roman" w:hAnsi="Times New Roman"/>
          <w:sz w:val="18"/>
          <w:szCs w:val="18"/>
          <w:color w:val="auto"/>
        </w:rPr>
      </w:pPr>
    </w:p>
    <w:p>
      <w:pPr>
        <w:ind w:left="1050" w:right="680" w:hanging="626"/>
        <w:spacing w:after="0" w:line="270" w:lineRule="auto"/>
        <w:tabs>
          <w:tab w:leader="none" w:pos="105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76"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a member state of the European Union in substitution for, or levied in addition to, such tax referred to in paragraphs (a) of (b) above, or imposed elsewhere.</w:t>
      </w:r>
    </w:p>
    <w:p>
      <w:pPr>
        <w:spacing w:after="0" w:line="61" w:lineRule="exact"/>
        <w:rPr>
          <w:sz w:val="20"/>
          <w:szCs w:val="20"/>
          <w:color w:val="auto"/>
        </w:rPr>
      </w:pPr>
    </w:p>
    <w:p>
      <w:pPr>
        <w:ind w:left="43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VIE Contract </w:t>
      </w:r>
      <w:r>
        <w:rPr>
          <w:rFonts w:ascii="Times New Roman" w:cs="Times New Roman" w:eastAsia="Times New Roman" w:hAnsi="Times New Roman"/>
          <w:sz w:val="18"/>
          <w:szCs w:val="18"/>
          <w:color w:val="auto"/>
        </w:rPr>
        <w:t>means any agreement, instrument or arrangement that constitutes, or forms part of, any contractual arrangements enabling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 to exercise Control over a person (in respect of whom the Guarantor does not beneficially own, directly or indirectly, more than half of its Equity Interests) (a </w:t>
      </w:r>
      <w:r>
        <w:rPr>
          <w:rFonts w:ascii="Times New Roman" w:cs="Times New Roman" w:eastAsia="Times New Roman" w:hAnsi="Times New Roman"/>
          <w:sz w:val="18"/>
          <w:szCs w:val="18"/>
          <w:b w:val="1"/>
          <w:bCs w:val="1"/>
          <w:color w:val="auto"/>
        </w:rPr>
        <w:t>VIE Entity</w:t>
      </w:r>
      <w:r>
        <w:rPr>
          <w:rFonts w:ascii="Times New Roman" w:cs="Times New Roman" w:eastAsia="Times New Roman" w:hAnsi="Times New Roman"/>
          <w:sz w:val="18"/>
          <w:szCs w:val="18"/>
          <w:color w:val="auto"/>
        </w:rPr>
        <w:t>) or consolidate the financial condition or results of operation of any VIE Entity for the purposes of the consolidated financial statements of the Group or any Group Member, including any loan agreement between any Group Member and any VIE Entity or any holder of any Equity Interest in any VIE Entity, any pledge agreement relating to any Equity Interest in any VIE Entity and any proxy relating to any Equity Interest in any VIE Entity.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relation to any person, the possession, directly or indirectly, of the power to direct or cause the direction of the management, policies or affairs of such person, whether through the ownership of voting securities, by contract or otherwise.</w:t>
      </w:r>
    </w:p>
    <w:p>
      <w:pPr>
        <w:spacing w:after="0" w:line="8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VIE Entity </w:t>
      </w:r>
      <w:r>
        <w:rPr>
          <w:rFonts w:ascii="Times New Roman" w:cs="Times New Roman" w:eastAsia="Times New Roman" w:hAnsi="Times New Roman"/>
          <w:sz w:val="18"/>
          <w:szCs w:val="18"/>
          <w:color w:val="auto"/>
        </w:rPr>
        <w:t>has the meaning in the definition of “VIE Contract”.</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26" w:lineRule="exact"/>
        <w:rPr>
          <w:sz w:val="20"/>
          <w:szCs w:val="20"/>
          <w:color w:val="auto"/>
        </w:rPr>
      </w:pPr>
    </w:p>
    <w:p>
      <w:pPr>
        <w:ind w:left="430" w:hanging="430"/>
        <w:spacing w:after="0"/>
        <w:tabs>
          <w:tab w:leader="none" w:pos="43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121" w:lineRule="exact"/>
        <w:rPr>
          <w:rFonts w:ascii="Times New Roman" w:cs="Times New Roman" w:eastAsia="Times New Roman" w:hAnsi="Times New Roman"/>
          <w:sz w:val="18"/>
          <w:szCs w:val="18"/>
          <w:color w:val="auto"/>
        </w:rPr>
      </w:pPr>
    </w:p>
    <w:p>
      <w:pPr>
        <w:ind w:left="1050" w:right="200" w:hanging="626"/>
        <w:spacing w:after="0" w:line="273"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MLABU</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Administrative Party</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shall be construed so as to include its successors in title, permitted assigns and permitted transferees;</w:t>
      </w:r>
    </w:p>
    <w:p>
      <w:pPr>
        <w:spacing w:after="0" w:line="71" w:lineRule="exact"/>
        <w:rPr>
          <w:rFonts w:ascii="Times New Roman" w:cs="Times New Roman" w:eastAsia="Times New Roman" w:hAnsi="Times New Roman"/>
          <w:sz w:val="18"/>
          <w:szCs w:val="18"/>
          <w:color w:val="auto"/>
        </w:rPr>
      </w:pPr>
    </w:p>
    <w:p>
      <w:pPr>
        <w:ind w:left="1050" w:right="120" w:hanging="626"/>
        <w:spacing w:after="0" w:line="273"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xml:space="preserve"> or any other agreement or instrument is a reference to that Finance Document or other agreement or instrument as amended, novated, supplemented, extended and/or restated from time to time;</w:t>
      </w:r>
    </w:p>
    <w:p>
      <w:pPr>
        <w:spacing w:after="0" w:line="71"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xml:space="preserve"> is a document which is in the form agreed in writing by or on behalf of the Borrower and the Agent;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 </w:t>
      </w:r>
      <w:r>
        <w:rPr>
          <w:rFonts w:ascii="Times New Roman" w:cs="Times New Roman" w:eastAsia="Times New Roman" w:hAnsi="Times New Roman"/>
          <w:sz w:val="18"/>
          <w:szCs w:val="18"/>
          <w:color w:val="auto"/>
        </w:rPr>
        <w:t>includes present and future properties, revenues and rights of every description;</w:t>
      </w:r>
    </w:p>
    <w:p>
      <w:pPr>
        <w:spacing w:after="0" w:line="123" w:lineRule="exact"/>
        <w:rPr>
          <w:rFonts w:ascii="Times New Roman" w:cs="Times New Roman" w:eastAsia="Times New Roman" w:hAnsi="Times New Roman"/>
          <w:sz w:val="18"/>
          <w:szCs w:val="18"/>
          <w:color w:val="auto"/>
        </w:rPr>
      </w:pPr>
    </w:p>
    <w:p>
      <w:pPr>
        <w:ind w:left="1050" w:right="160" w:hanging="626"/>
        <w:spacing w:after="0" w:line="259"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disposal </w:t>
      </w:r>
      <w:r>
        <w:rPr>
          <w:rFonts w:ascii="Times New Roman" w:cs="Times New Roman" w:eastAsia="Times New Roman" w:hAnsi="Times New Roman"/>
          <w:sz w:val="18"/>
          <w:szCs w:val="18"/>
          <w:color w:val="auto"/>
        </w:rPr>
        <w:t>includes any sale, lease, transfer, conveyance, assignment and other disposal of any asset or any interest therein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or arrangement pursuant to which the economic benefit of or beneficial interest in such asset is lost or diluted) and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be construed accordingly;</w:t>
      </w:r>
    </w:p>
    <w:p>
      <w:pPr>
        <w:spacing w:after="0" w:line="83" w:lineRule="exact"/>
        <w:rPr>
          <w:rFonts w:ascii="Times New Roman" w:cs="Times New Roman" w:eastAsia="Times New Roman" w:hAnsi="Times New Roman"/>
          <w:sz w:val="18"/>
          <w:szCs w:val="18"/>
          <w:color w:val="auto"/>
        </w:rPr>
      </w:pPr>
    </w:p>
    <w:p>
      <w:pPr>
        <w:ind w:left="1050" w:right="80" w:hanging="626"/>
        <w:spacing w:after="0" w:line="254"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includes any guarantee, letter of credit, bond, indemnity or similar assurance against loss, or any obligation,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be construed accordingly);</w:t>
      </w:r>
    </w:p>
    <w:p>
      <w:pPr>
        <w:spacing w:after="0" w:line="88" w:lineRule="exact"/>
        <w:rPr>
          <w:rFonts w:ascii="Times New Roman" w:cs="Times New Roman" w:eastAsia="Times New Roman" w:hAnsi="Times New Roman"/>
          <w:sz w:val="18"/>
          <w:szCs w:val="18"/>
          <w:color w:val="auto"/>
        </w:rPr>
      </w:pPr>
    </w:p>
    <w:p>
      <w:pPr>
        <w:ind w:left="1050" w:right="680" w:hanging="626"/>
        <w:spacing w:after="0" w:line="273"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shall be construed as “including without limitation” (other than when used in references to time periods) (and cognate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expressions shall be construed similarly);</w:t>
      </w:r>
    </w:p>
    <w:p>
      <w:pPr>
        <w:spacing w:after="0" w:line="71" w:lineRule="exact"/>
        <w:rPr>
          <w:rFonts w:ascii="Times New Roman" w:cs="Times New Roman" w:eastAsia="Times New Roman" w:hAnsi="Times New Roman"/>
          <w:sz w:val="18"/>
          <w:szCs w:val="18"/>
          <w:color w:val="auto"/>
        </w:rPr>
      </w:pPr>
    </w:p>
    <w:p>
      <w:pPr>
        <w:ind w:left="1050" w:right="500" w:hanging="626"/>
        <w:spacing w:after="0" w:line="273" w:lineRule="auto"/>
        <w:tabs>
          <w:tab w:leader="none" w:pos="105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includes any obligation (whether incurred as principal or as surety) for the payment or repayment of money,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or future, actual or contingent;</w:t>
      </w:r>
    </w:p>
    <w:p>
      <w:pPr>
        <w:spacing w:after="0" w:line="1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90"/>
          </w:cols>
          <w:pgMar w:left="550" w:top="264" w:right="559" w:bottom="1440" w:gutter="0" w:footer="0" w:header="0"/>
        </w:sectPr>
      </w:pPr>
    </w:p>
    <w:bookmarkStart w:id="540" w:name="page541"/>
    <w:bookmarkEnd w:id="540"/>
    <w:p>
      <w:pPr>
        <w:ind w:left="1050" w:right="80" w:hanging="626"/>
        <w:spacing w:after="0" w:line="254" w:lineRule="auto"/>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a Finance Party’s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xml:space="preserve"> in any Loan or Unpaid Sum includes an amount (in the currency of such Loan or Unpaid Sum) representing the fraction or portion (attributable to such Finance Party by virtue of the provisions of this Agreement) of the total amount of such Loan or Unpaid Sum and such Finance Party’s rights under this Agreement and/or any other Finance Document in respect thereof;</w:t>
      </w:r>
    </w:p>
    <w:p>
      <w:pPr>
        <w:spacing w:after="0" w:line="88" w:lineRule="exact"/>
        <w:rPr>
          <w:rFonts w:ascii="Times New Roman" w:cs="Times New Roman" w:eastAsia="Times New Roman" w:hAnsi="Times New Roman"/>
          <w:sz w:val="18"/>
          <w:szCs w:val="18"/>
          <w:color w:val="auto"/>
        </w:rPr>
      </w:pPr>
    </w:p>
    <w:p>
      <w:pPr>
        <w:ind w:left="1050" w:right="60" w:hanging="626"/>
        <w:spacing w:after="0" w:line="259" w:lineRule="auto"/>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any individual, firm, limited liability company or other company, corporation, vessel, government, government authority, state or agency of a state or any association, trust, joint venture, consortium, partnership or other entity (whether or not having separate legal personality);</w:t>
      </w:r>
    </w:p>
    <w:p>
      <w:pPr>
        <w:spacing w:after="0" w:line="83" w:lineRule="exact"/>
        <w:rPr>
          <w:rFonts w:ascii="Times New Roman" w:cs="Times New Roman" w:eastAsia="Times New Roman" w:hAnsi="Times New Roman"/>
          <w:sz w:val="18"/>
          <w:szCs w:val="18"/>
          <w:color w:val="auto"/>
        </w:rPr>
      </w:pPr>
    </w:p>
    <w:p>
      <w:pPr>
        <w:ind w:left="1050" w:right="140" w:hanging="626"/>
        <w:spacing w:after="0" w:line="259" w:lineRule="auto"/>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xml:space="preserve"> includes any regulation, rule, official directive, request or guideline (whether or not having the force of law but, if not having the force of law, which is generally complied with by those to whom it is addressed) of any governmental, intergovernmental or supranational body, agency, department or regulatory, self-regulatory or other authority or organisation;</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gender shall be construed to include a reference to each other gender;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121" w:lineRule="exact"/>
        <w:rPr>
          <w:rFonts w:ascii="Times New Roman" w:cs="Times New Roman" w:eastAsia="Times New Roman" w:hAnsi="Times New Roman"/>
          <w:sz w:val="18"/>
          <w:szCs w:val="18"/>
          <w:color w:val="auto"/>
        </w:rPr>
      </w:pPr>
    </w:p>
    <w:p>
      <w:pPr>
        <w:ind w:left="1050" w:right="80" w:hanging="626"/>
        <w:spacing w:after="0" w:line="259" w:lineRule="auto"/>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includes any statutory legal representative(s) (</w:t>
      </w:r>
      <w:r>
        <w:rPr>
          <w:rFonts w:ascii="Times New Roman" w:cs="Times New Roman" w:eastAsia="Times New Roman" w:hAnsi="Times New Roman"/>
          <w:sz w:val="18"/>
          <w:szCs w:val="18"/>
          <w:i w:val="1"/>
          <w:iCs w:val="1"/>
          <w:color w:val="auto"/>
        </w:rPr>
        <w:t>organschaftlicher Vertreter</w:t>
      </w:r>
      <w:r>
        <w:rPr>
          <w:rFonts w:ascii="Times New Roman" w:cs="Times New Roman" w:eastAsia="Times New Roman" w:hAnsi="Times New Roman"/>
          <w:sz w:val="18"/>
          <w:szCs w:val="18"/>
          <w:color w:val="auto"/>
        </w:rPr>
        <w:t>) of a person pursuant to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including but not limited to, in relation to a person incorporated or established in Germany, a managing director (</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or member of the board of directors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123"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7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(including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xml:space="preserve"> if it has not been remedied or waived.</w:t>
      </w:r>
    </w:p>
    <w:p>
      <w:pPr>
        <w:spacing w:after="0" w:line="123" w:lineRule="exact"/>
        <w:rPr>
          <w:rFonts w:ascii="Times New Roman" w:cs="Times New Roman" w:eastAsia="Times New Roman" w:hAnsi="Times New Roman"/>
          <w:sz w:val="18"/>
          <w:szCs w:val="18"/>
          <w:color w:val="auto"/>
        </w:rPr>
      </w:pPr>
    </w:p>
    <w:p>
      <w:pPr>
        <w:ind w:left="430" w:right="60" w:hanging="430"/>
        <w:spacing w:after="0" w:line="254" w:lineRule="auto"/>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equivalent</w:t>
      </w:r>
      <w:r>
        <w:rPr>
          <w:rFonts w:ascii="Times New Roman" w:cs="Times New Roman" w:eastAsia="Times New Roman" w:hAnsi="Times New Roman"/>
          <w:sz w:val="18"/>
          <w:szCs w:val="18"/>
          <w:color w:val="auto"/>
        </w:rPr>
        <w:t xml:space="preserve"> of an amount in a given currency (the </w:t>
      </w:r>
      <w:r>
        <w:rPr>
          <w:rFonts w:ascii="Times New Roman" w:cs="Times New Roman" w:eastAsia="Times New Roman" w:hAnsi="Times New Roman"/>
          <w:sz w:val="18"/>
          <w:szCs w:val="18"/>
          <w:b w:val="1"/>
          <w:bCs w:val="1"/>
          <w:color w:val="auto"/>
        </w:rPr>
        <w:t>specified currency</w:t>
      </w:r>
      <w:r>
        <w:rPr>
          <w:rFonts w:ascii="Times New Roman" w:cs="Times New Roman" w:eastAsia="Times New Roman" w:hAnsi="Times New Roman"/>
          <w:sz w:val="18"/>
          <w:szCs w:val="18"/>
          <w:color w:val="auto"/>
        </w:rPr>
        <w:t>) is a reference to the amount of any other currency which, when converted into the specified currency utilising the Agent’s spot rate of exchange (or, if no such spot rate of exchange is quoted by the Agent, such other prevailing market rate of exchange selected by the Agent) for the purchase of the specified currency with that other currency at or about 11am on the applicable date of determination, is equal to the applicable amount in the specified currency.</w:t>
      </w:r>
    </w:p>
    <w:p>
      <w:pPr>
        <w:spacing w:after="0" w:line="88" w:lineRule="exact"/>
        <w:rPr>
          <w:rFonts w:ascii="Times New Roman" w:cs="Times New Roman" w:eastAsia="Times New Roman" w:hAnsi="Times New Roman"/>
          <w:sz w:val="18"/>
          <w:szCs w:val="18"/>
          <w:color w:val="auto"/>
        </w:rPr>
      </w:pPr>
    </w:p>
    <w:p>
      <w:pPr>
        <w:ind w:left="430" w:right="400" w:hanging="430"/>
        <w:spacing w:after="0" w:line="273" w:lineRule="auto"/>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contrary indication appears,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in respect of the Borrower, to the best of the knowledge and belief of the Borrower, having made due and careful enquiry.</w:t>
      </w:r>
    </w:p>
    <w:p>
      <w:pPr>
        <w:spacing w:after="0" w:line="73"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relation to a company incorporated or established under the laws of Germany or a person which has its centre of main interest (as that term is used in Article 3(1) of the Regulation (EU) 2015/848 of 20 May 2015 on insolvency proceedings (recast) in Germany, a reference in this Agreement to:</w:t>
      </w:r>
    </w:p>
    <w:p>
      <w:pPr>
        <w:spacing w:after="0" w:line="85"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being “unable to pay its debts as they fall due” (or similar expressions) shall be construed as a reference to that person being unable to pay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within the meaning of section 17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xml:space="preserve">) and/or that person being in a state of </w:t>
      </w:r>
      <w:r>
        <w:rPr>
          <w:rFonts w:ascii="Times New Roman" w:cs="Times New Roman" w:eastAsia="Times New Roman" w:hAnsi="Times New Roman"/>
          <w:sz w:val="18"/>
          <w:szCs w:val="18"/>
          <w:i w:val="1"/>
          <w:iCs w:val="1"/>
          <w:color w:val="auto"/>
        </w:rPr>
        <w:t>Überschuldung</w:t>
      </w:r>
      <w:r>
        <w:rPr>
          <w:rFonts w:ascii="Times New Roman" w:cs="Times New Roman" w:eastAsia="Times New Roman" w:hAnsi="Times New Roman"/>
          <w:sz w:val="18"/>
          <w:szCs w:val="18"/>
          <w:color w:val="auto"/>
        </w:rPr>
        <w:t xml:space="preserve"> within the meaning of section 19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50" w:right="120" w:hanging="626"/>
        <w:spacing w:after="0" w:line="258" w:lineRule="auto"/>
        <w:tabs>
          <w:tab w:leader="none" w:pos="105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“liquidator”, “administrator” or “provisional administrator” (or similar expressions) shall be construed as a reference to an insolvency administrator (</w:t>
      </w:r>
      <w:r>
        <w:rPr>
          <w:rFonts w:ascii="Times New Roman" w:cs="Times New Roman" w:eastAsia="Times New Roman" w:hAnsi="Times New Roman"/>
          <w:sz w:val="18"/>
          <w:szCs w:val="18"/>
          <w:i w:val="1"/>
          <w:iCs w:val="1"/>
          <w:color w:val="auto"/>
        </w:rPr>
        <w:t>Insolvenzverwalter</w:t>
      </w:r>
      <w:r>
        <w:rPr>
          <w:rFonts w:ascii="Times New Roman" w:cs="Times New Roman" w:eastAsia="Times New Roman" w:hAnsi="Times New Roman"/>
          <w:sz w:val="18"/>
          <w:szCs w:val="18"/>
          <w:color w:val="auto"/>
        </w:rPr>
        <w:t>), preliminary insolvency administrator (</w:t>
      </w:r>
      <w:r>
        <w:rPr>
          <w:rFonts w:ascii="Times New Roman" w:cs="Times New Roman" w:eastAsia="Times New Roman" w:hAnsi="Times New Roman"/>
          <w:sz w:val="18"/>
          <w:szCs w:val="18"/>
          <w:i w:val="1"/>
          <w:iCs w:val="1"/>
          <w:color w:val="auto"/>
        </w:rPr>
        <w:t>vorläufiger Insolvenzverwalter</w:t>
      </w:r>
      <w:r>
        <w:rPr>
          <w:rFonts w:ascii="Times New Roman" w:cs="Times New Roman" w:eastAsia="Times New Roman" w:hAnsi="Times New Roman"/>
          <w:sz w:val="18"/>
          <w:szCs w:val="18"/>
          <w:color w:val="auto"/>
        </w:rPr>
        <w:t>), procurator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or preliminary procurator (</w:t>
      </w:r>
      <w:r>
        <w:rPr>
          <w:rFonts w:ascii="Times New Roman" w:cs="Times New Roman" w:eastAsia="Times New Roman" w:hAnsi="Times New Roman"/>
          <w:sz w:val="18"/>
          <w:szCs w:val="18"/>
          <w:i w:val="1"/>
          <w:iCs w:val="1"/>
          <w:color w:val="auto"/>
        </w:rPr>
        <w:t>vorläufiger Sachwalter</w:t>
      </w:r>
      <w:r>
        <w:rPr>
          <w:rFonts w:ascii="Times New Roman" w:cs="Times New Roman" w:eastAsia="Times New Roman" w:hAnsi="Times New Roman"/>
          <w:sz w:val="18"/>
          <w:szCs w:val="18"/>
          <w:color w:val="auto"/>
        </w:rPr>
        <w:t>); or</w:t>
      </w:r>
    </w:p>
    <w:p>
      <w:pPr>
        <w:spacing w:after="0" w:line="85" w:lineRule="exact"/>
        <w:rPr>
          <w:rFonts w:ascii="Times New Roman" w:cs="Times New Roman" w:eastAsia="Times New Roman" w:hAnsi="Times New Roman"/>
          <w:sz w:val="18"/>
          <w:szCs w:val="18"/>
          <w:color w:val="auto"/>
        </w:rPr>
      </w:pPr>
    </w:p>
    <w:p>
      <w:pPr>
        <w:ind w:left="1050" w:right="80" w:hanging="626"/>
        <w:spacing w:after="0" w:line="250" w:lineRule="auto"/>
        <w:tabs>
          <w:tab w:leader="none" w:pos="105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action, legal proceeding or other procedure or step taken in relation to the “suspension of payments, a moratorium of any indebtedness, winding-up, dissolution, bankruptcy, administration, judicial management or reorganisation” (or similar expressions) includes an application or filing for, or an institution of, insolvency proceedings (</w:t>
      </w:r>
      <w:r>
        <w:rPr>
          <w:rFonts w:ascii="Times New Roman" w:cs="Times New Roman" w:eastAsia="Times New Roman" w:hAnsi="Times New Roman"/>
          <w:sz w:val="18"/>
          <w:szCs w:val="18"/>
          <w:i w:val="1"/>
          <w:iCs w:val="1"/>
          <w:color w:val="auto"/>
        </w:rPr>
        <w:t>Antrag auf Eröffnung eines Insolvenzverfahrens</w:t>
      </w:r>
      <w:r>
        <w:rPr>
          <w:rFonts w:ascii="Times New Roman" w:cs="Times New Roman" w:eastAsia="Times New Roman" w:hAnsi="Times New Roman"/>
          <w:sz w:val="18"/>
          <w:szCs w:val="18"/>
          <w:color w:val="auto"/>
        </w:rPr>
        <w:t>) (including by way of (</w:t>
      </w:r>
      <w:r>
        <w:rPr>
          <w:rFonts w:ascii="Times New Roman" w:cs="Times New Roman" w:eastAsia="Times New Roman" w:hAnsi="Times New Roman"/>
          <w:sz w:val="18"/>
          <w:szCs w:val="18"/>
          <w:i w:val="1"/>
          <w:iCs w:val="1"/>
          <w:color w:val="auto"/>
        </w:rPr>
        <w:t>vorläufige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vorläufiges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an ordering of provisional measures pursuant to section 21 of the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Anordnung vorläufiger Maßnahmen</w:t>
      </w:r>
      <w:r>
        <w:rPr>
          <w:rFonts w:ascii="Times New Roman" w:cs="Times New Roman" w:eastAsia="Times New Roman" w:hAnsi="Times New Roman"/>
          <w:sz w:val="18"/>
          <w:szCs w:val="18"/>
          <w:color w:val="auto"/>
        </w:rPr>
        <w:t>) or a rejection of insolvency proceedings on the grounds of insufficiency of assets (</w:t>
      </w:r>
      <w:r>
        <w:rPr>
          <w:rFonts w:ascii="Times New Roman" w:cs="Times New Roman" w:eastAsia="Times New Roman" w:hAnsi="Times New Roman"/>
          <w:sz w:val="18"/>
          <w:szCs w:val="18"/>
          <w:i w:val="1"/>
          <w:iCs w:val="1"/>
          <w:color w:val="auto"/>
        </w:rPr>
        <w:t>Abweisung mangels Masse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124" w:lineRule="exact"/>
        <w:rPr>
          <w:sz w:val="20"/>
          <w:szCs w:val="20"/>
          <w:color w:val="auto"/>
        </w:rPr>
      </w:pPr>
    </w:p>
    <w:p>
      <w:pPr>
        <w:ind w:left="5310" w:right="3920" w:hanging="5310"/>
        <w:spacing w:after="0" w:line="441" w:lineRule="auto"/>
        <w:tabs>
          <w:tab w:leader="none" w:pos="427"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dollar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US dollars </w:t>
      </w:r>
      <w:r>
        <w:rPr>
          <w:rFonts w:ascii="Times New Roman" w:cs="Times New Roman" w:eastAsia="Times New Roman" w:hAnsi="Times New Roman"/>
          <w:sz w:val="18"/>
          <w:szCs w:val="18"/>
          <w:color w:val="auto"/>
        </w:rPr>
        <w:t>denote the lawful currency of the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w:t>
      </w:r>
    </w:p>
    <w:p>
      <w:pPr>
        <w:sectPr>
          <w:pgSz w:w="11900" w:h="16838" w:orient="portrait"/>
          <w:cols w:equalWidth="0" w:num="1">
            <w:col w:w="10730"/>
          </w:cols>
          <w:pgMar w:left="550" w:top="264" w:right="619" w:bottom="1440" w:gutter="0" w:footer="0" w:header="0"/>
        </w:sectPr>
      </w:pPr>
    </w:p>
    <w:bookmarkStart w:id="541" w:name="page542"/>
    <w:bookmarkEnd w:id="541"/>
    <w:p>
      <w:pPr>
        <w:ind w:left="430" w:hanging="430"/>
        <w:spacing w:after="0"/>
        <w:tabs>
          <w:tab w:leader="none" w:pos="43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 EUR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euro </w:t>
      </w:r>
      <w:r>
        <w:rPr>
          <w:rFonts w:ascii="Times New Roman" w:cs="Times New Roman" w:eastAsia="Times New Roman" w:hAnsi="Times New Roman"/>
          <w:sz w:val="18"/>
          <w:szCs w:val="18"/>
          <w:color w:val="auto"/>
        </w:rPr>
        <w:t>denote the single currency of the Participating Member States.</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Renminbi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RMB </w:t>
      </w:r>
      <w:r>
        <w:rPr>
          <w:rFonts w:ascii="Times New Roman" w:cs="Times New Roman" w:eastAsia="Times New Roman" w:hAnsi="Times New Roman"/>
          <w:sz w:val="18"/>
          <w:szCs w:val="18"/>
          <w:color w:val="auto"/>
        </w:rPr>
        <w:t>denote the lawful currency of the PRC.</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24" w:lineRule="exact"/>
        <w:rPr>
          <w:sz w:val="20"/>
          <w:szCs w:val="20"/>
          <w:color w:val="auto"/>
        </w:rPr>
      </w:pPr>
    </w:p>
    <w:p>
      <w:pPr>
        <w:ind w:left="430" w:right="60" w:hanging="430"/>
        <w:spacing w:after="0" w:line="273" w:lineRule="auto"/>
        <w:tabs>
          <w:tab w:leader="none" w:pos="43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to enjoy the benefit of any term of this Agreement, except as otherwise provided in paragraph (b) of Clause 26.10 (Exclusion of liability).</w:t>
      </w:r>
    </w:p>
    <w:p>
      <w:pPr>
        <w:spacing w:after="0" w:line="73"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(including paragraph (a) above), the Parties do not require the consent of any person who is not a Party to rescind, amend, vary or waive any provision of this Agreement at any time.</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German terminology</w:t>
      </w:r>
    </w:p>
    <w:p>
      <w:pPr>
        <w:spacing w:after="0" w:line="112" w:lineRule="exact"/>
        <w:rPr>
          <w:sz w:val="20"/>
          <w:szCs w:val="20"/>
          <w:color w:val="auto"/>
        </w:rPr>
      </w:pPr>
    </w:p>
    <w:p>
      <w:pPr>
        <w:jc w:val="both"/>
        <w:ind w:left="430" w:right="200"/>
        <w:spacing w:after="0" w:line="258" w:lineRule="auto"/>
        <w:rPr>
          <w:sz w:val="20"/>
          <w:szCs w:val="20"/>
          <w:color w:val="auto"/>
        </w:rPr>
      </w:pPr>
      <w:r>
        <w:rPr>
          <w:rFonts w:ascii="Times New Roman" w:cs="Times New Roman" w:eastAsia="Times New Roman" w:hAnsi="Times New Roman"/>
          <w:sz w:val="18"/>
          <w:szCs w:val="18"/>
          <w:color w:val="auto"/>
        </w:rPr>
        <w:t>This Agreement is made in the English language. For the avoidance of doubt, the English language version of this Agreement shall prevail over any translation of this Agreement. However, where a German translation of a word or phrase appears in the text of this Agreement, the German meaning and the underlying German law legal concept shall prevail.</w:t>
      </w:r>
    </w:p>
    <w:p>
      <w:pPr>
        <w:spacing w:after="0" w:line="8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110" w:lineRule="exact"/>
        <w:rPr>
          <w:sz w:val="20"/>
          <w:szCs w:val="20"/>
          <w:color w:val="auto"/>
        </w:rPr>
      </w:pPr>
    </w:p>
    <w:p>
      <w:pPr>
        <w:ind w:left="430" w:right="140"/>
        <w:spacing w:after="0" w:line="248" w:lineRule="auto"/>
        <w:rPr>
          <w:sz w:val="20"/>
          <w:szCs w:val="20"/>
          <w:color w:val="auto"/>
        </w:rPr>
      </w:pPr>
      <w:r>
        <w:rPr>
          <w:rFonts w:ascii="Times New Roman" w:cs="Times New Roman" w:eastAsia="Times New Roman" w:hAnsi="Times New Roman"/>
          <w:sz w:val="18"/>
          <w:szCs w:val="18"/>
          <w:color w:val="auto"/>
        </w:rPr>
        <w:t>In relation to each Finance Party resident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or any (other) Finance Party that otherwise notifies the Agent to this effect (each a </w:t>
      </w:r>
      <w:r>
        <w:rPr>
          <w:rFonts w:ascii="Times New Roman" w:cs="Times New Roman" w:eastAsia="Times New Roman" w:hAnsi="Times New Roman"/>
          <w:sz w:val="18"/>
          <w:szCs w:val="18"/>
          <w:b w:val="1"/>
          <w:bCs w:val="1"/>
          <w:color w:val="auto"/>
        </w:rPr>
        <w:t>Restricted Finance Party</w:t>
      </w:r>
      <w:r>
        <w:rPr>
          <w:rFonts w:ascii="Times New Roman" w:cs="Times New Roman" w:eastAsia="Times New Roman" w:hAnsi="Times New Roman"/>
          <w:sz w:val="18"/>
          <w:szCs w:val="18"/>
          <w:color w:val="auto"/>
        </w:rPr>
        <w:t>), the Sanctions Provisions shall only apply for the benefit of that Restricted Finance Party to the extent that it would not result in any violation of, conflict with or liability under any Anti-Boycott Regulations. In addition, in connection with any amendment, waiver, determination or direction relating to any part of the Sanctions Provisions to which a Restricted Finance Party does not have the benefit, the commitments under this Agreement of that Restricted Finance Party will be excluded from the numerator and denominator for the purposes of determining whether the consent of the Lenders has been obtained or whether the determination or direction of the Lenders has been made. As long as a Finance Party is not incorporated in Germany or has not given to the Agent any such notice the Agent shall assume that such Finance Party is not a Restricted Finance Party and that the Sanctions Provisions shall apply for the benefit of that Finance Party where relevant for the Agent when exercising its functions under this Agreement.</w:t>
      </w:r>
    </w:p>
    <w:p>
      <w:pPr>
        <w:spacing w:after="0" w:line="333" w:lineRule="exact"/>
        <w:rPr>
          <w:sz w:val="20"/>
          <w:szCs w:val="20"/>
          <w:color w:val="auto"/>
        </w:rPr>
      </w:pPr>
    </w:p>
    <w:p>
      <w:pPr>
        <w:ind w:left="10" w:right="9080" w:hanging="10"/>
        <w:spacing w:after="0" w:line="398" w:lineRule="auto"/>
        <w:tabs>
          <w:tab w:leader="none" w:pos="433" w:val="left"/>
        </w:tabs>
        <w:numPr>
          <w:ilvl w:val="0"/>
          <w:numId w:val="4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FACILITY 2.1 The Facility</w:t>
      </w:r>
    </w:p>
    <w:p>
      <w:pPr>
        <w:spacing w:after="0" w:line="1" w:lineRule="exact"/>
        <w:rPr>
          <w:sz w:val="20"/>
          <w:szCs w:val="20"/>
          <w:color w:val="auto"/>
        </w:rPr>
      </w:pPr>
    </w:p>
    <w:p>
      <w:pPr>
        <w:ind w:left="430"/>
        <w:spacing w:after="0" w:line="270" w:lineRule="auto"/>
        <w:rPr>
          <w:sz w:val="20"/>
          <w:szCs w:val="20"/>
          <w:color w:val="auto"/>
        </w:rPr>
      </w:pPr>
      <w:r>
        <w:rPr>
          <w:rFonts w:ascii="Times New Roman" w:cs="Times New Roman" w:eastAsia="Times New Roman" w:hAnsi="Times New Roman"/>
          <w:sz w:val="18"/>
          <w:szCs w:val="18"/>
          <w:color w:val="auto"/>
        </w:rPr>
        <w:t>Subject to the terms of this Agreement, the Lenders agree to make available to the Borrower a euro term loan facility in an aggregate amount of up to the Total Commitments.</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26" w:lineRule="exact"/>
        <w:rPr>
          <w:sz w:val="20"/>
          <w:szCs w:val="20"/>
          <w:color w:val="auto"/>
        </w:rPr>
      </w:pPr>
    </w:p>
    <w:p>
      <w:pPr>
        <w:ind w:left="430" w:hanging="430"/>
        <w:spacing w:after="0" w:line="258" w:lineRule="auto"/>
        <w:tabs>
          <w:tab w:leader="none" w:pos="43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any or all of the Finance Documents does not affect the obligations of any other Party under the Finance Documents. No Finance Party is responsible for the obligations of any other Finance Party under any or all of the Finance Documents.</w:t>
      </w:r>
    </w:p>
    <w:p>
      <w:pPr>
        <w:spacing w:after="0" w:line="85" w:lineRule="exact"/>
        <w:rPr>
          <w:rFonts w:ascii="Times New Roman" w:cs="Times New Roman" w:eastAsia="Times New Roman" w:hAnsi="Times New Roman"/>
          <w:sz w:val="18"/>
          <w:szCs w:val="18"/>
          <w:color w:val="auto"/>
        </w:rPr>
      </w:pPr>
    </w:p>
    <w:p>
      <w:pPr>
        <w:ind w:left="430" w:right="160" w:hanging="430"/>
        <w:spacing w:after="0" w:line="250" w:lineRule="auto"/>
        <w:tabs>
          <w:tab w:leader="none" w:pos="43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any or all of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94" w:lineRule="exact"/>
        <w:rPr>
          <w:rFonts w:ascii="Times New Roman" w:cs="Times New Roman" w:eastAsia="Times New Roman" w:hAnsi="Times New Roman"/>
          <w:sz w:val="18"/>
          <w:szCs w:val="18"/>
          <w:color w:val="auto"/>
        </w:rPr>
      </w:pPr>
    </w:p>
    <w:p>
      <w:pPr>
        <w:ind w:left="430" w:right="440" w:hanging="430"/>
        <w:spacing w:after="0" w:line="270" w:lineRule="auto"/>
        <w:tabs>
          <w:tab w:leader="none" w:pos="43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specifically provided in the Finance Documents, separately enforce its rights under or in connection with the Finance Documents.</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Increase</w:t>
      </w:r>
    </w:p>
    <w:p>
      <w:pPr>
        <w:spacing w:after="0" w:line="126" w:lineRule="exact"/>
        <w:rPr>
          <w:sz w:val="20"/>
          <w:szCs w:val="20"/>
          <w:color w:val="auto"/>
        </w:rPr>
      </w:pPr>
    </w:p>
    <w:p>
      <w:pPr>
        <w:ind w:left="430" w:right="120" w:hanging="430"/>
        <w:spacing w:after="0" w:line="251" w:lineRule="auto"/>
        <w:tabs>
          <w:tab w:leader="none" w:pos="430"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by giving prior notice to the Agent by no later than the date falling fifteen (15) Business Days after the effective date of a cancellation of the Available Commitment or the Commitment of a Lender (a </w:t>
      </w:r>
      <w:r>
        <w:rPr>
          <w:rFonts w:ascii="Times New Roman" w:cs="Times New Roman" w:eastAsia="Times New Roman" w:hAnsi="Times New Roman"/>
          <w:sz w:val="18"/>
          <w:szCs w:val="18"/>
          <w:b w:val="1"/>
          <w:bCs w:val="1"/>
          <w:color w:val="auto"/>
        </w:rPr>
        <w:t>Cancelled Lender</w:t>
      </w:r>
      <w:r>
        <w:rPr>
          <w:rFonts w:ascii="Times New Roman" w:cs="Times New Roman" w:eastAsia="Times New Roman" w:hAnsi="Times New Roman"/>
          <w:sz w:val="18"/>
          <w:szCs w:val="18"/>
          <w:color w:val="auto"/>
        </w:rPr>
        <w:t xml:space="preserve">) in accordance with paragraph (a) of Clause 7.4 (Right of repayment and cancellation in relation to a single Lender) (such Available Commitment or Commitment so cancelled being the </w:t>
      </w:r>
      <w:r>
        <w:rPr>
          <w:rFonts w:ascii="Times New Roman" w:cs="Times New Roman" w:eastAsia="Times New Roman" w:hAnsi="Times New Roman"/>
          <w:sz w:val="18"/>
          <w:szCs w:val="18"/>
          <w:b w:val="1"/>
          <w:bCs w:val="1"/>
          <w:color w:val="auto"/>
        </w:rPr>
        <w:t>Cancelled Commitment</w:t>
      </w:r>
      <w:r>
        <w:rPr>
          <w:rFonts w:ascii="Times New Roman" w:cs="Times New Roman" w:eastAsia="Times New Roman" w:hAnsi="Times New Roman"/>
          <w:sz w:val="18"/>
          <w:szCs w:val="18"/>
          <w:color w:val="auto"/>
        </w:rPr>
        <w:t>) request that the Commitments be increased (and the Commitments shall be so increased) up to an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Commitment as follows:</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70"/>
          </w:cols>
          <w:pgMar w:left="550" w:top="264" w:right="579" w:bottom="1440" w:gutter="0" w:footer="0" w:header="0"/>
        </w:sectPr>
      </w:pPr>
    </w:p>
    <w:bookmarkStart w:id="542" w:name="page543"/>
    <w:bookmarkEnd w:id="542"/>
    <w:p>
      <w:pPr>
        <w:ind w:left="1050" w:right="20" w:hanging="626"/>
        <w:spacing w:after="0" w:line="248" w:lineRule="auto"/>
        <w:tabs>
          <w:tab w:leader="none" w:pos="10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such increased Commitments will be assumed by one or more Lenders or other banks, financial institutions, trusts, funds or other entities (each an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xml:space="preserve">) selected by the Borrower (which is not a Group Member and which satisfies the criteria for a Lender under Clause 23.1 (Assignments and transfers by the Lenders)) each of which confirms in writing (whether in the relevant Increase Confirmation or otherwise) its willingness to assume and does assume all the obligations of a Lender corresponding to that part of such increased Commitments which it is to assume (the </w:t>
      </w:r>
      <w:r>
        <w:rPr>
          <w:rFonts w:ascii="Times New Roman" w:cs="Times New Roman" w:eastAsia="Times New Roman" w:hAnsi="Times New Roman"/>
          <w:sz w:val="18"/>
          <w:szCs w:val="18"/>
          <w:b w:val="1"/>
          <w:bCs w:val="1"/>
          <w:color w:val="auto"/>
        </w:rPr>
        <w:t>Assumed Commitment</w:t>
      </w:r>
      <w:r>
        <w:rPr>
          <w:rFonts w:ascii="Times New Roman" w:cs="Times New Roman" w:eastAsia="Times New Roman" w:hAnsi="Times New Roman"/>
          <w:sz w:val="18"/>
          <w:szCs w:val="18"/>
          <w:color w:val="auto"/>
        </w:rPr>
        <w:t xml:space="preserve"> of such Increase Lender), as if it had been an Original Lender with such Assumed Commitment in addition to any other Commitment which it may otherwise have in accordance with this Agreement (for the avoidance of doubt, the aggregate Assumed Commitments of all of the Increase Lenders shall not exceed such Cancelled Commitment);</w:t>
      </w:r>
    </w:p>
    <w:p>
      <w:pPr>
        <w:spacing w:after="0" w:line="99" w:lineRule="exact"/>
        <w:rPr>
          <w:rFonts w:ascii="Times New Roman" w:cs="Times New Roman" w:eastAsia="Times New Roman" w:hAnsi="Times New Roman"/>
          <w:sz w:val="18"/>
          <w:szCs w:val="18"/>
          <w:color w:val="auto"/>
        </w:rPr>
      </w:pPr>
    </w:p>
    <w:p>
      <w:pPr>
        <w:ind w:left="1050" w:right="160" w:hanging="626"/>
        <w:spacing w:after="0" w:line="253" w:lineRule="auto"/>
        <w:tabs>
          <w:tab w:leader="none" w:pos="10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any Increase Lender shall assume obligations towards one another and/or acquire rights against one another as the Obligors and that Increase Lender would have assumed and/or acquired had that Increase Lender been an Original Lender (with the Assumed Commitment in respect of such Increase Lender, in addition to any other Commitment which such Increase Lender may otherwise have in accordance with this Agreement);</w:t>
      </w:r>
    </w:p>
    <w:p>
      <w:pPr>
        <w:spacing w:after="0" w:line="92" w:lineRule="exact"/>
        <w:rPr>
          <w:rFonts w:ascii="Times New Roman" w:cs="Times New Roman" w:eastAsia="Times New Roman" w:hAnsi="Times New Roman"/>
          <w:sz w:val="18"/>
          <w:szCs w:val="18"/>
          <w:color w:val="auto"/>
        </w:rPr>
      </w:pPr>
    </w:p>
    <w:p>
      <w:pPr>
        <w:ind w:left="1050" w:right="40" w:hanging="626"/>
        <w:spacing w:after="0" w:line="253" w:lineRule="auto"/>
        <w:tabs>
          <w:tab w:leader="none" w:pos="10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shall become a Party as a “Lender” (with the Assumed Commitment so assumed by it, in addition to any other Commitment which that Increase Lender may otherwise have in accordance with this Agreement) and any Increase Lender and each of the other Finance Parties shall assume obligations towards one another and acquire rights against one another as that Increase Lender and those Finance Parties would have assumed and/or acquired had that Increase Lender been an Original Lender;</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the other Lenders shall continue in full force and effect; and</w:t>
      </w:r>
    </w:p>
    <w:p>
      <w:pPr>
        <w:spacing w:after="0" w:line="123" w:lineRule="exact"/>
        <w:rPr>
          <w:rFonts w:ascii="Times New Roman" w:cs="Times New Roman" w:eastAsia="Times New Roman" w:hAnsi="Times New Roman"/>
          <w:sz w:val="18"/>
          <w:szCs w:val="18"/>
          <w:color w:val="auto"/>
        </w:rPr>
      </w:pPr>
    </w:p>
    <w:p>
      <w:pPr>
        <w:ind w:left="1050" w:right="340" w:hanging="626"/>
        <w:spacing w:after="0" w:line="270" w:lineRule="auto"/>
        <w:tabs>
          <w:tab w:leader="none" w:pos="1050"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in the Commitments shall take effect on the later of (A) the date specified by the Borrower in the notice referred to above or (B) the date on which the conditions set out in paragraph (b) below are satisfied in respect of such increase.</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Commitments pursuant to paragraph (a) will only be effective on:</w:t>
      </w:r>
    </w:p>
    <w:p>
      <w:pPr>
        <w:spacing w:after="0" w:line="123" w:lineRule="exact"/>
        <w:rPr>
          <w:rFonts w:ascii="Times New Roman" w:cs="Times New Roman" w:eastAsia="Times New Roman" w:hAnsi="Times New Roman"/>
          <w:sz w:val="18"/>
          <w:szCs w:val="18"/>
          <w:color w:val="auto"/>
        </w:rPr>
      </w:pPr>
    </w:p>
    <w:p>
      <w:pPr>
        <w:ind w:left="1050" w:right="160" w:hanging="626"/>
        <w:spacing w:after="0" w:line="270" w:lineRule="auto"/>
        <w:tabs>
          <w:tab w:leader="none" w:pos="105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Agent of an Increase Confirmation from each Increase Lender in respect of such increase (setting out the Assumed Commitment which such Increase Lender is assuming in accordance with paragraph (a)); and</w:t>
      </w:r>
    </w:p>
    <w:p>
      <w:pPr>
        <w:spacing w:after="0" w:line="76" w:lineRule="exact"/>
        <w:rPr>
          <w:rFonts w:ascii="Times New Roman" w:cs="Times New Roman" w:eastAsia="Times New Roman" w:hAnsi="Times New Roman"/>
          <w:sz w:val="18"/>
          <w:szCs w:val="18"/>
          <w:color w:val="auto"/>
        </w:rPr>
      </w:pPr>
    </w:p>
    <w:p>
      <w:pPr>
        <w:ind w:left="1050" w:hanging="626"/>
        <w:spacing w:after="0" w:line="258" w:lineRule="auto"/>
        <w:tabs>
          <w:tab w:leader="none" w:pos="1050"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Increase Lender which is not a Lender immediately prior to such increase in Commitments, the Agent being satisfied that it has completed all necessary “know your customer” or other similar checks under all applicable laws and regulations in relation to the assumption of the Assumed Commitment by that Increase Lender.</w:t>
      </w:r>
    </w:p>
    <w:p>
      <w:pPr>
        <w:spacing w:after="0" w:line="83" w:lineRule="exact"/>
        <w:rPr>
          <w:rFonts w:ascii="Times New Roman" w:cs="Times New Roman" w:eastAsia="Times New Roman" w:hAnsi="Times New Roman"/>
          <w:sz w:val="18"/>
          <w:szCs w:val="18"/>
          <w:color w:val="auto"/>
        </w:rPr>
      </w:pPr>
    </w:p>
    <w:p>
      <w:pPr>
        <w:ind w:left="430" w:right="80" w:hanging="430"/>
        <w:spacing w:after="0" w:line="281" w:lineRule="auto"/>
        <w:tabs>
          <w:tab w:leader="none" w:pos="430" w:val="left"/>
        </w:tabs>
        <w:numPr>
          <w:ilvl w:val="0"/>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Agent shall promptly notify the Borrower and that Increase Lender upon the effectiveness of such increase,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the Agent shall have received confirmation from either such Cancelled Lender or the Borrower of the completion of all necessary “know your customer” or other similar checks under all applicable laws and regulations in relation to the assumption of the Assumed Commitment by that Increase Lender.</w:t>
      </w:r>
    </w:p>
    <w:p>
      <w:pPr>
        <w:spacing w:after="0" w:line="68" w:lineRule="exact"/>
        <w:rPr>
          <w:rFonts w:ascii="Times New Roman" w:cs="Times New Roman" w:eastAsia="Times New Roman" w:hAnsi="Times New Roman"/>
          <w:sz w:val="17"/>
          <w:szCs w:val="17"/>
          <w:color w:val="auto"/>
        </w:rPr>
      </w:pPr>
    </w:p>
    <w:p>
      <w:pPr>
        <w:ind w:left="430" w:right="80" w:hanging="430"/>
        <w:spacing w:after="0" w:line="253"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by executing an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in Commitments (to which such Increase Confirmation relates) becomes effective in accordance with this Agreement and that it is bound by that decision to the same extent as it would have been had it been an Original Lender.</w:t>
      </w:r>
    </w:p>
    <w:p>
      <w:pPr>
        <w:spacing w:after="0" w:line="92" w:lineRule="exact"/>
        <w:rPr>
          <w:rFonts w:ascii="Times New Roman" w:cs="Times New Roman" w:eastAsia="Times New Roman" w:hAnsi="Times New Roman"/>
          <w:sz w:val="18"/>
          <w:szCs w:val="18"/>
          <w:color w:val="auto"/>
        </w:rPr>
      </w:pPr>
    </w:p>
    <w:p>
      <w:pPr>
        <w:ind w:left="430" w:right="300" w:hanging="430"/>
        <w:spacing w:after="0" w:line="270"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on demand pay the Agent the amount of all costs and expenses (including legal fees) reasonably incurred by it in connection with any increase in Commitments under this Clause 2.3.</w:t>
      </w:r>
    </w:p>
    <w:p>
      <w:pPr>
        <w:spacing w:after="0" w:line="76" w:lineRule="exact"/>
        <w:rPr>
          <w:rFonts w:ascii="Times New Roman" w:cs="Times New Roman" w:eastAsia="Times New Roman" w:hAnsi="Times New Roman"/>
          <w:sz w:val="18"/>
          <w:szCs w:val="18"/>
          <w:color w:val="auto"/>
        </w:rPr>
      </w:pPr>
    </w:p>
    <w:p>
      <w:pPr>
        <w:ind w:left="430" w:right="60" w:hanging="430"/>
        <w:spacing w:after="0" w:line="253"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Lender shall, on the date upon which the assumption of any Assumed Commitment takes effect, pay to the Agent (for its own account) a fee in an amount equal to the fee which would be payable under Clause 23.3 (Assignment or transfer fee) if such assumption were a transfer of such Assumed Commitment to such Increase Lender pursuant to Clause 23.6 (Procedure for transfer) and if such Increase Lender were a New Lender.</w:t>
      </w:r>
    </w:p>
    <w:p>
      <w:pPr>
        <w:spacing w:after="0" w:line="92"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to an Increase Lender a fee in the amount and at the times agreed between the Borrower and that Increase Lender in a Fee Letter.</w:t>
      </w:r>
    </w:p>
    <w:p>
      <w:pPr>
        <w:spacing w:after="0" w:line="76"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 nor any Lender shall have any obligation to find an Increase Lender and in no event shall any Lender whose Cancelled Commitment is assumed or replaced by an Increase Lender be required to pay or surrender any of the fees received by such Lender pursuant to the Finance Documents.</w:t>
      </w:r>
    </w:p>
    <w:p>
      <w:pPr>
        <w:spacing w:after="0" w:line="85"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23.5 (Limitation of responsibility of Existing Lenders) shall apply mutatis mutandis in this Clause 2.3 in relation to an Increase Lender as if references in that Clause to:</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70"/>
          </w:cols>
          <w:pgMar w:left="550" w:top="266" w:right="579" w:bottom="1440" w:gutter="0" w:footer="0" w:header="0"/>
        </w:sectPr>
      </w:pPr>
    </w:p>
    <w:bookmarkStart w:id="543" w:name="page544"/>
    <w:bookmarkEnd w:id="543"/>
    <w:p>
      <w:pPr>
        <w:ind w:left="1050" w:right="140" w:hanging="626"/>
        <w:spacing w:after="0" w:line="273" w:lineRule="auto"/>
        <w:tabs>
          <w:tab w:leader="none" w:pos="105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xml:space="preserve"> were references to all the Lenders immediately prior to the relevant increase in Commitments or the assumption of any Assumed Commitment by such Increase Lender;</w:t>
      </w:r>
    </w:p>
    <w:p>
      <w:pPr>
        <w:spacing w:after="0" w:line="71"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xml:space="preserve"> were references to that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xml:space="preserve">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ind w:left="430" w:hanging="430"/>
        <w:spacing w:after="0"/>
        <w:tabs>
          <w:tab w:leader="none" w:pos="43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3" w:lineRule="exact"/>
        <w:rPr>
          <w:rFonts w:ascii="Times New Roman" w:cs="Times New Roman" w:eastAsia="Times New Roman" w:hAnsi="Times New Roman"/>
          <w:sz w:val="18"/>
          <w:szCs w:val="18"/>
          <w:b w:val="1"/>
          <w:bCs w:val="1"/>
          <w:color w:val="auto"/>
        </w:rPr>
      </w:pPr>
    </w:p>
    <w:p>
      <w:pPr>
        <w:ind w:left="1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Purpose</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shall ensure that all amounts borrowed by it under the Facility are applied towards:</w:t>
      </w:r>
    </w:p>
    <w:p>
      <w:pPr>
        <w:spacing w:after="0" w:line="123" w:lineRule="exact"/>
        <w:rPr>
          <w:rFonts w:ascii="Times New Roman" w:cs="Times New Roman" w:eastAsia="Times New Roman" w:hAnsi="Times New Roman"/>
          <w:sz w:val="18"/>
          <w:szCs w:val="18"/>
          <w:b w:val="1"/>
          <w:bCs w:val="1"/>
          <w:color w:val="auto"/>
        </w:rPr>
      </w:pPr>
    </w:p>
    <w:p>
      <w:pPr>
        <w:ind w:left="1050" w:hanging="626"/>
        <w:spacing w:after="0"/>
        <w:tabs>
          <w:tab w:leader="none" w:pos="105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refinancing the Acquisition;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Acquisition Costs.</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359" w:lineRule="exact"/>
        <w:rPr>
          <w:sz w:val="20"/>
          <w:szCs w:val="20"/>
          <w:color w:val="auto"/>
        </w:rPr>
      </w:pPr>
    </w:p>
    <w:p>
      <w:pPr>
        <w:ind w:left="10" w:right="7680" w:hanging="10"/>
        <w:spacing w:after="0" w:line="406" w:lineRule="auto"/>
        <w:tabs>
          <w:tab w:leader="none" w:pos="433" w:val="left"/>
        </w:tabs>
        <w:numPr>
          <w:ilvl w:val="0"/>
          <w:numId w:val="4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UTILISATION 4.1 Initial conditions precedent</w:t>
      </w:r>
    </w:p>
    <w:p>
      <w:pPr>
        <w:spacing w:after="0" w:line="2" w:lineRule="exact"/>
        <w:rPr>
          <w:sz w:val="20"/>
          <w:szCs w:val="20"/>
          <w:color w:val="auto"/>
        </w:rPr>
      </w:pPr>
    </w:p>
    <w:p>
      <w:pPr>
        <w:ind w:left="430" w:hanging="430"/>
        <w:spacing w:after="0" w:line="251" w:lineRule="auto"/>
        <w:tabs>
          <w:tab w:leader="none" w:pos="43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unless the Agent has received (or the Agent has waived the requirement to receive (acting on the instructions of the Majority Lenders)) all of the documents and other evidence listed in Schedule 2 (Conditions Precedent) in form and substance satisfactory to the Agent (acting on the instructions of the Majority Lenders (acting reasonably)) and provided further that Clause 4.4(a) (Offer Conditions Precedent) below shall apply in respect of the form of the Offer Document. The Agent shall notify the Borrower and the Lenders promptly upon being so satisfied.</w:t>
      </w:r>
    </w:p>
    <w:p>
      <w:pPr>
        <w:spacing w:after="0" w:line="94" w:lineRule="exact"/>
        <w:rPr>
          <w:rFonts w:ascii="Times New Roman" w:cs="Times New Roman" w:eastAsia="Times New Roman" w:hAnsi="Times New Roman"/>
          <w:sz w:val="18"/>
          <w:szCs w:val="18"/>
          <w:color w:val="auto"/>
        </w:rPr>
      </w:pPr>
    </w:p>
    <w:p>
      <w:pPr>
        <w:ind w:left="430" w:right="60" w:hanging="430"/>
        <w:spacing w:after="0" w:line="258" w:lineRule="auto"/>
        <w:tabs>
          <w:tab w:leader="none" w:pos="43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8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112" w:lineRule="exact"/>
        <w:rPr>
          <w:sz w:val="20"/>
          <w:szCs w:val="20"/>
          <w:color w:val="auto"/>
        </w:rPr>
      </w:pPr>
    </w:p>
    <w:p>
      <w:pPr>
        <w:ind w:left="430" w:right="80"/>
        <w:spacing w:after="0" w:line="258" w:lineRule="auto"/>
        <w:rPr>
          <w:sz w:val="20"/>
          <w:szCs w:val="20"/>
          <w:color w:val="auto"/>
        </w:rPr>
      </w:pPr>
      <w:r>
        <w:rPr>
          <w:rFonts w:ascii="Times New Roman" w:cs="Times New Roman" w:eastAsia="Times New Roman" w:hAnsi="Times New Roman"/>
          <w:sz w:val="18"/>
          <w:szCs w:val="18"/>
          <w:color w:val="auto"/>
        </w:rPr>
        <w:t>The Lenders will only be obliged to comply with Clause 5.4 (Lenders’ participation) in relation to any Utilisation other than one to which Clause 4.5 (Utilisations during the Certain Funds Period) applies if, on the date of the Utilisation Request (relating to such Loan) and on the proposed Utilisation Date (for such Loan):</w:t>
      </w:r>
    </w:p>
    <w:p>
      <w:pPr>
        <w:spacing w:after="0" w:line="86" w:lineRule="exact"/>
        <w:rPr>
          <w:sz w:val="20"/>
          <w:szCs w:val="20"/>
          <w:color w:val="auto"/>
        </w:rPr>
      </w:pPr>
    </w:p>
    <w:p>
      <w:pPr>
        <w:ind w:left="1050" w:hanging="626"/>
        <w:spacing w:after="0"/>
        <w:tabs>
          <w:tab w:leader="none" w:pos="105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such proposed Loan;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true in all material respects (whether before or after giving effect to such proposed Loan).</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126" w:lineRule="exact"/>
        <w:rPr>
          <w:sz w:val="20"/>
          <w:szCs w:val="20"/>
          <w:color w:val="auto"/>
        </w:rPr>
      </w:pPr>
    </w:p>
    <w:p>
      <w:pPr>
        <w:ind w:left="430" w:right="40" w:hanging="430"/>
        <w:spacing w:after="0" w:line="270" w:lineRule="auto"/>
        <w:tabs>
          <w:tab w:leader="none" w:pos="43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if as a result of the proposed Utilisation, more than ten (10) Utilisations of the Facility would have occurred.</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request that any Loan be divided.</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Offer Conditions Precedent</w:t>
      </w:r>
    </w:p>
    <w:p>
      <w:pPr>
        <w:spacing w:after="0" w:line="112" w:lineRule="exact"/>
        <w:rPr>
          <w:sz w:val="20"/>
          <w:szCs w:val="20"/>
          <w:color w:val="auto"/>
        </w:rPr>
      </w:pPr>
    </w:p>
    <w:p>
      <w:pPr>
        <w:ind w:left="430" w:right="60"/>
        <w:spacing w:after="0" w:line="258" w:lineRule="auto"/>
        <w:rPr>
          <w:sz w:val="20"/>
          <w:szCs w:val="20"/>
          <w:color w:val="auto"/>
        </w:rPr>
      </w:pPr>
      <w:r>
        <w:rPr>
          <w:rFonts w:ascii="Times New Roman" w:cs="Times New Roman" w:eastAsia="Times New Roman" w:hAnsi="Times New Roman"/>
          <w:sz w:val="18"/>
          <w:szCs w:val="18"/>
          <w:color w:val="auto"/>
        </w:rPr>
        <w:t>The Borrower may only deliver a Utilisation Request for the first Utilisation of the Facility to finance or refinance the consideration payable with respect of the Offer if, no later than the date of the applicable Utilisation Request, the Borrower has provided to the Agent the following documents and other evidence in form and substance satisfactory to the Agent (acting on the instructions of the Majority Lenders):</w:t>
      </w:r>
    </w:p>
    <w:p>
      <w:pPr>
        <w:spacing w:after="0" w:line="86" w:lineRule="exact"/>
        <w:rPr>
          <w:sz w:val="20"/>
          <w:szCs w:val="20"/>
          <w:color w:val="auto"/>
        </w:rPr>
      </w:pPr>
    </w:p>
    <w:p>
      <w:pPr>
        <w:ind w:left="1050" w:hanging="626"/>
        <w:spacing w:after="0" w:line="258" w:lineRule="auto"/>
        <w:tabs>
          <w:tab w:leader="none" w:pos="1050"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Document has been published in a form including (i) a description of the Facility and the Finance Parties as agreed between the Borrower and the MLABUs (acting reasonably) and subject to any amendment requested by BaFin, and (ii) a maximum offer price not exceeding the Offer Maximum Price, and which otherwise complies with the Offer Undertakings;</w:t>
      </w:r>
    </w:p>
    <w:p>
      <w:pPr>
        <w:spacing w:after="0" w:line="112"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30"/>
          </w:cols>
          <w:pgMar w:left="550" w:top="263" w:right="619" w:bottom="1440" w:gutter="0" w:footer="0" w:header="0"/>
        </w:sectPr>
      </w:pPr>
    </w:p>
    <w:bookmarkStart w:id="544" w:name="page545"/>
    <w:bookmarkEnd w:id="544"/>
    <w:p>
      <w:pPr>
        <w:ind w:left="1050" w:hanging="626"/>
        <w:spacing w:after="0"/>
        <w:tabs>
          <w:tab w:leader="none" w:pos="105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 certificate signed by one managing director (</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of the Borrower with sole power of representation</w:t>
      </w:r>
    </w:p>
    <w:p>
      <w:pPr>
        <w:spacing w:after="0" w:line="24" w:lineRule="exact"/>
        <w:rPr>
          <w:rFonts w:ascii="Times New Roman" w:cs="Times New Roman" w:eastAsia="Times New Roman" w:hAnsi="Times New Roman"/>
          <w:sz w:val="18"/>
          <w:szCs w:val="18"/>
          <w:color w:val="auto"/>
        </w:rPr>
      </w:pPr>
    </w:p>
    <w:p>
      <w:pPr>
        <w:ind w:left="1050"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Einzelvertretungsbefugnis</w:t>
      </w:r>
      <w:r>
        <w:rPr>
          <w:rFonts w:ascii="Times New Roman" w:cs="Times New Roman" w:eastAsia="Times New Roman" w:hAnsi="Times New Roman"/>
          <w:sz w:val="18"/>
          <w:szCs w:val="18"/>
          <w:color w:val="auto"/>
        </w:rPr>
        <w:t>), or by two managing directors or by one managing director and one authorised signatory (</w:t>
      </w:r>
      <w:r>
        <w:rPr>
          <w:rFonts w:ascii="Times New Roman" w:cs="Times New Roman" w:eastAsia="Times New Roman" w:hAnsi="Times New Roman"/>
          <w:sz w:val="18"/>
          <w:szCs w:val="18"/>
          <w:i w:val="1"/>
          <w:iCs w:val="1"/>
          <w:color w:val="auto"/>
        </w:rPr>
        <w:t>Prokurist</w:t>
      </w:r>
      <w:r>
        <w:rPr>
          <w:rFonts w:ascii="Times New Roman" w:cs="Times New Roman" w:eastAsia="Times New Roman" w:hAnsi="Times New Roman"/>
          <w:sz w:val="18"/>
          <w:szCs w:val="18"/>
          <w:color w:val="auto"/>
        </w:rPr>
        <w:t>) of the Borrower confirming the following:</w:t>
      </w:r>
    </w:p>
    <w:p>
      <w:pPr>
        <w:spacing w:after="0" w:line="93" w:lineRule="exact"/>
        <w:rPr>
          <w:rFonts w:ascii="Times New Roman" w:cs="Times New Roman" w:eastAsia="Times New Roman" w:hAnsi="Times New Roman"/>
          <w:sz w:val="18"/>
          <w:szCs w:val="18"/>
          <w:color w:val="auto"/>
        </w:rPr>
      </w:pPr>
    </w:p>
    <w:p>
      <w:pPr>
        <w:ind w:left="1710" w:right="60" w:hanging="639"/>
        <w:spacing w:after="0" w:line="258" w:lineRule="auto"/>
        <w:tabs>
          <w:tab w:leader="none" w:pos="171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Offer pursuant to the Offer Document (other than (x) payment of the purchase price under the Offer Document, (y) any other condition or matter which cannot be satisfied until the Offer Closing Date and (z) any other changes or waivers which are not prohibited by Clause 21.13 (Offer Undertaking)) have been satisfied or waived; and</w:t>
      </w:r>
    </w:p>
    <w:p>
      <w:pPr>
        <w:spacing w:after="0" w:line="85" w:lineRule="exact"/>
        <w:rPr>
          <w:rFonts w:ascii="Times New Roman" w:cs="Times New Roman" w:eastAsia="Times New Roman" w:hAnsi="Times New Roman"/>
          <w:sz w:val="18"/>
          <w:szCs w:val="18"/>
          <w:color w:val="auto"/>
        </w:rPr>
      </w:pPr>
    </w:p>
    <w:p>
      <w:pPr>
        <w:ind w:left="1710" w:right="660" w:hanging="639"/>
        <w:spacing w:after="0" w:line="270" w:lineRule="auto"/>
        <w:tabs>
          <w:tab w:leader="none" w:pos="171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Acquisition Approvals have been obtained or relevant waiting periods have expired without action by the competent authority;</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per Target share does not exceed the Offer Maximum Price; and</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acceptances in respect of the Offer.</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Utilisations during the Certain Funds Period</w:t>
      </w:r>
    </w:p>
    <w:p>
      <w:pPr>
        <w:spacing w:after="0" w:line="126" w:lineRule="exact"/>
        <w:rPr>
          <w:sz w:val="20"/>
          <w:szCs w:val="20"/>
          <w:color w:val="auto"/>
        </w:rPr>
      </w:pPr>
    </w:p>
    <w:p>
      <w:pPr>
        <w:ind w:left="430" w:right="20" w:hanging="430"/>
        <w:spacing w:after="0" w:line="258" w:lineRule="auto"/>
        <w:tabs>
          <w:tab w:leader="none" w:pos="43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4.1 (Initial conditions precedent) and Clause 4.4 (Offer Conditions Precedent), during the Certain Funds Period, the Lenders will only be obliged to comply with Clause 5.4 (Lenders’ participation) in relation to a Certain Funds Utilisation if, on the date of the Utilisation Request and on the proposed Utilisation Date:</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Major Default is continuing or would result from the proposed Utilisation;</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 of Control has occurred;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Major Representations are true in all material respects (whether before or after giving effect to such proposed Loan).</w:t>
      </w:r>
    </w:p>
    <w:p>
      <w:pPr>
        <w:spacing w:after="0" w:line="123"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Certain Funds Period (save in circumstances where, pursuant to paragraph (a) above, a Lender is not obliged to comply with Clause 5.4 (Lenders’ participation) and subject as provided in Clause 7.1 (Illegality)), none of the Finance Parties shall be entitled to:</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of its Commitments to the extent to do so would prevent or limit the making of a Certain Funds Utilisation;</w:t>
      </w:r>
    </w:p>
    <w:p>
      <w:pPr>
        <w:spacing w:after="0" w:line="123"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rescind, terminate or cancel this Agreement or the Facility or exercise any similar right or remedy or make or enforce any claim under the Finance Documents it may have to the extent to do so would prevent or limit the making of a Certain Funds Utilisation;</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participate in the making of a Certain Funds Utilisation;</w:t>
      </w:r>
    </w:p>
    <w:p>
      <w:pPr>
        <w:spacing w:after="0" w:line="123" w:lineRule="exact"/>
        <w:rPr>
          <w:rFonts w:ascii="Times New Roman" w:cs="Times New Roman" w:eastAsia="Times New Roman" w:hAnsi="Times New Roman"/>
          <w:sz w:val="18"/>
          <w:szCs w:val="18"/>
          <w:color w:val="auto"/>
        </w:rPr>
      </w:pPr>
    </w:p>
    <w:p>
      <w:pPr>
        <w:ind w:left="1050" w:right="520" w:hanging="626"/>
        <w:spacing w:after="0" w:line="270" w:lineRule="auto"/>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 of set-off or counterclaim in respect of a Utilisation to the extent to do so would prevent or limit the making of a Certain Funds Utilisation; or</w:t>
      </w:r>
    </w:p>
    <w:p>
      <w:pPr>
        <w:spacing w:after="0" w:line="76" w:lineRule="exact"/>
        <w:rPr>
          <w:rFonts w:ascii="Times New Roman" w:cs="Times New Roman" w:eastAsia="Times New Roman" w:hAnsi="Times New Roman"/>
          <w:sz w:val="18"/>
          <w:szCs w:val="18"/>
          <w:color w:val="auto"/>
        </w:rPr>
      </w:pPr>
    </w:p>
    <w:p>
      <w:pPr>
        <w:ind w:left="1050" w:right="100" w:hanging="626"/>
        <w:spacing w:after="0" w:line="270" w:lineRule="auto"/>
        <w:tabs>
          <w:tab w:leader="none" w:pos="1050"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accelerate or cause repayment or prepayment of any amounts owing under this Agreement or under any other Finance Document to the extent to do so would prevent or limit the making of a Certain Funds Utilisation,</w:t>
      </w:r>
    </w:p>
    <w:p>
      <w:pPr>
        <w:spacing w:after="0" w:line="61" w:lineRule="exact"/>
        <w:rPr>
          <w:sz w:val="20"/>
          <w:szCs w:val="20"/>
          <w:color w:val="auto"/>
        </w:rPr>
      </w:pPr>
    </w:p>
    <w:p>
      <w:pPr>
        <w:ind w:left="43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provided that </w:t>
      </w:r>
      <w:r>
        <w:rPr>
          <w:rFonts w:ascii="Times New Roman" w:cs="Times New Roman" w:eastAsia="Times New Roman" w:hAnsi="Times New Roman"/>
          <w:sz w:val="18"/>
          <w:szCs w:val="18"/>
          <w:color w:val="auto"/>
        </w:rPr>
        <w:t>immediately upon the expiry of the Certain Funds Period all such rights, remedies and entitlements shall be available to the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notwithstanding that they may not have been used or been available for use during the Certain Funds Period.</w:t>
      </w:r>
    </w:p>
    <w:p>
      <w:pPr>
        <w:spacing w:after="0" w:line="309" w:lineRule="exact"/>
        <w:rPr>
          <w:sz w:val="20"/>
          <w:szCs w:val="20"/>
          <w:color w:val="auto"/>
        </w:rPr>
      </w:pPr>
    </w:p>
    <w:p>
      <w:pPr>
        <w:ind w:left="430" w:hanging="430"/>
        <w:spacing w:after="0"/>
        <w:tabs>
          <w:tab w:leader="none" w:pos="430" w:val="left"/>
        </w:tabs>
        <w:numPr>
          <w:ilvl w:val="0"/>
          <w:numId w:val="4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Borrower may utilise the Facility by delivery to the Agent of a duly completed Utilisation Request not later than the Specified Time.</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26" w:lineRule="exact"/>
        <w:rPr>
          <w:sz w:val="20"/>
          <w:szCs w:val="20"/>
          <w:color w:val="auto"/>
        </w:rPr>
      </w:pPr>
    </w:p>
    <w:p>
      <w:pPr>
        <w:ind w:left="430" w:hanging="430"/>
        <w:spacing w:after="0"/>
        <w:tabs>
          <w:tab w:leader="none" w:pos="43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Loan is irrevocable and will not be regarded as having been duly completed unless: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not a Syndication Date;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such Loan comply with Clause 5.3 (Currency and amount); and</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90"/>
          </w:cols>
          <w:pgMar w:left="550" w:top="264" w:right="559" w:bottom="1440" w:gutter="0" w:footer="0" w:header="0"/>
        </w:sectPr>
      </w:pPr>
    </w:p>
    <w:bookmarkStart w:id="545" w:name="page546"/>
    <w:bookmarkEnd w:id="545"/>
    <w:p>
      <w:pPr>
        <w:ind w:left="1050" w:hanging="626"/>
        <w:spacing w:after="0"/>
        <w:tabs>
          <w:tab w:leader="none" w:pos="1050" w:val="left"/>
        </w:tabs>
        <w:numPr>
          <w:ilvl w:val="1"/>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proposed first Interest Period complies with Clause 9 (Interest Periods).</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Loan may be requested in each Utilisation Request.</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26" w:lineRule="exact"/>
        <w:rPr>
          <w:sz w:val="20"/>
          <w:szCs w:val="20"/>
          <w:color w:val="auto"/>
        </w:rPr>
      </w:pPr>
    </w:p>
    <w:p>
      <w:pPr>
        <w:ind w:left="430" w:hanging="430"/>
        <w:spacing w:after="0"/>
        <w:tabs>
          <w:tab w:leader="none" w:pos="43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euro.</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proposed Loan specified in a Utilisation Request must be an amount which does not exceed the Available Facility and which is</w:t>
      </w:r>
    </w:p>
    <w:p>
      <w:pPr>
        <w:spacing w:after="0" w:line="33" w:lineRule="exact"/>
        <w:rPr>
          <w:rFonts w:ascii="Times New Roman" w:cs="Times New Roman" w:eastAsia="Times New Roman" w:hAnsi="Times New Roman"/>
          <w:sz w:val="17"/>
          <w:szCs w:val="17"/>
          <w:color w:val="auto"/>
        </w:rPr>
      </w:pP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 minimum of EUR50,000,000 and an integral multiple of EUR10,000,000, or (ii) if less, the Available Facility.</w:t>
      </w:r>
    </w:p>
    <w:p>
      <w:pPr>
        <w:spacing w:after="0" w:line="10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participation</w:t>
      </w:r>
    </w:p>
    <w:p>
      <w:pPr>
        <w:spacing w:after="0" w:line="126" w:lineRule="exact"/>
        <w:rPr>
          <w:sz w:val="20"/>
          <w:szCs w:val="20"/>
          <w:color w:val="auto"/>
        </w:rPr>
      </w:pPr>
    </w:p>
    <w:p>
      <w:pPr>
        <w:ind w:left="430" w:right="300" w:hanging="430"/>
        <w:spacing w:after="0" w:line="270" w:lineRule="auto"/>
        <w:tabs>
          <w:tab w:leader="none" w:pos="43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conditions set out in this Agreement have been met and subject to Clause 7.1 (Illegality) and Clause 7.5 (Change of Control), each Lender shall make its participation in each Loan available by the Utilisation Date for such Loan through its Facility Office.</w:t>
      </w:r>
    </w:p>
    <w:p>
      <w:pPr>
        <w:spacing w:after="0" w:line="76" w:lineRule="exact"/>
        <w:rPr>
          <w:rFonts w:ascii="Times New Roman" w:cs="Times New Roman" w:eastAsia="Times New Roman" w:hAnsi="Times New Roman"/>
          <w:sz w:val="18"/>
          <w:szCs w:val="18"/>
          <w:color w:val="auto"/>
        </w:rPr>
      </w:pPr>
    </w:p>
    <w:p>
      <w:pPr>
        <w:ind w:left="430" w:right="40" w:hanging="430"/>
        <w:spacing w:after="0" w:line="270" w:lineRule="auto"/>
        <w:tabs>
          <w:tab w:leader="none" w:pos="43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will be equal to a proportion of such Loan, such proportion being equal to the proportion borne by such Lender’s Available Commitment to the Available Facility immediately prior to making such Loan.</w:t>
      </w:r>
    </w:p>
    <w:p>
      <w:pPr>
        <w:spacing w:after="0" w:line="76"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each Lender of the amount of each Loan and the amount of its participation in that Loan in each case by the Specified Time.</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Available Facility</w:t>
      </w:r>
    </w:p>
    <w:p>
      <w:pPr>
        <w:spacing w:after="0" w:line="112" w:lineRule="exact"/>
        <w:rPr>
          <w:sz w:val="20"/>
          <w:szCs w:val="20"/>
          <w:color w:val="auto"/>
        </w:rPr>
      </w:pPr>
    </w:p>
    <w:p>
      <w:pPr>
        <w:ind w:left="430" w:right="320"/>
        <w:spacing w:after="0" w:line="270" w:lineRule="auto"/>
        <w:rPr>
          <w:sz w:val="20"/>
          <w:szCs w:val="20"/>
          <w:color w:val="auto"/>
        </w:rPr>
      </w:pPr>
      <w:r>
        <w:rPr>
          <w:rFonts w:ascii="Times New Roman" w:cs="Times New Roman" w:eastAsia="Times New Roman" w:hAnsi="Times New Roman"/>
          <w:sz w:val="18"/>
          <w:szCs w:val="18"/>
          <w:color w:val="auto"/>
        </w:rPr>
        <w:t>The Commitments which, at that time, are unutilised (being, in respect of each Lender, the amount by which the Commitment of such Lender exceeds its aggregate participation in the Loans) shall be immediately cancelled at 5pm on the last day of the Availability Period.</w:t>
      </w:r>
    </w:p>
    <w:p>
      <w:pPr>
        <w:spacing w:after="0" w:line="312" w:lineRule="exact"/>
        <w:rPr>
          <w:sz w:val="20"/>
          <w:szCs w:val="20"/>
          <w:color w:val="auto"/>
        </w:rPr>
      </w:pPr>
    </w:p>
    <w:p>
      <w:pPr>
        <w:ind w:left="430" w:hanging="430"/>
        <w:spacing w:after="0"/>
        <w:tabs>
          <w:tab w:leader="none" w:pos="43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w:t>
      </w:r>
    </w:p>
    <w:p>
      <w:pPr>
        <w:spacing w:after="0" w:line="126" w:lineRule="exact"/>
        <w:rPr>
          <w:sz w:val="20"/>
          <w:szCs w:val="20"/>
          <w:color w:val="auto"/>
        </w:rPr>
      </w:pPr>
    </w:p>
    <w:p>
      <w:pPr>
        <w:ind w:left="430" w:hanging="430"/>
        <w:spacing w:after="0"/>
        <w:tabs>
          <w:tab w:leader="none" w:pos="43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each Loan in full on the Final Maturity Date.</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the Facility which is repaid.</w:t>
      </w:r>
    </w:p>
    <w:p>
      <w:pPr>
        <w:spacing w:after="0" w:line="359" w:lineRule="exact"/>
        <w:rPr>
          <w:sz w:val="20"/>
          <w:szCs w:val="20"/>
          <w:color w:val="auto"/>
        </w:rPr>
      </w:pPr>
    </w:p>
    <w:p>
      <w:pPr>
        <w:ind w:left="10" w:right="7200" w:hanging="10"/>
        <w:spacing w:after="0" w:line="376" w:lineRule="auto"/>
        <w:tabs>
          <w:tab w:leader="none" w:pos="433" w:val="left"/>
        </w:tabs>
        <w:numPr>
          <w:ilvl w:val="0"/>
          <w:numId w:val="5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 7.1 Illegality</w:t>
      </w:r>
    </w:p>
    <w:p>
      <w:pPr>
        <w:spacing w:after="0" w:line="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7"/>
          <w:szCs w:val="17"/>
          <w:color w:val="auto"/>
        </w:rPr>
        <w:t>If, at any time, it is or will become unlawful in any applicable jurisdiction for a Lender to perform any of its obligations as contemplated by this</w:t>
      </w:r>
    </w:p>
    <w:p>
      <w:pPr>
        <w:spacing w:after="0" w:line="3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any part thereof:</w:t>
      </w:r>
    </w:p>
    <w:p>
      <w:pPr>
        <w:spacing w:after="0" w:line="106" w:lineRule="exact"/>
        <w:rPr>
          <w:sz w:val="20"/>
          <w:szCs w:val="20"/>
          <w:color w:val="auto"/>
        </w:rPr>
      </w:pPr>
    </w:p>
    <w:p>
      <w:pPr>
        <w:ind w:left="1050" w:right="140" w:hanging="626"/>
        <w:spacing w:after="0" w:line="270" w:lineRule="auto"/>
        <w:tabs>
          <w:tab w:leader="none" w:pos="105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 and the Agent shall promptly notify the Borrower upon the receipt of such notification from that Lender;</w:t>
      </w:r>
    </w:p>
    <w:p>
      <w:pPr>
        <w:spacing w:after="0" w:line="76" w:lineRule="exact"/>
        <w:rPr>
          <w:rFonts w:ascii="Times New Roman" w:cs="Times New Roman" w:eastAsia="Times New Roman" w:hAnsi="Times New Roman"/>
          <w:sz w:val="18"/>
          <w:szCs w:val="18"/>
          <w:color w:val="auto"/>
        </w:rPr>
      </w:pPr>
    </w:p>
    <w:p>
      <w:pPr>
        <w:ind w:left="1050" w:hanging="626"/>
        <w:spacing w:after="0" w:line="258" w:lineRule="auto"/>
        <w:tabs>
          <w:tab w:leader="none" w:pos="105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 the Available Commitment of that Lender will be immediately cancelled and reduced to zero and the Commitment of that Lender shall be reduced by the amount of the Available Commitment so cancelled (and that Lender shall not be obliged to participate in the making of any Loan); and</w:t>
      </w:r>
    </w:p>
    <w:p>
      <w:pPr>
        <w:spacing w:after="0" w:line="85" w:lineRule="exact"/>
        <w:rPr>
          <w:rFonts w:ascii="Times New Roman" w:cs="Times New Roman" w:eastAsia="Times New Roman" w:hAnsi="Times New Roman"/>
          <w:sz w:val="18"/>
          <w:szCs w:val="18"/>
          <w:color w:val="auto"/>
        </w:rPr>
      </w:pPr>
    </w:p>
    <w:p>
      <w:pPr>
        <w:ind w:left="1050" w:right="140" w:hanging="626"/>
        <w:spacing w:after="0" w:line="250" w:lineRule="auto"/>
        <w:tabs>
          <w:tab w:leader="none" w:pos="105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that Lender’s participation in each Loan has not been transferred to another person pursuant to Clause 7.4 (Right of repayment and cancellation in relation to a single Lender), the Borrower shall repay that Lender’s participation in each Loan on the last day of the Interest Period for such Loan occurring after the Agent has notified the Borrower or, if earlier, the date specified by that Lender in the notice delivered to the Agent (being no earlier than the last day of any applicable grace period permitted by law). Upon such prepayment of that Lender’s participation in any Loan, the Commitment of that Lender shall be cancelled and reduced by the amount of such prepayment.</w:t>
      </w:r>
    </w:p>
    <w:p>
      <w:pPr>
        <w:spacing w:after="0" w:line="9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26" w:lineRule="exact"/>
        <w:rPr>
          <w:sz w:val="20"/>
          <w:szCs w:val="20"/>
          <w:color w:val="auto"/>
        </w:rPr>
      </w:pPr>
    </w:p>
    <w:p>
      <w:pPr>
        <w:ind w:left="430" w:right="200" w:hanging="430"/>
        <w:spacing w:after="0" w:line="258" w:lineRule="auto"/>
        <w:tabs>
          <w:tab w:leader="none" w:pos="43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if it gives the Agent not less than three (3) Business Days’ (or such shorter period as the Majority Lenders may agree) prior notice, reduce the Available Facility to zero or by such amount (being a minimum amount of EUR50,000,000 and an integral multiple of EUR10,000,000) as the Borrower may specify in such notice.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reduction of the Available Facility under this Clause 7.2 shall reduce the Commitments of the Lenders rateably.</w:t>
      </w:r>
    </w:p>
    <w:p>
      <w:pPr>
        <w:spacing w:after="0" w:line="15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30"/>
          </w:cols>
          <w:pgMar w:left="550" w:top="266" w:right="619" w:bottom="1440" w:gutter="0" w:footer="0" w:header="0"/>
        </w:sectPr>
      </w:pPr>
    </w:p>
    <w:bookmarkStart w:id="546" w:name="page547"/>
    <w:bookmarkEnd w:id="546"/>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126" w:lineRule="exact"/>
        <w:rPr>
          <w:sz w:val="20"/>
          <w:szCs w:val="20"/>
          <w:color w:val="auto"/>
        </w:rPr>
      </w:pPr>
    </w:p>
    <w:p>
      <w:pPr>
        <w:ind w:left="430" w:right="20" w:hanging="430"/>
        <w:spacing w:after="0" w:line="258" w:lineRule="auto"/>
        <w:tabs>
          <w:tab w:leader="none" w:pos="43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if it gives the Agent not less than three (3) Business Days’ prior notice in writing, prepay the whole or any part of any Loan,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in the case of any prepayment of any Loan in part, the amount of such prepayment reduces the amount of such Loan by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(i) not less than EUR50,000,000 and (ii) if in excess of EUR50,000,000, an integral multiple of EUR10,000,000.</w:t>
      </w:r>
    </w:p>
    <w:p>
      <w:pPr>
        <w:spacing w:after="0" w:line="85" w:lineRule="exact"/>
        <w:rPr>
          <w:rFonts w:ascii="Times New Roman" w:cs="Times New Roman" w:eastAsia="Times New Roman" w:hAnsi="Times New Roman"/>
          <w:sz w:val="18"/>
          <w:szCs w:val="18"/>
          <w:color w:val="auto"/>
        </w:rPr>
      </w:pPr>
    </w:p>
    <w:p>
      <w:pPr>
        <w:ind w:left="430" w:right="540" w:hanging="430"/>
        <w:spacing w:after="0" w:line="270" w:lineRule="auto"/>
        <w:tabs>
          <w:tab w:leader="none" w:pos="43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only be prepaid under this Clause 7.3 after the last day of the Availability Period (or, if earlier, the day on which the Available Facility is zero).</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Right of repayment and cancellation in relation to a single Lender</w:t>
      </w:r>
    </w:p>
    <w:p>
      <w:pPr>
        <w:spacing w:after="0" w:line="126" w:lineRule="exact"/>
        <w:rPr>
          <w:sz w:val="20"/>
          <w:szCs w:val="20"/>
          <w:color w:val="auto"/>
        </w:rPr>
      </w:pPr>
    </w:p>
    <w:p>
      <w:pPr>
        <w:ind w:left="430" w:hanging="430"/>
        <w:spacing w:after="0"/>
        <w:tabs>
          <w:tab w:leader="none" w:pos="43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Clause 12.2 (Tax gross-up);</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an Obligor under Clause 12.3 (Tax indemnity) or Clause 13 (Increased Costs);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 Defaulting Lender,</w:t>
      </w:r>
    </w:p>
    <w:p>
      <w:pPr>
        <w:spacing w:after="0" w:line="110" w:lineRule="exact"/>
        <w:rPr>
          <w:sz w:val="20"/>
          <w:szCs w:val="20"/>
          <w:color w:val="auto"/>
        </w:rPr>
      </w:pPr>
    </w:p>
    <w:p>
      <w:pPr>
        <w:ind w:left="430" w:right="40"/>
        <w:spacing w:after="0" w:line="253" w:lineRule="auto"/>
        <w:rPr>
          <w:sz w:val="20"/>
          <w:szCs w:val="20"/>
          <w:color w:val="auto"/>
        </w:rPr>
      </w:pPr>
      <w:r>
        <w:rPr>
          <w:rFonts w:ascii="Times New Roman" w:cs="Times New Roman" w:eastAsia="Times New Roman" w:hAnsi="Times New Roman"/>
          <w:sz w:val="18"/>
          <w:szCs w:val="18"/>
          <w:color w:val="auto"/>
        </w:rPr>
        <w:t xml:space="preserve">the Borrower may, whilst (in the case of paragraph (i)) the circumstance giving rise to such requirement continues (in the case of paragraph (ii)) the circumstance giving rise to such indemnification continues or (in the case of paragraph (iii)) such Lender continues to be a Defaulting Lender, give the Agent and that Lender written notice of its intention to procure the repayment of that Lender’s participation (if any) in the Loans and the cancellation of the Commitment of that Lender (a </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30" w:right="80" w:hanging="430"/>
        <w:spacing w:after="0" w:line="258" w:lineRule="auto"/>
        <w:tabs>
          <w:tab w:leader="none" w:pos="43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Cancellation Notice referred to in paragraph (a) above in respect of any Lender, the Available Commitment of that Lender shall immediately be cancelled and reduced to zero (and the Commitment of that Lender shall be reduced by the amount of the Available Commitment so cancelled).</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day of each Interest Period relating to any Loan which ends after the Borrower has given a Cancellation Notice under paragraph</w:t>
      </w:r>
    </w:p>
    <w:p>
      <w:pPr>
        <w:spacing w:after="0" w:line="22" w:lineRule="exact"/>
        <w:rPr>
          <w:rFonts w:ascii="Times New Roman" w:cs="Times New Roman" w:eastAsia="Times New Roman" w:hAnsi="Times New Roman"/>
          <w:sz w:val="18"/>
          <w:szCs w:val="18"/>
          <w:color w:val="auto"/>
        </w:rPr>
      </w:pPr>
    </w:p>
    <w:p>
      <w:pPr>
        <w:ind w:left="430" w:hanging="6"/>
        <w:spacing w:after="0" w:line="246" w:lineRule="auto"/>
        <w:tabs>
          <w:tab w:leader="none" w:pos="669"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respect of any Lender (or, if earlier, the date specified by the Borrower in that notice), the Borrower shall repay that Lender’s participation (if any) in that Loan (for the avoidance of doubt, together with all accrued interest on that Loan and all other amounts owing or payable to such Lender under the Finance Documents). Upon such prepayment of that Lender’s participation in any Loan, the Commitment of that Lender shall be reduced by the amount of such prepayment.</w:t>
      </w:r>
    </w:p>
    <w:p>
      <w:pPr>
        <w:spacing w:after="0" w:line="98"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Clause 12.2 (Tax gross-up);</w:t>
      </w:r>
    </w:p>
    <w:p>
      <w:pPr>
        <w:spacing w:after="0" w:line="124" w:lineRule="exact"/>
        <w:rPr>
          <w:sz w:val="20"/>
          <w:szCs w:val="20"/>
          <w:color w:val="auto"/>
        </w:rPr>
      </w:pPr>
    </w:p>
    <w:p>
      <w:pPr>
        <w:ind w:left="1050" w:hanging="626"/>
        <w:spacing w:after="0"/>
        <w:tabs>
          <w:tab w:leader="none" w:pos="105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an Obligor under Clause 12.3 (Tax indemnity) or Clause 13 (Increased Costs);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becomes obliged to repay any Loan in accordance with Clause 7.1 (Illegality);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 Non-Consenting Lender (as defined in paragraph (f) below);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and continues to be a Defaulting Lender,</w:t>
      </w:r>
    </w:p>
    <w:p>
      <w:pPr>
        <w:spacing w:after="0" w:line="110" w:lineRule="exact"/>
        <w:rPr>
          <w:sz w:val="20"/>
          <w:szCs w:val="20"/>
          <w:color w:val="auto"/>
        </w:rPr>
      </w:pPr>
    </w:p>
    <w:p>
      <w:pPr>
        <w:ind w:left="430"/>
        <w:spacing w:after="0" w:line="247" w:lineRule="auto"/>
        <w:rPr>
          <w:sz w:val="20"/>
          <w:szCs w:val="20"/>
          <w:color w:val="auto"/>
        </w:rPr>
      </w:pPr>
      <w:r>
        <w:rPr>
          <w:rFonts w:ascii="Times New Roman" w:cs="Times New Roman" w:eastAsia="Times New Roman" w:hAnsi="Times New Roman"/>
          <w:sz w:val="18"/>
          <w:szCs w:val="18"/>
          <w:color w:val="auto"/>
        </w:rPr>
        <w:t xml:space="preserve">the Borrower may, on not less than five (5) Business Days’ prior written notice to the Agent and that Lender of its intention to replace that Lender (a </w:t>
      </w:r>
      <w:r>
        <w:rPr>
          <w:rFonts w:ascii="Times New Roman" w:cs="Times New Roman" w:eastAsia="Times New Roman" w:hAnsi="Times New Roman"/>
          <w:sz w:val="18"/>
          <w:szCs w:val="18"/>
          <w:b w:val="1"/>
          <w:bCs w:val="1"/>
          <w:color w:val="auto"/>
        </w:rPr>
        <w:t>Replacement Notice</w:t>
      </w:r>
      <w:r>
        <w:rPr>
          <w:rFonts w:ascii="Times New Roman" w:cs="Times New Roman" w:eastAsia="Times New Roman" w:hAnsi="Times New Roman"/>
          <w:sz w:val="18"/>
          <w:szCs w:val="18"/>
          <w:color w:val="auto"/>
        </w:rPr>
        <w:t xml:space="preserve">), replace that Lender (a </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xml:space="preserve">) by requiring such Replaced Lender to (and, to the extent permitted by law, such Replaced Lender shall) transfer pursuant to Clause 23 (Changes to the Lenders) all (and not part only) of its rights and obligations under this Agreement to a Lender or any other bank, financial institution, trust fund or other entity selected by the Borrower (which satisfies the criteria for a Lender under Clause 23.1 (Assignments and transfers by the Lenders) and does not contravene Clause 35 (Restrictions on Debt Purchase Transactions))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which confirms (x) its willingness to assume and does assume all the obligations of such Replaced Lender in accordance with Clause 23 (Changes to the Lenders) for a purchase price in cash payable, free and clear from any and all withholdings and deductions, at the time of such transfer equal to the sum of (and in the currency of) (A) the aggregate outstanding principal amount of such Replaced Lender’s participation in each of the outstanding Loans, (B) all accrued interest (whether or not due) thereon, (C) any Break Costs that would have been payable to such Replaced Lender had such Replaced Lender received payment of its participation in each of the Loans and accrued interest thereon and other sums payable under the Finance Documents from the Obligors on the date of such transfer and (D) all other amounts owing or payable to such Replaced Lender under the Finance Documents, and (y) (in the case where such Replaced Lender is a Non-Consenting Lender) its consent to the waiver or amendment (that is the subject of the applicable Non-Consenting Event which constitutes such Replaced Lender as a Non-Consenting Lender).</w:t>
      </w:r>
    </w:p>
    <w:p>
      <w:pPr>
        <w:spacing w:after="0" w:line="12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50"/>
          </w:cols>
          <w:pgMar w:left="550" w:top="264" w:right="599" w:bottom="1440" w:gutter="0" w:footer="0" w:header="0"/>
        </w:sectPr>
      </w:pPr>
    </w:p>
    <w:bookmarkStart w:id="547" w:name="page548"/>
    <w:bookmarkEnd w:id="547"/>
    <w:p>
      <w:pPr>
        <w:ind w:left="430" w:right="200" w:hanging="430"/>
        <w:spacing w:after="0" w:line="270" w:lineRule="auto"/>
        <w:tabs>
          <w:tab w:leader="none" w:pos="43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replacement of a Replaced Lender and the transfer of rights and obligations of such Replaced Lender to the applicable Replacement Lender pursuant to paragraph (d) above shall be subject to the following conditions: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no right to replace the Agent;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Finance Parties (including without limitation such Replaced Lender) shall have any obligation to find a Replacement Lender;</w:t>
      </w:r>
    </w:p>
    <w:p>
      <w:pPr>
        <w:spacing w:after="0" w:line="135" w:lineRule="exact"/>
        <w:rPr>
          <w:rFonts w:ascii="Times New Roman" w:cs="Times New Roman" w:eastAsia="Times New Roman" w:hAnsi="Times New Roman"/>
          <w:sz w:val="17"/>
          <w:szCs w:val="17"/>
          <w:color w:val="auto"/>
        </w:rPr>
      </w:pPr>
    </w:p>
    <w:p>
      <w:pPr>
        <w:ind w:left="1050" w:hanging="626"/>
        <w:spacing w:after="0" w:line="253" w:lineRule="auto"/>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such Replaced Lender be required to pay, account for or surrender to such Replacement Lender for any amount (including without limitation any fees) received or recovered by such Replaced Lender pursuant to the Finance Documents prior to or in respect of any time prior to such transfer (except if any portion of such recovered amount is attributable to any amount receivable by such Replacement Lender after the date of such transfer from such Replaced Lender to such Replacement Lender);</w:t>
      </w:r>
    </w:p>
    <w:p>
      <w:pPr>
        <w:spacing w:after="0" w:line="92" w:lineRule="exact"/>
        <w:rPr>
          <w:rFonts w:ascii="Times New Roman" w:cs="Times New Roman" w:eastAsia="Times New Roman" w:hAnsi="Times New Roman"/>
          <w:sz w:val="18"/>
          <w:szCs w:val="18"/>
          <w:color w:val="auto"/>
        </w:rPr>
      </w:pPr>
    </w:p>
    <w:p>
      <w:pPr>
        <w:ind w:left="1050" w:right="20" w:hanging="626"/>
        <w:spacing w:after="0" w:line="251" w:lineRule="auto"/>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Replaced Lender shall not be obliged to make such transfer or execute any Transfer Certificate in respect of such transfer unless it is satisfied (acting reasonably) that it has completed all “know your customer” and other similar procedures that it is required to conduct in relation to such transfer to such Replacement Lender (and the Replaced Lender shall perform such procedures as soon as reasonably practicable following delivery of a Replacement Notice to it in respect of such transfer and shall notify the Agent and the Borrower when it is satisfied that it has completed such procedures);</w:t>
      </w:r>
    </w:p>
    <w:p>
      <w:pPr>
        <w:spacing w:after="0" w:line="94" w:lineRule="exact"/>
        <w:rPr>
          <w:rFonts w:ascii="Times New Roman" w:cs="Times New Roman" w:eastAsia="Times New Roman" w:hAnsi="Times New Roman"/>
          <w:sz w:val="18"/>
          <w:szCs w:val="18"/>
          <w:color w:val="auto"/>
        </w:rPr>
      </w:pPr>
    </w:p>
    <w:p>
      <w:pPr>
        <w:ind w:left="1050" w:right="100" w:hanging="626"/>
        <w:spacing w:after="0" w:line="258" w:lineRule="auto"/>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Replaced Lender shall not be required to make any such transfer to the extent that such transfer is, or would be reasonably likely to result, in breach of or non-compliance with any applicable law or regulation, or any rules or regulations of any applicable securities exchange applicable to such Replaced Lender or such Replacement Lender;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Replaced Lender shall only be obliged to make such transfer if:</w:t>
      </w:r>
    </w:p>
    <w:p>
      <w:pPr>
        <w:spacing w:after="0" w:line="123" w:lineRule="exact"/>
        <w:rPr>
          <w:rFonts w:ascii="Times New Roman" w:cs="Times New Roman" w:eastAsia="Times New Roman" w:hAnsi="Times New Roman"/>
          <w:sz w:val="18"/>
          <w:szCs w:val="18"/>
          <w:color w:val="auto"/>
        </w:rPr>
      </w:pPr>
    </w:p>
    <w:p>
      <w:pPr>
        <w:ind w:left="1710" w:right="20" w:hanging="639"/>
        <w:spacing w:after="0" w:line="253" w:lineRule="auto"/>
        <w:tabs>
          <w:tab w:leader="none" w:pos="1710" w:val="left"/>
        </w:tabs>
        <w:numPr>
          <w:ilvl w:val="2"/>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(d)(i), (d)(ii) or (d)(iii), at the time of such transfer, the circumstance giving rise to such requirement for increased payments to such Replaced Lender under Clause 12.2 (Tax gross-up) or such indemnification in favour of such Replaced Lender under Clause 12.3 (Tax indemnity) or Clause 13 (Increased Costs) or the Borrower’s obligation to repay any Loan in accordance with Clause 7.1 (Illegality) (as the case may be) is continuing;</w:t>
      </w:r>
    </w:p>
    <w:p>
      <w:pPr>
        <w:spacing w:after="0" w:line="92" w:lineRule="exact"/>
        <w:rPr>
          <w:rFonts w:ascii="Times New Roman" w:cs="Times New Roman" w:eastAsia="Times New Roman" w:hAnsi="Times New Roman"/>
          <w:sz w:val="18"/>
          <w:szCs w:val="18"/>
          <w:color w:val="auto"/>
        </w:rPr>
      </w:pPr>
    </w:p>
    <w:p>
      <w:pPr>
        <w:ind w:left="1710" w:right="420" w:hanging="639"/>
        <w:spacing w:after="0" w:line="258" w:lineRule="auto"/>
        <w:tabs>
          <w:tab w:leader="none" w:pos="1710" w:val="left"/>
        </w:tabs>
        <w:numPr>
          <w:ilvl w:val="2"/>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(d)(iv), such transfer is to be made no later than thirty (30) days after the date on which the Non-Consenting Event constituting such Replaced Lender a Non-Consenting Lender first arose, and such Non-Consenting Event is continuing at the time of such transfer; or</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(d)(v), such Replaced Lender continues to be a Defaulting Lender.</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23" w:lineRule="exact"/>
        <w:rPr>
          <w:rFonts w:ascii="Times New Roman" w:cs="Times New Roman" w:eastAsia="Times New Roman" w:hAnsi="Times New Roman"/>
          <w:sz w:val="18"/>
          <w:szCs w:val="18"/>
          <w:color w:val="auto"/>
        </w:rPr>
      </w:pPr>
    </w:p>
    <w:p>
      <w:pPr>
        <w:ind w:left="1050" w:right="700" w:hanging="626"/>
        <w:spacing w:after="0" w:line="270" w:lineRule="auto"/>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or the Agent (at the request of the Obligors) has requested the Lenders to consent to a waiver or amendment of any provisions of the Finance Documents;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or amendment in question requires the consent of all the Lenders;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 Majority Lenders have consented to such waiver or amendment,</w:t>
      </w:r>
    </w:p>
    <w:p>
      <w:pPr>
        <w:spacing w:after="0" w:line="108" w:lineRule="exact"/>
        <w:rPr>
          <w:sz w:val="20"/>
          <w:szCs w:val="20"/>
          <w:color w:val="auto"/>
        </w:rPr>
      </w:pPr>
    </w:p>
    <w:p>
      <w:pPr>
        <w:ind w:left="430" w:right="200"/>
        <w:spacing w:after="0" w:line="273" w:lineRule="auto"/>
        <w:rPr>
          <w:sz w:val="20"/>
          <w:szCs w:val="20"/>
          <w:color w:val="auto"/>
        </w:rPr>
      </w:pPr>
      <w:r>
        <w:rPr>
          <w:rFonts w:ascii="Times New Roman" w:cs="Times New Roman" w:eastAsia="Times New Roman" w:hAnsi="Times New Roman"/>
          <w:sz w:val="18"/>
          <w:szCs w:val="18"/>
          <w:color w:val="auto"/>
        </w:rPr>
        <w:t xml:space="preserve">then any Lender who does not and continues not to consent to such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and such event shall be a </w:t>
      </w:r>
      <w:r>
        <w:rPr>
          <w:rFonts w:ascii="Times New Roman" w:cs="Times New Roman" w:eastAsia="Times New Roman" w:hAnsi="Times New Roman"/>
          <w:sz w:val="18"/>
          <w:szCs w:val="18"/>
          <w:b w:val="1"/>
          <w:bCs w:val="1"/>
          <w:color w:val="auto"/>
        </w:rPr>
        <w:t>Non-Consenting Event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126" w:lineRule="exact"/>
        <w:rPr>
          <w:sz w:val="20"/>
          <w:szCs w:val="20"/>
          <w:color w:val="auto"/>
        </w:rPr>
      </w:pPr>
    </w:p>
    <w:p>
      <w:pPr>
        <w:ind w:left="430" w:hanging="430"/>
        <w:spacing w:after="0"/>
        <w:tabs>
          <w:tab w:leader="none" w:pos="43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promptly notify the Agent upon becoming aware of that event;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whether the Borrower has complied with paragraph (i) above):</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shall be obliged to participate in the making of any Loan; and</w:t>
      </w:r>
    </w:p>
    <w:p>
      <w:pPr>
        <w:spacing w:after="0" w:line="123" w:lineRule="exact"/>
        <w:rPr>
          <w:rFonts w:ascii="Times New Roman" w:cs="Times New Roman" w:eastAsia="Times New Roman" w:hAnsi="Times New Roman"/>
          <w:sz w:val="18"/>
          <w:szCs w:val="18"/>
          <w:color w:val="auto"/>
        </w:rPr>
      </w:pPr>
    </w:p>
    <w:p>
      <w:pPr>
        <w:ind w:left="1710" w:right="40" w:hanging="639"/>
        <w:spacing w:after="0" w:line="253" w:lineRule="auto"/>
        <w:tabs>
          <w:tab w:leader="none" w:pos="1710" w:val="left"/>
        </w:tabs>
        <w:numPr>
          <w:ilvl w:val="2"/>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 less than thirty (30) days’ notice to the Borrower, any Lender (acting in its sole discretion) may require that its participation in the Facility be immediately cancelled and the Borrower shall immediately prepay that Lender’s participation in all of the outstanding Loans, together with accrued interest and any Break Costs, and all other accrued amounts due and payable to that Lender under the Finance Documents.</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70"/>
          </w:cols>
          <w:pgMar w:left="550" w:top="266" w:right="579" w:bottom="1440" w:gutter="0" w:footer="0" w:header="0"/>
        </w:sectPr>
      </w:pPr>
    </w:p>
    <w:bookmarkStart w:id="548" w:name="page549"/>
    <w:bookmarkEnd w:id="548"/>
    <w:p>
      <w:pPr>
        <w:ind w:left="430" w:hanging="430"/>
        <w:spacing w:after="0"/>
        <w:tabs>
          <w:tab w:leader="none" w:pos="43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For the purpose of paragraph (a) above,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means:</w:t>
      </w:r>
    </w:p>
    <w:p>
      <w:pPr>
        <w:spacing w:after="0" w:line="125" w:lineRule="exact"/>
        <w:rPr>
          <w:rFonts w:ascii="Times New Roman" w:cs="Times New Roman" w:eastAsia="Times New Roman" w:hAnsi="Times New Roman"/>
          <w:sz w:val="18"/>
          <w:szCs w:val="18"/>
          <w:color w:val="auto"/>
        </w:rPr>
      </w:pPr>
    </w:p>
    <w:p>
      <w:pPr>
        <w:ind w:left="1050" w:right="340" w:hanging="626"/>
        <w:spacing w:after="0" w:line="270" w:lineRule="auto"/>
        <w:tabs>
          <w:tab w:leader="none" w:pos="105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ceasing to (directly or indirectly) beneficially hold and control fifty-one per cent. (51%) or more of the ordinary voting issued share capital in the Borrower;</w:t>
      </w:r>
    </w:p>
    <w:p>
      <w:pPr>
        <w:spacing w:after="0" w:line="76" w:lineRule="exact"/>
        <w:rPr>
          <w:rFonts w:ascii="Times New Roman" w:cs="Times New Roman" w:eastAsia="Times New Roman" w:hAnsi="Times New Roman"/>
          <w:sz w:val="18"/>
          <w:szCs w:val="18"/>
          <w:color w:val="auto"/>
        </w:rPr>
      </w:pPr>
    </w:p>
    <w:p>
      <w:pPr>
        <w:ind w:left="1050" w:right="280" w:hanging="626"/>
        <w:spacing w:after="0" w:line="270" w:lineRule="auto"/>
        <w:tabs>
          <w:tab w:leader="none" w:pos="105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ceasing to be able to appoint or remove such number of the directors or other equivalent officers of the Borrower which together control at least the majority of votes which may cast at a meeting of the board of directors of the Borrower; or</w:t>
      </w:r>
    </w:p>
    <w:p>
      <w:pPr>
        <w:spacing w:after="0" w:line="76"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acting in concert (other than any person or group of persons acting in concert who already control the Guarantor as at the date of this Agreement) gain(s) direct or indirect control of the Guarantor.</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For the purpose of this definition:</w:t>
      </w:r>
    </w:p>
    <w:p>
      <w:pPr>
        <w:spacing w:after="0" w:line="122" w:lineRule="exact"/>
        <w:rPr>
          <w:sz w:val="20"/>
          <w:szCs w:val="20"/>
          <w:color w:val="auto"/>
        </w:rPr>
      </w:pPr>
    </w:p>
    <w:p>
      <w:pPr>
        <w:ind w:left="1050" w:right="120" w:hanging="626"/>
        <w:spacing w:after="0" w:line="259" w:lineRule="auto"/>
        <w:tabs>
          <w:tab w:leader="none" w:pos="105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acting in concert </w:t>
      </w:r>
      <w:r>
        <w:rPr>
          <w:rFonts w:ascii="Times New Roman" w:cs="Times New Roman" w:eastAsia="Times New Roman" w:hAnsi="Times New Roman"/>
          <w:sz w:val="18"/>
          <w:szCs w:val="18"/>
          <w:color w:val="auto"/>
        </w:rPr>
        <w:t>means, a group of persons who, pursuant to an agreement or understanding (whether formal or informal), actively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through the acquisition directly or indirectly of shares in the Guarantor by any of them, either directly or indirectly, to obtain or consolidate control of the Guarantor; and</w:t>
      </w:r>
    </w:p>
    <w:p>
      <w:pPr>
        <w:spacing w:after="0" w:line="8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of a person means the power (whether by way of ownership of shares, proxy, contract, agency or otherwise) to:</w:t>
      </w:r>
    </w:p>
    <w:p>
      <w:pPr>
        <w:spacing w:after="0" w:line="125" w:lineRule="exact"/>
        <w:rPr>
          <w:rFonts w:ascii="Times New Roman" w:cs="Times New Roman" w:eastAsia="Times New Roman" w:hAnsi="Times New Roman"/>
          <w:sz w:val="18"/>
          <w:szCs w:val="18"/>
          <w:color w:val="auto"/>
        </w:rPr>
      </w:pPr>
    </w:p>
    <w:p>
      <w:pPr>
        <w:ind w:left="1710" w:right="260" w:hanging="639"/>
        <w:spacing w:after="0" w:line="270" w:lineRule="auto"/>
        <w:tabs>
          <w:tab w:leader="none" w:pos="171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or control the casting of, more than one-half of the maximum number of votes that might be cast at a general meeting of that person;</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all, or the majority, of the directors or other equivalent officers of that person; or</w:t>
      </w:r>
    </w:p>
    <w:p>
      <w:pPr>
        <w:spacing w:after="0" w:line="123" w:lineRule="exact"/>
        <w:rPr>
          <w:rFonts w:ascii="Times New Roman" w:cs="Times New Roman" w:eastAsia="Times New Roman" w:hAnsi="Times New Roman"/>
          <w:sz w:val="18"/>
          <w:szCs w:val="18"/>
          <w:color w:val="auto"/>
        </w:rPr>
      </w:pPr>
    </w:p>
    <w:p>
      <w:pPr>
        <w:ind w:left="1710" w:right="300" w:hanging="639"/>
        <w:spacing w:after="0" w:line="270" w:lineRule="auto"/>
        <w:tabs>
          <w:tab w:leader="none" w:pos="1710"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with respect to the operating and financial policies of that person with which the directors or other equivalent officers of that person are obliged to comply.</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7"/>
          <w:szCs w:val="17"/>
          <w:b w:val="1"/>
          <w:bCs w:val="1"/>
          <w:color w:val="auto"/>
        </w:rPr>
        <w:t>Restrictions</w:t>
      </w:r>
    </w:p>
    <w:p>
      <w:pPr>
        <w:spacing w:after="0" w:line="126" w:lineRule="exact"/>
        <w:rPr>
          <w:sz w:val="20"/>
          <w:szCs w:val="20"/>
          <w:color w:val="auto"/>
        </w:rPr>
      </w:pPr>
    </w:p>
    <w:p>
      <w:pPr>
        <w:ind w:left="430" w:right="160" w:hanging="430"/>
        <w:spacing w:after="0" w:line="258" w:lineRule="auto"/>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85" w:lineRule="exact"/>
        <w:rPr>
          <w:rFonts w:ascii="Times New Roman" w:cs="Times New Roman" w:eastAsia="Times New Roman" w:hAnsi="Times New Roman"/>
          <w:sz w:val="18"/>
          <w:szCs w:val="18"/>
          <w:color w:val="auto"/>
        </w:rPr>
      </w:pPr>
    </w:p>
    <w:p>
      <w:pPr>
        <w:ind w:left="430" w:right="540" w:hanging="430"/>
        <w:spacing w:after="0" w:line="270" w:lineRule="auto"/>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re-borrow any part of the Facility which is prepaid.</w:t>
      </w:r>
    </w:p>
    <w:p>
      <w:pPr>
        <w:spacing w:after="0" w:line="123" w:lineRule="exact"/>
        <w:rPr>
          <w:rFonts w:ascii="Times New Roman" w:cs="Times New Roman" w:eastAsia="Times New Roman" w:hAnsi="Times New Roman"/>
          <w:sz w:val="18"/>
          <w:szCs w:val="18"/>
          <w:color w:val="auto"/>
        </w:rPr>
      </w:pPr>
    </w:p>
    <w:p>
      <w:pPr>
        <w:ind w:left="430" w:right="800" w:hanging="430"/>
        <w:spacing w:after="0" w:line="270" w:lineRule="auto"/>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repay or prepay all or any part of the Loans or cancel or reduce all or any part of the Commitments or Available Commitments of the Lenders except at the times and in the manner expressly provided for in this Agreement.</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2.3 (Increase), no amount of the Total Commitments cancelled or reduced under this Agreement may be subsequently reinstated.</w:t>
      </w:r>
    </w:p>
    <w:p>
      <w:pPr>
        <w:spacing w:after="0" w:line="135" w:lineRule="exact"/>
        <w:rPr>
          <w:rFonts w:ascii="Times New Roman" w:cs="Times New Roman" w:eastAsia="Times New Roman" w:hAnsi="Times New Roman"/>
          <w:sz w:val="17"/>
          <w:szCs w:val="17"/>
          <w:color w:val="auto"/>
        </w:rPr>
      </w:pPr>
    </w:p>
    <w:p>
      <w:pPr>
        <w:ind w:left="430" w:right="180" w:hanging="430"/>
        <w:spacing w:after="0" w:line="270" w:lineRule="auto"/>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notice under this Clause 7 it shall promptly forward a copy of that notice to either the Borrower or the affected Lender, as appropriate.</w:t>
      </w:r>
    </w:p>
    <w:p>
      <w:pPr>
        <w:spacing w:after="0" w:line="76" w:lineRule="exact"/>
        <w:rPr>
          <w:rFonts w:ascii="Times New Roman" w:cs="Times New Roman" w:eastAsia="Times New Roman" w:hAnsi="Times New Roman"/>
          <w:sz w:val="18"/>
          <w:szCs w:val="18"/>
          <w:color w:val="auto"/>
        </w:rPr>
      </w:pPr>
    </w:p>
    <w:p>
      <w:pPr>
        <w:ind w:left="430" w:right="220" w:hanging="430"/>
        <w:spacing w:after="0" w:line="300" w:lineRule="auto"/>
        <w:tabs>
          <w:tab w:leader="none" w:pos="43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prepayment or repayment of a Loan or any part thereof (other than a prepayment or repayment pursuant to Clause 7.1 (Illegality) or Clause 7.4 (Right of repayment and cancellation in relation to a single Lender)) shall be applied pro rata to each Lender’s participation in that Loan.</w:t>
      </w:r>
    </w:p>
    <w:p>
      <w:pPr>
        <w:spacing w:after="0" w:line="53" w:lineRule="exact"/>
        <w:rPr>
          <w:rFonts w:ascii="Times New Roman" w:cs="Times New Roman" w:eastAsia="Times New Roman" w:hAnsi="Times New Roman"/>
          <w:sz w:val="17"/>
          <w:szCs w:val="17"/>
          <w:color w:val="auto"/>
        </w:rPr>
      </w:pPr>
    </w:p>
    <w:p>
      <w:pPr>
        <w:ind w:left="430" w:hanging="430"/>
        <w:spacing w:after="0" w:line="258" w:lineRule="auto"/>
        <w:tabs>
          <w:tab w:leader="none" w:pos="43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part of any Lender’s participation in a Loan is repaid or prepaid and is not available for redrawing (other than by reason of the operation of Clause 4.2 (Further conditions precedent)), an amount of that Lender’s Commitment (equal to the amount of such Lender’s participation in such Loan which is so repaid or prepaid) will be deemed to be cancelled on the date of such repayment or prepayment.</w:t>
      </w:r>
    </w:p>
    <w:p>
      <w:pPr>
        <w:spacing w:after="0" w:line="322" w:lineRule="exact"/>
        <w:rPr>
          <w:sz w:val="20"/>
          <w:szCs w:val="20"/>
          <w:color w:val="auto"/>
        </w:rPr>
      </w:pPr>
    </w:p>
    <w:p>
      <w:pPr>
        <w:ind w:left="430" w:hanging="430"/>
        <w:spacing w:after="0"/>
        <w:tabs>
          <w:tab w:leader="none" w:pos="430" w:val="left"/>
        </w:tabs>
        <w:numPr>
          <w:ilvl w:val="0"/>
          <w:numId w:val="5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112" w:lineRule="exact"/>
        <w:rPr>
          <w:sz w:val="20"/>
          <w:szCs w:val="20"/>
          <w:color w:val="auto"/>
        </w:rPr>
      </w:pPr>
    </w:p>
    <w:p>
      <w:pPr>
        <w:ind w:left="430" w:right="160"/>
        <w:spacing w:after="0" w:line="270" w:lineRule="auto"/>
        <w:rPr>
          <w:sz w:val="20"/>
          <w:szCs w:val="20"/>
          <w:color w:val="auto"/>
        </w:rPr>
      </w:pPr>
      <w:r>
        <w:rPr>
          <w:rFonts w:ascii="Times New Roman" w:cs="Times New Roman" w:eastAsia="Times New Roman" w:hAnsi="Times New Roman"/>
          <w:sz w:val="18"/>
          <w:szCs w:val="18"/>
          <w:color w:val="auto"/>
        </w:rPr>
        <w:t>The rate of interest on each Loan at any time during an Interest Period relating thereto is the percentage rate per annum which is the aggregate of the applicable:</w:t>
      </w:r>
    </w:p>
    <w:p>
      <w:pPr>
        <w:spacing w:after="0" w:line="76" w:lineRule="exact"/>
        <w:rPr>
          <w:sz w:val="20"/>
          <w:szCs w:val="20"/>
          <w:color w:val="auto"/>
        </w:rPr>
      </w:pPr>
    </w:p>
    <w:p>
      <w:pPr>
        <w:ind w:left="1050" w:hanging="626"/>
        <w:spacing w:after="0"/>
        <w:tabs>
          <w:tab w:leader="none" w:pos="105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EURIBOR.</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90"/>
          </w:cols>
          <w:pgMar w:left="550" w:top="264" w:right="559" w:bottom="1440" w:gutter="0" w:footer="0" w:header="0"/>
        </w:sectPr>
      </w:pPr>
    </w:p>
    <w:bookmarkStart w:id="549" w:name="page550"/>
    <w:bookmarkEnd w:id="549"/>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On the last day of each Interest Period relating to a Loan the Borrower shall pay accrued interest on such Loan.</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26" w:lineRule="exact"/>
        <w:rPr>
          <w:sz w:val="20"/>
          <w:szCs w:val="20"/>
          <w:color w:val="auto"/>
        </w:rPr>
      </w:pPr>
    </w:p>
    <w:p>
      <w:pPr>
        <w:ind w:left="430" w:hanging="430"/>
        <w:spacing w:after="0"/>
        <w:tabs>
          <w:tab w:leader="none" w:pos="43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Lenders and the Borrower of the determination of a rate of interest under this Agreement.</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Borrower of each Funding Rate relating to a Loan.</w:t>
      </w:r>
    </w:p>
    <w:p>
      <w:pPr>
        <w:spacing w:after="0" w:line="359" w:lineRule="exact"/>
        <w:rPr>
          <w:sz w:val="20"/>
          <w:szCs w:val="20"/>
          <w:color w:val="auto"/>
        </w:rPr>
      </w:pPr>
    </w:p>
    <w:p>
      <w:pPr>
        <w:ind w:left="430" w:hanging="430"/>
        <w:spacing w:after="0"/>
        <w:tabs>
          <w:tab w:leader="none" w:pos="430"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PERIODS</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26" w:lineRule="exact"/>
        <w:rPr>
          <w:sz w:val="20"/>
          <w:szCs w:val="20"/>
          <w:color w:val="auto"/>
        </w:rPr>
      </w:pPr>
    </w:p>
    <w:p>
      <w:pPr>
        <w:ind w:left="430" w:hanging="430"/>
        <w:spacing w:after="0"/>
        <w:tabs>
          <w:tab w:leader="none" w:pos="43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w:t>
      </w:r>
    </w:p>
    <w:p>
      <w:pPr>
        <w:spacing w:after="0" w:line="123" w:lineRule="exact"/>
        <w:rPr>
          <w:rFonts w:ascii="Times New Roman" w:cs="Times New Roman" w:eastAsia="Times New Roman" w:hAnsi="Times New Roman"/>
          <w:sz w:val="18"/>
          <w:szCs w:val="18"/>
          <w:color w:val="auto"/>
        </w:rPr>
      </w:pPr>
    </w:p>
    <w:p>
      <w:pPr>
        <w:ind w:left="1050" w:right="480" w:hanging="626"/>
        <w:spacing w:after="0" w:line="270" w:lineRule="auto"/>
        <w:tabs>
          <w:tab w:leader="none" w:pos="105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select an Interest Period for any Loan in the Utilisation Request for such Loan or (if such Loan has already been borrowed) in a Selection Notice;</w:t>
      </w:r>
    </w:p>
    <w:p>
      <w:pPr>
        <w:spacing w:after="0" w:line="76" w:lineRule="exact"/>
        <w:rPr>
          <w:rFonts w:ascii="Times New Roman" w:cs="Times New Roman" w:eastAsia="Times New Roman" w:hAnsi="Times New Roman"/>
          <w:sz w:val="18"/>
          <w:szCs w:val="18"/>
          <w:color w:val="auto"/>
        </w:rPr>
      </w:pPr>
    </w:p>
    <w:p>
      <w:pPr>
        <w:ind w:left="1050" w:right="100" w:hanging="626"/>
        <w:spacing w:after="0" w:line="270" w:lineRule="auto"/>
        <w:tabs>
          <w:tab w:leader="none" w:pos="105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Selection Notice in respect of an Interest Period for any Loan is irrevocable and must be delivered to the Agent by the Borrower by the Specified Time;</w:t>
      </w:r>
    </w:p>
    <w:p>
      <w:pPr>
        <w:spacing w:after="0" w:line="76" w:lineRule="exact"/>
        <w:rPr>
          <w:rFonts w:ascii="Times New Roman" w:cs="Times New Roman" w:eastAsia="Times New Roman" w:hAnsi="Times New Roman"/>
          <w:sz w:val="18"/>
          <w:szCs w:val="18"/>
          <w:color w:val="auto"/>
        </w:rPr>
      </w:pPr>
    </w:p>
    <w:p>
      <w:pPr>
        <w:ind w:left="1050" w:hanging="626"/>
        <w:spacing w:after="0" w:line="258" w:lineRule="auto"/>
        <w:tabs>
          <w:tab w:leader="none" w:pos="105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Selection Notice to the Agent in accordance with paragraph (a)(ii) above in relation to any Interest Period for a Loan, such Interest Period will, subject to paragraph (b), be the same as the preceding Interest Period applicable to that Loan; and</w:t>
      </w:r>
    </w:p>
    <w:p>
      <w:pPr>
        <w:spacing w:after="0" w:line="85" w:lineRule="exact"/>
        <w:rPr>
          <w:rFonts w:ascii="Times New Roman" w:cs="Times New Roman" w:eastAsia="Times New Roman" w:hAnsi="Times New Roman"/>
          <w:sz w:val="18"/>
          <w:szCs w:val="18"/>
          <w:color w:val="auto"/>
        </w:rPr>
      </w:pPr>
    </w:p>
    <w:p>
      <w:pPr>
        <w:jc w:val="both"/>
        <w:ind w:left="1050" w:right="480" w:hanging="626"/>
        <w:spacing w:after="0" w:line="300" w:lineRule="auto"/>
        <w:tabs>
          <w:tab w:leader="none" w:pos="1050"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(pursuant to paragraph (a)(i)) select an Interest Period for any Loan of one or three Month(s) or any other period agreed between the Borrower and the Agent (acting on the instructions of all the Lenders that have any participation in that Loan).</w:t>
      </w:r>
    </w:p>
    <w:p>
      <w:pPr>
        <w:spacing w:after="0" w:line="53" w:lineRule="exact"/>
        <w:rPr>
          <w:rFonts w:ascii="Times New Roman" w:cs="Times New Roman" w:eastAsia="Times New Roman" w:hAnsi="Times New Roman"/>
          <w:sz w:val="17"/>
          <w:szCs w:val="17"/>
          <w:color w:val="auto"/>
        </w:rPr>
      </w:pPr>
    </w:p>
    <w:p>
      <w:pPr>
        <w:ind w:left="430" w:right="120" w:hanging="430"/>
        <w:spacing w:after="0" w:line="270" w:lineRule="auto"/>
        <w:tabs>
          <w:tab w:leader="none" w:pos="43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any Loan shall extend beyond the Final Maturity Date. The Borrower may select an Interest Period of less than one Month ending on the Final Maturity Date.</w:t>
      </w:r>
    </w:p>
    <w:p>
      <w:pPr>
        <w:spacing w:after="0" w:line="76" w:lineRule="exact"/>
        <w:rPr>
          <w:rFonts w:ascii="Times New Roman" w:cs="Times New Roman" w:eastAsia="Times New Roman" w:hAnsi="Times New Roman"/>
          <w:sz w:val="18"/>
          <w:szCs w:val="18"/>
          <w:color w:val="auto"/>
        </w:rPr>
      </w:pPr>
    </w:p>
    <w:p>
      <w:pPr>
        <w:jc w:val="both"/>
        <w:ind w:left="430" w:right="120" w:hanging="430"/>
        <w:spacing w:after="0" w:line="258" w:lineRule="auto"/>
        <w:tabs>
          <w:tab w:leader="none" w:pos="43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Syndication Date, an Interest Period for a Loan shall be one Month or such other period as the Agent (acting on the instructions of all the Lenders that have any participation in that Loan) and the Borrower may agree and any Interest Period which would otherwise end during the Month preceding or extend beyond the Syndication Date shall end on the Syndication Date.</w:t>
      </w:r>
    </w:p>
    <w:p>
      <w:pPr>
        <w:spacing w:after="0" w:line="85" w:lineRule="exact"/>
        <w:rPr>
          <w:rFonts w:ascii="Times New Roman" w:cs="Times New Roman" w:eastAsia="Times New Roman" w:hAnsi="Times New Roman"/>
          <w:sz w:val="18"/>
          <w:szCs w:val="18"/>
          <w:color w:val="auto"/>
        </w:rPr>
      </w:pPr>
    </w:p>
    <w:p>
      <w:pPr>
        <w:ind w:left="430" w:right="360" w:hanging="430"/>
        <w:spacing w:after="0" w:line="270" w:lineRule="auto"/>
        <w:tabs>
          <w:tab w:leader="none" w:pos="43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for such Loan or (if such Loan has already been made) on the last day of the preceding Interest Period relating to such Loan.</w:t>
      </w:r>
    </w:p>
    <w:p>
      <w:pPr>
        <w:spacing w:after="0" w:line="74" w:lineRule="exact"/>
        <w:rPr>
          <w:rFonts w:ascii="Times New Roman" w:cs="Times New Roman" w:eastAsia="Times New Roman" w:hAnsi="Times New Roman"/>
          <w:sz w:val="18"/>
          <w:szCs w:val="18"/>
          <w:color w:val="auto"/>
        </w:rPr>
      </w:pPr>
    </w:p>
    <w:p>
      <w:pPr>
        <w:ind w:left="430" w:right="340" w:hanging="430"/>
        <w:spacing w:after="0" w:line="273" w:lineRule="auto"/>
        <w:tabs>
          <w:tab w:leader="none" w:pos="43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Interest Period for the second or any subsequent Loan (each a </w:t>
      </w:r>
      <w:r>
        <w:rPr>
          <w:rFonts w:ascii="Times New Roman" w:cs="Times New Roman" w:eastAsia="Times New Roman" w:hAnsi="Times New Roman"/>
          <w:sz w:val="18"/>
          <w:szCs w:val="18"/>
          <w:b w:val="1"/>
          <w:bCs w:val="1"/>
          <w:color w:val="auto"/>
        </w:rPr>
        <w:t>Subsequent Loan</w:t>
      </w:r>
      <w:r>
        <w:rPr>
          <w:rFonts w:ascii="Times New Roman" w:cs="Times New Roman" w:eastAsia="Times New Roman" w:hAnsi="Times New Roman"/>
          <w:sz w:val="18"/>
          <w:szCs w:val="18"/>
          <w:color w:val="auto"/>
        </w:rPr>
        <w:t>) shall end on the last day of the Interest Period then current (or commencing) for each other Loan which is then outstanding when that Subsequent Loan is made.</w:t>
      </w:r>
    </w:p>
    <w:p>
      <w:pPr>
        <w:spacing w:after="0" w:line="71"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12" w:lineRule="exact"/>
        <w:rPr>
          <w:sz w:val="20"/>
          <w:szCs w:val="20"/>
          <w:color w:val="auto"/>
        </w:rPr>
      </w:pPr>
    </w:p>
    <w:p>
      <w:pPr>
        <w:ind w:left="430" w:right="160"/>
        <w:spacing w:after="0" w:line="270" w:lineRule="auto"/>
        <w:rPr>
          <w:sz w:val="20"/>
          <w:szCs w:val="20"/>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 such next Business Day in that calendar month).</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Consolidation and division of Loans</w:t>
      </w:r>
    </w:p>
    <w:p>
      <w:pPr>
        <w:spacing w:after="0" w:line="126" w:lineRule="exact"/>
        <w:rPr>
          <w:sz w:val="20"/>
          <w:szCs w:val="20"/>
          <w:color w:val="auto"/>
        </w:rPr>
      </w:pPr>
    </w:p>
    <w:p>
      <w:pPr>
        <w:ind w:left="430" w:right="240" w:hanging="430"/>
        <w:spacing w:after="0" w:line="258" w:lineRule="auto"/>
        <w:tabs>
          <w:tab w:leader="none" w:pos="43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Interest Periods of two or more Loans end on the same date, then those Loans will, unless the Borrower specifies to the contrary in the Selection Notice for the immediately following Interest Period for any such Loan, be consolidated into, and treated as, a single Loan on the last day of such first mentioned Interest Periods.</w:t>
      </w:r>
    </w:p>
    <w:p>
      <w:pPr>
        <w:spacing w:after="0" w:line="85" w:lineRule="exact"/>
        <w:rPr>
          <w:rFonts w:ascii="Times New Roman" w:cs="Times New Roman" w:eastAsia="Times New Roman" w:hAnsi="Times New Roman"/>
          <w:sz w:val="18"/>
          <w:szCs w:val="18"/>
          <w:color w:val="auto"/>
        </w:rPr>
      </w:pPr>
    </w:p>
    <w:p>
      <w:pPr>
        <w:ind w:left="430" w:right="120" w:hanging="430"/>
        <w:spacing w:after="0" w:line="250" w:lineRule="auto"/>
        <w:tabs>
          <w:tab w:leader="none" w:pos="43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4.3 (Maximum number of Loans) and Clause 5.3 (Currency and amount), if the Borrower requests in a Selection Notice (delivered in respect of a Loan in accordance with Clause 9.1 (Selection of Interest Periods)) that such Loan be divided into two or more Loans, then such first-mentioned Loan will, on the last day of the current Interest Period relating thereto, be so divided into such number of Loans (as specified in such Selection Notice) each in such outstanding principal amount as specified in such Selection Notice,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aggregate of such outstanding principal amounts so specified is equal to the outstanding principal amount of such first-mentioned Loan immediately before such division.</w:t>
      </w:r>
    </w:p>
    <w:p>
      <w:pPr>
        <w:spacing w:after="0" w:line="12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70"/>
          </w:cols>
          <w:pgMar w:left="550" w:top="264" w:right="579" w:bottom="1440" w:gutter="0" w:footer="0" w:header="0"/>
        </w:sectPr>
      </w:pPr>
    </w:p>
    <w:bookmarkStart w:id="550" w:name="page551"/>
    <w:bookmarkEnd w:id="550"/>
    <w:p>
      <w:pPr>
        <w:ind w:left="10" w:right="6200" w:hanging="10"/>
        <w:spacing w:after="0" w:line="383" w:lineRule="auto"/>
        <w:tabs>
          <w:tab w:leader="none" w:pos="433" w:val="left"/>
        </w:tabs>
        <w:numPr>
          <w:ilvl w:val="0"/>
          <w:numId w:val="5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CHANGES TO THE CALCULATION OF INTEREST 10.1 Unavailability of Screen Rate</w:t>
      </w:r>
    </w:p>
    <w:p>
      <w:pPr>
        <w:ind w:left="430" w:right="20" w:hanging="430"/>
        <w:spacing w:after="0" w:line="259" w:lineRule="auto"/>
        <w:tabs>
          <w:tab w:leader="none" w:pos="43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Screen Rate</w:t>
      </w:r>
      <w:r>
        <w:rPr>
          <w:rFonts w:ascii="Times New Roman" w:cs="Times New Roman" w:eastAsia="Times New Roman" w:hAnsi="Times New Roman"/>
          <w:sz w:val="18"/>
          <w:szCs w:val="18"/>
          <w:color w:val="auto"/>
        </w:rPr>
        <w:t>: If no Screen Rate is available for EURIBOR for any Loan and any Interest Period relating thereto,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EURIBOR for such Loan and such Interest Period shall be equal to the Interpolated Screen Rate for such Loan and a period equal in length to such Interest Period.</w:t>
      </w:r>
    </w:p>
    <w:p>
      <w:pPr>
        <w:spacing w:after="0" w:line="83" w:lineRule="exact"/>
        <w:rPr>
          <w:rFonts w:ascii="Times New Roman" w:cs="Times New Roman" w:eastAsia="Times New Roman" w:hAnsi="Times New Roman"/>
          <w:sz w:val="18"/>
          <w:szCs w:val="18"/>
          <w:color w:val="auto"/>
        </w:rPr>
      </w:pPr>
    </w:p>
    <w:p>
      <w:pPr>
        <w:ind w:left="430" w:right="120" w:hanging="430"/>
        <w:spacing w:after="0" w:line="259" w:lineRule="auto"/>
        <w:tabs>
          <w:tab w:leader="none" w:pos="43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 Bank Rate</w:t>
      </w:r>
      <w:r>
        <w:rPr>
          <w:rFonts w:ascii="Times New Roman" w:cs="Times New Roman" w:eastAsia="Times New Roman" w:hAnsi="Times New Roman"/>
          <w:sz w:val="18"/>
          <w:szCs w:val="18"/>
          <w:color w:val="auto"/>
        </w:rPr>
        <w:t>: If no Screen Rate is available for EURIBOR for any Loan and any Interest Period relating thereto and it is not possible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 the Interpolated Screen Rate for such Loan and such Interest Period, EURIBOR for such Loan and such Interest Period shall be equal to the Reference Bank Rate as of the Specified Time and for such Loan and a period equal in length to such Interest Period.</w:t>
      </w:r>
    </w:p>
    <w:p>
      <w:pPr>
        <w:spacing w:after="0" w:line="83" w:lineRule="exact"/>
        <w:rPr>
          <w:rFonts w:ascii="Times New Roman" w:cs="Times New Roman" w:eastAsia="Times New Roman" w:hAnsi="Times New Roman"/>
          <w:sz w:val="18"/>
          <w:szCs w:val="18"/>
          <w:color w:val="auto"/>
        </w:rPr>
      </w:pPr>
    </w:p>
    <w:p>
      <w:pPr>
        <w:ind w:left="430" w:right="340" w:hanging="430"/>
        <w:spacing w:after="0" w:line="273" w:lineRule="auto"/>
        <w:tabs>
          <w:tab w:leader="none" w:pos="430"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(b) above applies but no Reference Bank Rate is available for such Loan and such Interest Period, there shall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EURIBOR for that Loan and that Interest Period and Clause 10.4 (Cost of funds) shall apply to that Loan for that Interest Period.</w:t>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10.2 Calculation of Reference Bank Rate</w:t>
      </w:r>
    </w:p>
    <w:p>
      <w:pPr>
        <w:spacing w:after="0" w:line="126" w:lineRule="exact"/>
        <w:rPr>
          <w:sz w:val="20"/>
          <w:szCs w:val="20"/>
          <w:color w:val="auto"/>
        </w:rPr>
      </w:pPr>
    </w:p>
    <w:p>
      <w:pPr>
        <w:ind w:left="430" w:right="100" w:hanging="430"/>
        <w:spacing w:after="0" w:line="258" w:lineRule="auto"/>
        <w:tabs>
          <w:tab w:leader="none" w:pos="43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if EURIBOR for any Loan and any Interest Period relating thereto is to be determined on the basis of a Reference Bank Rate but a Reference Bank does not supply a quotation by the Specified Time, the Reference Bank Rate for such Loan and such Interest Period shall be calculated on the basis of the quotations of the remaining Reference Banks.</w:t>
      </w:r>
    </w:p>
    <w:p>
      <w:pPr>
        <w:spacing w:after="0" w:line="85" w:lineRule="exact"/>
        <w:rPr>
          <w:rFonts w:ascii="Times New Roman" w:cs="Times New Roman" w:eastAsia="Times New Roman" w:hAnsi="Times New Roman"/>
          <w:sz w:val="18"/>
          <w:szCs w:val="18"/>
          <w:color w:val="auto"/>
        </w:rPr>
      </w:pPr>
    </w:p>
    <w:p>
      <w:pPr>
        <w:jc w:val="both"/>
        <w:ind w:left="430" w:right="200" w:hanging="430"/>
        <w:spacing w:after="0" w:line="258" w:lineRule="auto"/>
        <w:tabs>
          <w:tab w:leader="none" w:pos="430"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or about noon (London time) on the Quotation Day in respect of any Interest Period for any Loan, none or only one of the Reference Banks supplies a quotation for determining the Reference Bank Rate for such Loan and such Interest Period, there shall be no Reference Bank Rate for such Loan and such Interest Period.</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10.3 Market disruption</w:t>
      </w:r>
    </w:p>
    <w:p>
      <w:pPr>
        <w:spacing w:after="0" w:line="112" w:lineRule="exact"/>
        <w:rPr>
          <w:sz w:val="20"/>
          <w:szCs w:val="20"/>
          <w:color w:val="auto"/>
        </w:rPr>
      </w:pPr>
    </w:p>
    <w:p>
      <w:pPr>
        <w:ind w:left="430"/>
        <w:spacing w:after="0" w:line="253" w:lineRule="auto"/>
        <w:rPr>
          <w:sz w:val="20"/>
          <w:szCs w:val="20"/>
          <w:color w:val="auto"/>
        </w:rPr>
      </w:pPr>
      <w:r>
        <w:rPr>
          <w:rFonts w:ascii="Times New Roman" w:cs="Times New Roman" w:eastAsia="Times New Roman" w:hAnsi="Times New Roman"/>
          <w:sz w:val="18"/>
          <w:szCs w:val="18"/>
          <w:color w:val="auto"/>
        </w:rPr>
        <w:t>If before 5 p.m. in Hong Kong on the Business Day immediately following the Quotation Day for an Interest Period for a Loan, the Agent receives notifications from a Lender or Lenders (whose participations in that Loan exceed 40% of that Loan) that the cost to it of funding its participation in that Loan from whatever source it may reasonably select would be in excess of EURIBOR for that Loan and that Interest Period, then Clause 10.4 (Cost of funds) shall apply to that Loan for that Interest Period.</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10.4 Cost of funds</w:t>
      </w:r>
    </w:p>
    <w:p>
      <w:pPr>
        <w:spacing w:after="0" w:line="126" w:lineRule="exact"/>
        <w:rPr>
          <w:sz w:val="20"/>
          <w:szCs w:val="20"/>
          <w:color w:val="auto"/>
        </w:rPr>
      </w:pPr>
    </w:p>
    <w:p>
      <w:pPr>
        <w:ind w:left="430" w:right="240" w:hanging="430"/>
        <w:spacing w:after="0" w:line="270" w:lineRule="auto"/>
        <w:tabs>
          <w:tab w:leader="none" w:pos="43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10.4 applies to any Loan and any Interest Period relating thereto, the rate of interest on each Lender’s share of such Loan for such Interest Period shall be the percentage rate per annum which is the sum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123" w:lineRule="exact"/>
        <w:rPr>
          <w:rFonts w:ascii="Times New Roman" w:cs="Times New Roman" w:eastAsia="Times New Roman" w:hAnsi="Times New Roman"/>
          <w:sz w:val="18"/>
          <w:szCs w:val="18"/>
          <w:color w:val="auto"/>
        </w:rPr>
      </w:pPr>
    </w:p>
    <w:p>
      <w:pPr>
        <w:ind w:left="1050" w:right="20" w:hanging="626"/>
        <w:spacing w:after="0" w:line="253" w:lineRule="auto"/>
        <w:tabs>
          <w:tab w:leader="none" w:pos="1050"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within five (5) Business Days before interest is due to be paid in respect of that Interest Period, to be that which expresses as a percentage rate per annum the cost to that Lender of funding its participation in that Loan from whatever source it may reasonably select and if any such percentage rate per annum is less than zero, then such percentage rate per annum shall be deemed to be zero.</w:t>
      </w:r>
    </w:p>
    <w:p>
      <w:pPr>
        <w:spacing w:after="0" w:line="92"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10.4 applies and the Agent or the Borrower so requires, the Agent and the Borrower shall enter into negotiations (for a period of not more than thirty (30) days) with a view to agreeing a substitute basis for determining the rate of interest.</w:t>
      </w:r>
    </w:p>
    <w:p>
      <w:pPr>
        <w:spacing w:after="0" w:line="76" w:lineRule="exact"/>
        <w:rPr>
          <w:rFonts w:ascii="Times New Roman" w:cs="Times New Roman" w:eastAsia="Times New Roman" w:hAnsi="Times New Roman"/>
          <w:sz w:val="18"/>
          <w:szCs w:val="18"/>
          <w:color w:val="auto"/>
        </w:rPr>
      </w:pPr>
    </w:p>
    <w:p>
      <w:pPr>
        <w:ind w:left="430" w:right="240" w:hanging="430"/>
        <w:spacing w:after="0" w:line="270" w:lineRule="auto"/>
        <w:tabs>
          <w:tab w:leader="none" w:pos="430"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(b) above shall, with the prior consent of all the Lenders and the Borrower, be binding on all Parties.</w:t>
      </w:r>
    </w:p>
    <w:p>
      <w:pPr>
        <w:spacing w:after="0" w:line="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90"/>
          </w:cols>
          <w:pgMar w:left="550" w:top="264" w:right="559" w:bottom="1440" w:gutter="0" w:footer="0" w:header="0"/>
        </w:sectPr>
      </w:pPr>
    </w:p>
    <w:bookmarkStart w:id="551" w:name="page552"/>
    <w:bookmarkEnd w:id="551"/>
    <w:p>
      <w:pPr>
        <w:ind w:left="10" w:right="7380" w:hanging="10"/>
        <w:spacing w:after="0" w:line="384" w:lineRule="auto"/>
        <w:tabs>
          <w:tab w:leader="none" w:pos="433" w:val="left"/>
        </w:tabs>
        <w:numPr>
          <w:ilvl w:val="0"/>
          <w:numId w:val="5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TAX GROSS UP AND INDEMNITIES 12.1 Definitions</w:t>
      </w:r>
    </w:p>
    <w:p>
      <w:pPr>
        <w:spacing w:after="0" w:line="1" w:lineRule="exact"/>
        <w:rPr>
          <w:sz w:val="20"/>
          <w:szCs w:val="20"/>
          <w:color w:val="auto"/>
        </w:rPr>
      </w:pPr>
    </w:p>
    <w:p>
      <w:pPr>
        <w:ind w:left="430" w:hanging="430"/>
        <w:spacing w:after="0"/>
        <w:tabs>
          <w:tab w:leader="none" w:pos="43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08" w:lineRule="exact"/>
        <w:rPr>
          <w:rFonts w:ascii="Times New Roman" w:cs="Times New Roman" w:eastAsia="Times New Roman" w:hAnsi="Times New Roman"/>
          <w:sz w:val="18"/>
          <w:szCs w:val="18"/>
          <w:color w:val="auto"/>
        </w:rPr>
      </w:pPr>
    </w:p>
    <w:p>
      <w:pPr>
        <w:ind w:left="430" w:right="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Non-Cooperative Jurisdiction </w:t>
      </w:r>
      <w:r>
        <w:rPr>
          <w:rFonts w:ascii="Times New Roman" w:cs="Times New Roman" w:eastAsia="Times New Roman" w:hAnsi="Times New Roman"/>
          <w:sz w:val="18"/>
          <w:szCs w:val="18"/>
          <w:color w:val="auto"/>
        </w:rPr>
        <w:t>means a “non-cooperative tax jurisdiction” (</w:t>
      </w:r>
      <w:r>
        <w:rPr>
          <w:rFonts w:ascii="Times New Roman" w:cs="Times New Roman" w:eastAsia="Times New Roman" w:hAnsi="Times New Roman"/>
          <w:sz w:val="18"/>
          <w:szCs w:val="18"/>
          <w:i w:val="1"/>
          <w:iCs w:val="1"/>
          <w:color w:val="auto"/>
        </w:rPr>
        <w:t>nicht kooperatives Steuerhoheitsgebiet</w:t>
      </w:r>
      <w:r>
        <w:rPr>
          <w:rFonts w:ascii="Times New Roman" w:cs="Times New Roman" w:eastAsia="Times New Roman" w:hAnsi="Times New Roman"/>
          <w:sz w:val="18"/>
          <w:szCs w:val="18"/>
          <w:color w:val="auto"/>
        </w:rPr>
        <w:t>) as set out (or will be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German Act Combating Tax Avoidance and Unfair Tax Competition (</w:t>
      </w:r>
      <w:r>
        <w:rPr>
          <w:rFonts w:ascii="Times New Roman" w:cs="Times New Roman" w:eastAsia="Times New Roman" w:hAnsi="Times New Roman"/>
          <w:sz w:val="18"/>
          <w:szCs w:val="18"/>
          <w:i w:val="1"/>
          <w:iCs w:val="1"/>
          <w:color w:val="auto"/>
        </w:rPr>
        <w:t>Gesetz zur Abwehr von Steuervermeidung und unfairem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Steuerwettbewerb</w:t>
      </w:r>
      <w:r>
        <w:rPr>
          <w:rFonts w:ascii="Times New Roman" w:cs="Times New Roman" w:eastAsia="Times New Roman" w:hAnsi="Times New Roman"/>
          <w:sz w:val="18"/>
          <w:szCs w:val="18"/>
          <w:color w:val="auto"/>
        </w:rPr>
        <w:t>) and the respective legislative decree (</w:t>
      </w:r>
      <w:r>
        <w:rPr>
          <w:rFonts w:ascii="Times New Roman" w:cs="Times New Roman" w:eastAsia="Times New Roman" w:hAnsi="Times New Roman"/>
          <w:sz w:val="18"/>
          <w:szCs w:val="18"/>
          <w:i w:val="1"/>
          <w:iCs w:val="1"/>
          <w:color w:val="auto"/>
        </w:rPr>
        <w:t>Rechtsverordnung</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430" w:right="2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Non-Cooperative Jurisdiction Lender </w:t>
      </w:r>
      <w:r>
        <w:rPr>
          <w:rFonts w:ascii="Times New Roman" w:cs="Times New Roman" w:eastAsia="Times New Roman" w:hAnsi="Times New Roman"/>
          <w:sz w:val="18"/>
          <w:szCs w:val="18"/>
          <w:color w:val="auto"/>
        </w:rPr>
        <w:t>means a Lender incorporated, domiciled, established, or having its principal place of management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Non-Cooperative Jurisdiction.</w:t>
      </w:r>
    </w:p>
    <w:p>
      <w:pPr>
        <w:spacing w:after="0" w:line="57"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Credit </w:t>
      </w:r>
      <w:r>
        <w:rPr>
          <w:rFonts w:ascii="Times New Roman" w:cs="Times New Roman" w:eastAsia="Times New Roman" w:hAnsi="Times New Roman"/>
          <w:sz w:val="18"/>
          <w:szCs w:val="18"/>
          <w:color w:val="auto"/>
        </w:rPr>
        <w:t>means a credit against, relief or remission for, or repayment of any Tax.</w:t>
      </w:r>
    </w:p>
    <w:p>
      <w:pPr>
        <w:spacing w:after="0" w:line="110" w:lineRule="exact"/>
        <w:rPr>
          <w:rFonts w:ascii="Times New Roman" w:cs="Times New Roman" w:eastAsia="Times New Roman" w:hAnsi="Times New Roman"/>
          <w:sz w:val="18"/>
          <w:szCs w:val="18"/>
          <w:color w:val="auto"/>
        </w:rPr>
      </w:pPr>
    </w:p>
    <w:p>
      <w:pPr>
        <w:ind w:left="430" w:right="4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Deduction </w:t>
      </w:r>
      <w:r>
        <w:rPr>
          <w:rFonts w:ascii="Times New Roman" w:cs="Times New Roman" w:eastAsia="Times New Roman" w:hAnsi="Times New Roman"/>
          <w:sz w:val="18"/>
          <w:szCs w:val="18"/>
          <w:color w:val="auto"/>
        </w:rPr>
        <w:t>means a deduction or withholding for or on account of Tax from a payment under a Finance Document, other than a FATCA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w:t>
      </w:r>
    </w:p>
    <w:p>
      <w:pPr>
        <w:spacing w:after="0" w:line="57" w:lineRule="exact"/>
        <w:rPr>
          <w:rFonts w:ascii="Times New Roman" w:cs="Times New Roman" w:eastAsia="Times New Roman" w:hAnsi="Times New Roman"/>
          <w:sz w:val="18"/>
          <w:szCs w:val="18"/>
          <w:color w:val="auto"/>
        </w:rPr>
      </w:pPr>
    </w:p>
    <w:p>
      <w:pPr>
        <w:ind w:left="430" w:right="16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Payment </w:t>
      </w:r>
      <w:r>
        <w:rPr>
          <w:rFonts w:ascii="Times New Roman" w:cs="Times New Roman" w:eastAsia="Times New Roman" w:hAnsi="Times New Roman"/>
          <w:sz w:val="18"/>
          <w:szCs w:val="18"/>
          <w:color w:val="auto"/>
        </w:rPr>
        <w:t>means an increased payment made by an Obligor to a Finance Party under Clause 12.2 (Tax gross-up) or a payment under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 (Tax indemnity).</w:t>
      </w:r>
    </w:p>
    <w:p>
      <w:pPr>
        <w:spacing w:after="0" w:line="73" w:lineRule="exact"/>
        <w:rPr>
          <w:rFonts w:ascii="Times New Roman" w:cs="Times New Roman" w:eastAsia="Times New Roman" w:hAnsi="Times New Roman"/>
          <w:sz w:val="18"/>
          <w:szCs w:val="18"/>
          <w:color w:val="auto"/>
        </w:rPr>
      </w:pPr>
    </w:p>
    <w:p>
      <w:pPr>
        <w:ind w:left="430" w:right="200" w:hanging="430"/>
        <w:spacing w:after="0" w:line="270" w:lineRule="auto"/>
        <w:tabs>
          <w:tab w:leader="none" w:pos="43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this Clause 12 a reference to “determines” or “determined” means a determination made in the absolute discretion of the person making the determination.</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12.2 Tax gross-up</w:t>
      </w:r>
    </w:p>
    <w:p>
      <w:pPr>
        <w:spacing w:after="0" w:line="126" w:lineRule="exact"/>
        <w:rPr>
          <w:sz w:val="20"/>
          <w:szCs w:val="20"/>
          <w:color w:val="auto"/>
        </w:rPr>
      </w:pPr>
    </w:p>
    <w:p>
      <w:pPr>
        <w:ind w:left="430" w:right="100" w:hanging="430"/>
        <w:spacing w:after="0" w:line="273" w:lineRule="auto"/>
        <w:tabs>
          <w:tab w:leader="none" w:pos="43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to be made by the Obligors to any Finance Party under any of the Finance Documents shall be made free and clear of and without any Tax Deduction unless an Obligor is required to make a Tax Deduction, in which case the sum payable by that Obligor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75" w:lineRule="exact"/>
        <w:rPr>
          <w:rFonts w:ascii="Times New Roman" w:cs="Times New Roman" w:eastAsia="Times New Roman" w:hAnsi="Times New Roman"/>
          <w:sz w:val="17"/>
          <w:szCs w:val="17"/>
          <w:color w:val="auto"/>
        </w:rPr>
      </w:pPr>
    </w:p>
    <w:p>
      <w:pPr>
        <w:ind w:left="430" w:right="80" w:hanging="430"/>
        <w:spacing w:after="0" w:line="300" w:lineRule="auto"/>
        <w:tabs>
          <w:tab w:leader="none" w:pos="43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payment shall not be increased under paragraph (a) above by reason of a Tax Deduction on account of Tax imposed by Germany if, on the date on which the payment falls due, the Tax Deduction is imposed solely due to the payment being made to a Non-Cooperative Jurisdiction Lender.</w:t>
      </w:r>
    </w:p>
    <w:p>
      <w:pPr>
        <w:spacing w:after="0" w:line="53" w:lineRule="exact"/>
        <w:rPr>
          <w:rFonts w:ascii="Times New Roman" w:cs="Times New Roman" w:eastAsia="Times New Roman" w:hAnsi="Times New Roman"/>
          <w:sz w:val="17"/>
          <w:szCs w:val="17"/>
          <w:color w:val="auto"/>
        </w:rPr>
      </w:pPr>
    </w:p>
    <w:p>
      <w:pPr>
        <w:jc w:val="both"/>
        <w:ind w:left="430" w:right="80" w:hanging="430"/>
        <w:spacing w:after="0" w:line="258" w:lineRule="auto"/>
        <w:tabs>
          <w:tab w:leader="none" w:pos="43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promptly upon becoming aware that it must make a Tax Deduction (or that there is any change in the rate or the basis of a Tax Deduction) notify the Agent accordingly. Similarly, a Lender shall notify the Agent on becoming so aware in respect of a payment payable by an Obligor to that Lender. If the Agent receives such notification from a Lender it shall notify that Obligor.</w:t>
      </w:r>
    </w:p>
    <w:p>
      <w:pPr>
        <w:spacing w:after="0" w:line="85"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76" w:lineRule="exact"/>
        <w:rPr>
          <w:rFonts w:ascii="Times New Roman" w:cs="Times New Roman" w:eastAsia="Times New Roman" w:hAnsi="Times New Roman"/>
          <w:sz w:val="18"/>
          <w:szCs w:val="18"/>
          <w:color w:val="auto"/>
        </w:rPr>
      </w:pPr>
    </w:p>
    <w:p>
      <w:pPr>
        <w:jc w:val="both"/>
        <w:ind w:left="430" w:hanging="430"/>
        <w:spacing w:after="0" w:line="253" w:lineRule="auto"/>
        <w:tabs>
          <w:tab w:leader="none" w:pos="43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the Obligor making that Tax Deduction shall deliver to the Agent for the Finance Party entitled to the payment (to which such Tax Deduction relates) evidence reasonably satisfactory to that Finance Party that such Tax Deduction has been made or (as applicable) any appropriate payment has been paid to the relevant taxing authority.</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have any duty or obligation to facilitate the making of any Tax Deduction by the Obligors.</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12.3 Tax indemnity</w:t>
      </w:r>
    </w:p>
    <w:p>
      <w:pPr>
        <w:spacing w:after="0" w:line="126" w:lineRule="exact"/>
        <w:rPr>
          <w:sz w:val="20"/>
          <w:szCs w:val="20"/>
          <w:color w:val="auto"/>
        </w:rPr>
      </w:pPr>
    </w:p>
    <w:p>
      <w:pPr>
        <w:ind w:left="430" w:hanging="430"/>
        <w:spacing w:after="0" w:line="250" w:lineRule="auto"/>
        <w:tabs>
          <w:tab w:leader="none" w:pos="430"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Clause 12.2 (Tax gross-up), if any Finance Party is required to make any payment of or on account of Tax on or in relation to any sum received or receivable under any of the Finance Documents (including any sum deemed for purposes of Tax to be received or receivable by such Finance Party whether or not actually received or receivable) or if any liability in respect of any such payment is asserted, imposed, levied or assessed against any Finance Party, the Borrower shall, within ten (10) Business Days of demand of the Agent, indemnify each Finance Party which suffers a loss or liability as a result against such payment or liability, together with any interest, penalties, costs and expenses payable or incurred in connection therewith,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this Clause 12.3 shall not apply to:</w:t>
      </w:r>
    </w:p>
    <w:p>
      <w:pPr>
        <w:spacing w:after="0" w:line="94" w:lineRule="exact"/>
        <w:rPr>
          <w:rFonts w:ascii="Times New Roman" w:cs="Times New Roman" w:eastAsia="Times New Roman" w:hAnsi="Times New Roman"/>
          <w:sz w:val="18"/>
          <w:szCs w:val="18"/>
          <w:color w:val="auto"/>
        </w:rPr>
      </w:pPr>
    </w:p>
    <w:p>
      <w:pPr>
        <w:ind w:left="1050" w:right="340" w:hanging="626"/>
        <w:spacing w:after="0" w:line="258" w:lineRule="auto"/>
        <w:tabs>
          <w:tab w:leader="none" w:pos="1050" w:val="left"/>
        </w:tabs>
        <w:numPr>
          <w:ilvl w:val="1"/>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actually received or receivable by such Finance Party (but, for the avoidance of doubt, not including any sum deemed for purposes of Tax to be received or receivable by such Finance Party but not actually receivable) by the jurisdiction in which such Finance Party is incorporated;</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50"/>
          </w:cols>
          <w:pgMar w:left="550" w:top="264" w:right="599" w:bottom="1440" w:gutter="0" w:footer="0" w:header="0"/>
        </w:sectPr>
      </w:pPr>
    </w:p>
    <w:bookmarkStart w:id="552" w:name="page553"/>
    <w:bookmarkEnd w:id="552"/>
    <w:p>
      <w:pPr>
        <w:ind w:left="1050" w:right="220" w:hanging="626"/>
        <w:spacing w:after="0" w:line="280" w:lineRule="auto"/>
        <w:tabs>
          <w:tab w:leader="none" w:pos="1050" w:val="left"/>
        </w:tabs>
        <w:numPr>
          <w:ilvl w:val="1"/>
          <w:numId w:val="5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any Tax imposed on and calculated by reference to the net income of the Facility Office of such Finance Party actually received or receivable by such Finance Party (but, for the avoidance of doubt, not including any sum deemed for purposes of Tax to be received or receivable by such Finance Party but not actually receivable) by the jurisdiction in which its Facility Office is located; or</w:t>
      </w:r>
    </w:p>
    <w:p>
      <w:pPr>
        <w:spacing w:after="0" w:line="69"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121"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710" w:right="60" w:hanging="639"/>
        <w:spacing w:after="0" w:line="270" w:lineRule="auto"/>
        <w:tabs>
          <w:tab w:leader="none" w:pos="171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been so compensated but was not so compensated solely because one or more of the exclusions contained in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Tax imposed by Germany solely because the Lender is a Non-Cooperative Jurisdiction Lender;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FATCA Deduction required to be made by a Party;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Clause 12.5 (Stamp taxes) or Clause 12.6 (VAT).</w:t>
      </w:r>
    </w:p>
    <w:p>
      <w:pPr>
        <w:spacing w:after="0" w:line="123"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(other than the Agent) intending to make a claim under paragraph (a) shall notify the Agent of the event giving rise to such claim, whereupon the Agent shall notify the Borrower thereof.</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shall, on receiving a payment from an Obligor under this Clause 12.3, notify the Agent.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12.4 Tax Credit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If an Obligor makes a Tax Payment in respect of a Finance Party and that Finance Party (acting in good faith) determines that:</w:t>
      </w:r>
    </w:p>
    <w:p>
      <w:pPr>
        <w:spacing w:after="0" w:line="124" w:lineRule="exact"/>
        <w:rPr>
          <w:sz w:val="20"/>
          <w:szCs w:val="20"/>
          <w:color w:val="auto"/>
        </w:rPr>
      </w:pPr>
    </w:p>
    <w:p>
      <w:pPr>
        <w:ind w:left="1050" w:right="120" w:hanging="626"/>
        <w:spacing w:after="0" w:line="270" w:lineRule="auto"/>
        <w:tabs>
          <w:tab w:leader="none" w:pos="105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110"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that Finance Party shall pay an amount to the Obligor which that Finance Party determines will leave it (after that payment) in the same after-Tax position as it would have been in had the Tax Payment not been required to be made by that Obligor.</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12.5 Stamp taxes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Borrower shall:</w:t>
      </w:r>
    </w:p>
    <w:p>
      <w:pPr>
        <w:spacing w:after="0" w:line="124" w:lineRule="exact"/>
        <w:rPr>
          <w:sz w:val="20"/>
          <w:szCs w:val="20"/>
          <w:color w:val="auto"/>
        </w:rPr>
      </w:pPr>
    </w:p>
    <w:p>
      <w:pPr>
        <w:ind w:left="1050" w:right="100" w:hanging="626"/>
        <w:spacing w:after="0" w:line="270" w:lineRule="auto"/>
        <w:tabs>
          <w:tab w:leader="none" w:pos="105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any applicable deadline or grace period required or permitted by applicable law or regulation) pay all stamp duty, registration and other similar Taxes payable in respect of any Finance Document; and</w:t>
      </w:r>
    </w:p>
    <w:p>
      <w:pPr>
        <w:spacing w:after="0" w:line="76"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demand, indemnify each Finance Party against any cost, loss or liability which that Finance Party incurs in relation to any or all stamp duty, registration and/or other similar Taxes paid or payable in respect of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12.6 VAT</w:t>
      </w:r>
    </w:p>
    <w:p>
      <w:pPr>
        <w:spacing w:after="0" w:line="126" w:lineRule="exact"/>
        <w:rPr>
          <w:sz w:val="20"/>
          <w:szCs w:val="20"/>
          <w:color w:val="auto"/>
        </w:rPr>
      </w:pPr>
    </w:p>
    <w:p>
      <w:pPr>
        <w:ind w:left="430" w:hanging="430"/>
        <w:spacing w:after="0" w:line="250" w:lineRule="auto"/>
        <w:tabs>
          <w:tab w:leader="none" w:pos="43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92" w:lineRule="exact"/>
        <w:rPr>
          <w:rFonts w:ascii="Times New Roman" w:cs="Times New Roman" w:eastAsia="Times New Roman" w:hAnsi="Times New Roman"/>
          <w:sz w:val="18"/>
          <w:szCs w:val="18"/>
          <w:color w:val="auto"/>
        </w:rPr>
      </w:pPr>
    </w:p>
    <w:p>
      <w:pPr>
        <w:ind w:left="430" w:right="100" w:hanging="430"/>
        <w:spacing w:after="0" w:line="254" w:lineRule="auto"/>
        <w:tabs>
          <w:tab w:leader="none" w:pos="43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xml:space="preserve">)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xml:space="preserve">)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90" w:lineRule="exact"/>
        <w:rPr>
          <w:rFonts w:ascii="Times New Roman" w:cs="Times New Roman" w:eastAsia="Times New Roman" w:hAnsi="Times New Roman"/>
          <w:sz w:val="18"/>
          <w:szCs w:val="18"/>
          <w:color w:val="auto"/>
        </w:rPr>
      </w:pPr>
    </w:p>
    <w:p>
      <w:pPr>
        <w:ind w:left="1050" w:right="140" w:hanging="626"/>
        <w:spacing w:after="0" w:line="273" w:lineRule="auto"/>
        <w:tabs>
          <w:tab w:leader="none" w:pos="1050" w:val="left"/>
        </w:tabs>
        <w:numPr>
          <w:ilvl w:val="1"/>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70"/>
          </w:cols>
          <w:pgMar w:left="550" w:top="266" w:right="579" w:bottom="1440" w:gutter="0" w:footer="0" w:header="0"/>
        </w:sectPr>
      </w:pPr>
    </w:p>
    <w:bookmarkStart w:id="553" w:name="page554"/>
    <w:bookmarkEnd w:id="553"/>
    <w:p>
      <w:pPr>
        <w:ind w:left="1050" w:right="160" w:hanging="626"/>
        <w:spacing w:after="0" w:line="253" w:lineRule="auto"/>
        <w:tabs>
          <w:tab w:leader="none" w:pos="1050" w:val="left"/>
        </w:tabs>
        <w:numPr>
          <w:ilvl w:val="1"/>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92" w:lineRule="exact"/>
        <w:rPr>
          <w:rFonts w:ascii="Times New Roman" w:cs="Times New Roman" w:eastAsia="Times New Roman" w:hAnsi="Times New Roman"/>
          <w:sz w:val="18"/>
          <w:szCs w:val="18"/>
          <w:color w:val="auto"/>
        </w:rPr>
      </w:pPr>
    </w:p>
    <w:p>
      <w:pPr>
        <w:ind w:left="430" w:right="20" w:hanging="430"/>
        <w:spacing w:after="0" w:line="253" w:lineRule="auto"/>
        <w:tabs>
          <w:tab w:leader="none" w:pos="43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Times New Roman" w:cs="Times New Roman" w:eastAsia="Times New Roman" w:hAnsi="Times New Roman"/>
          <w:sz w:val="18"/>
          <w:szCs w:val="18"/>
          <w:color w:val="auto"/>
        </w:rPr>
      </w:pPr>
    </w:p>
    <w:p>
      <w:pPr>
        <w:ind w:left="430" w:right="120" w:hanging="430"/>
        <w:spacing w:after="0" w:line="250" w:lineRule="auto"/>
        <w:tabs>
          <w:tab w:leader="none" w:pos="43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Clause 12.6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as amended (or as implemented by any relevant member state of the European Union)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94"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12.7 FATCA information</w:t>
      </w:r>
    </w:p>
    <w:p>
      <w:pPr>
        <w:spacing w:after="0" w:line="126" w:lineRule="exact"/>
        <w:rPr>
          <w:sz w:val="20"/>
          <w:szCs w:val="20"/>
          <w:color w:val="auto"/>
        </w:rPr>
      </w:pPr>
    </w:p>
    <w:p>
      <w:pPr>
        <w:ind w:left="430" w:hanging="430"/>
        <w:spacing w:after="0"/>
        <w:tabs>
          <w:tab w:leader="none" w:pos="43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(10) Business Days of a reasonable request by another Party: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123" w:lineRule="exact"/>
        <w:rPr>
          <w:rFonts w:ascii="Times New Roman" w:cs="Times New Roman" w:eastAsia="Times New Roman" w:hAnsi="Times New Roman"/>
          <w:sz w:val="18"/>
          <w:szCs w:val="18"/>
          <w:color w:val="auto"/>
        </w:rPr>
      </w:pPr>
    </w:p>
    <w:p>
      <w:pPr>
        <w:ind w:left="1050" w:right="620" w:hanging="626"/>
        <w:spacing w:after="0" w:line="270" w:lineRule="auto"/>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6" w:lineRule="exact"/>
        <w:rPr>
          <w:rFonts w:ascii="Times New Roman" w:cs="Times New Roman" w:eastAsia="Times New Roman" w:hAnsi="Times New Roman"/>
          <w:sz w:val="18"/>
          <w:szCs w:val="18"/>
          <w:color w:val="auto"/>
        </w:rPr>
      </w:pPr>
    </w:p>
    <w:p>
      <w:pPr>
        <w:ind w:left="1050" w:right="220" w:hanging="626"/>
        <w:spacing w:after="0" w:line="270" w:lineRule="auto"/>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76"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as soon as reasonably practicable.</w:t>
      </w:r>
    </w:p>
    <w:p>
      <w:pPr>
        <w:spacing w:after="0" w:line="76" w:lineRule="exact"/>
        <w:rPr>
          <w:rFonts w:ascii="Times New Roman" w:cs="Times New Roman" w:eastAsia="Times New Roman" w:hAnsi="Times New Roman"/>
          <w:sz w:val="18"/>
          <w:szCs w:val="18"/>
          <w:color w:val="auto"/>
        </w:rPr>
      </w:pPr>
    </w:p>
    <w:p>
      <w:pPr>
        <w:ind w:left="430" w:hanging="430"/>
        <w:spacing w:after="0" w:line="270" w:lineRule="auto"/>
        <w:tabs>
          <w:tab w:leader="none" w:pos="43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123" w:lineRule="exact"/>
        <w:rPr>
          <w:rFonts w:ascii="Times New Roman" w:cs="Times New Roman" w:eastAsia="Times New Roman" w:hAnsi="Times New Roman"/>
          <w:sz w:val="18"/>
          <w:szCs w:val="18"/>
          <w:color w:val="auto"/>
        </w:rPr>
      </w:pPr>
    </w:p>
    <w:p>
      <w:pPr>
        <w:ind w:left="430" w:right="20" w:hanging="430"/>
        <w:spacing w:after="0" w:line="253" w:lineRule="auto"/>
        <w:tabs>
          <w:tab w:leader="none" w:pos="43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such requested confirmation, forms, documentation or other information.</w:t>
      </w:r>
    </w:p>
    <w:p>
      <w:pPr>
        <w:spacing w:after="0" w:line="92" w:lineRule="exact"/>
        <w:rPr>
          <w:rFonts w:ascii="Times New Roman" w:cs="Times New Roman" w:eastAsia="Times New Roman" w:hAnsi="Times New Roman"/>
          <w:sz w:val="18"/>
          <w:szCs w:val="18"/>
          <w:color w:val="auto"/>
        </w:rPr>
      </w:pPr>
    </w:p>
    <w:p>
      <w:pPr>
        <w:ind w:left="430" w:right="160" w:hanging="430"/>
        <w:spacing w:after="0" w:line="270" w:lineRule="auto"/>
        <w:tabs>
          <w:tab w:leader="none" w:pos="430"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is a US Tax Obligor or the Agent reasonably believes that its obligations under FATCA or any other applicable law or regulation require it, each Lender shall, within ten (10) Business Days of:</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70"/>
          </w:cols>
          <w:pgMar w:left="550" w:top="266" w:right="579" w:bottom="1440" w:gutter="0" w:footer="0" w:header="0"/>
        </w:sectPr>
      </w:pPr>
    </w:p>
    <w:bookmarkStart w:id="554" w:name="page555"/>
    <w:bookmarkEnd w:id="554"/>
    <w:p>
      <w:pPr>
        <w:ind w:left="1050" w:hanging="626"/>
        <w:spacing w:after="0"/>
        <w:tabs>
          <w:tab w:leader="none" w:pos="105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where the Borrower is a US Tax Obligor and such Lender is an Original Lender, the date of this Agreement;</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a US Tax Obligor on a Transfer Date and such Lender is a New Lender (in respect of any assignment or transfer by an Existing Lender to such New Lender), the Transfer Date in respect of such assignment or transfer;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new US Tax Obligor accedes as a Borrower;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not a US Tax Obligor, the date of a request from the Agent,</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supply to the Agent:</w:t>
      </w:r>
    </w:p>
    <w:p>
      <w:pPr>
        <w:spacing w:after="0" w:line="124" w:lineRule="exact"/>
        <w:rPr>
          <w:sz w:val="20"/>
          <w:szCs w:val="20"/>
          <w:color w:val="auto"/>
        </w:rPr>
      </w:pPr>
    </w:p>
    <w:p>
      <w:pPr>
        <w:ind w:left="1710" w:hanging="639"/>
        <w:spacing w:after="0"/>
        <w:tabs>
          <w:tab w:leader="none" w:pos="1710" w:val="left"/>
        </w:tabs>
        <w:numPr>
          <w:ilvl w:val="2"/>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certificate on Form W-8, Form W-9 or any other relevant form; or</w:t>
      </w:r>
    </w:p>
    <w:p>
      <w:pPr>
        <w:spacing w:after="0" w:line="123" w:lineRule="exact"/>
        <w:rPr>
          <w:rFonts w:ascii="Times New Roman" w:cs="Times New Roman" w:eastAsia="Times New Roman" w:hAnsi="Times New Roman"/>
          <w:sz w:val="18"/>
          <w:szCs w:val="18"/>
          <w:color w:val="auto"/>
        </w:rPr>
      </w:pPr>
    </w:p>
    <w:p>
      <w:pPr>
        <w:ind w:left="1710" w:right="100" w:hanging="639"/>
        <w:spacing w:after="0" w:line="270" w:lineRule="auto"/>
        <w:tabs>
          <w:tab w:leader="none" w:pos="1710" w:val="left"/>
        </w:tabs>
        <w:numPr>
          <w:ilvl w:val="2"/>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statement or other document, authorisation or waiver as the Agent may require to certify or establish the status of such Lender under FATCA or that other law or regulation.</w:t>
      </w:r>
    </w:p>
    <w:p>
      <w:pPr>
        <w:spacing w:after="0" w:line="76"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any withholding certificate, withholding statement, document, authorisation or waiver it receives from a Lender pursuant to paragraph (e) above to the Borrower.</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withholding certificate, withholding statement, document, authorisation or waiver provided to the Agent by a Lender pursuant to paragraph</w:t>
      </w:r>
    </w:p>
    <w:p>
      <w:pPr>
        <w:spacing w:after="0" w:line="33" w:lineRule="exact"/>
        <w:rPr>
          <w:rFonts w:ascii="Times New Roman" w:cs="Times New Roman" w:eastAsia="Times New Roman" w:hAnsi="Times New Roman"/>
          <w:sz w:val="17"/>
          <w:szCs w:val="17"/>
          <w:color w:val="auto"/>
        </w:rPr>
      </w:pPr>
    </w:p>
    <w:p>
      <w:pPr>
        <w:ind w:left="430" w:right="60" w:hanging="6"/>
        <w:spacing w:after="0" w:line="246" w:lineRule="auto"/>
        <w:tabs>
          <w:tab w:leader="none" w:pos="669"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or becomes materially inaccurate or incomplete, that Lender shall promptly update it and provide such updated withholding certificate, withholding statement, document, authorisation or waiver to the Agent unless it is unlawful for that Lender to do so (in which case that Lender shall promptly notify the Agent). The Agent shall provide any such updated withholding certificate, withholding statement, document, authorisation or waiver to the Borrower.</w:t>
      </w:r>
    </w:p>
    <w:p>
      <w:pPr>
        <w:spacing w:after="0" w:line="98" w:lineRule="exact"/>
        <w:rPr>
          <w:rFonts w:ascii="Times New Roman" w:cs="Times New Roman" w:eastAsia="Times New Roman" w:hAnsi="Times New Roman"/>
          <w:sz w:val="18"/>
          <w:szCs w:val="18"/>
          <w:color w:val="auto"/>
        </w:rPr>
      </w:pPr>
    </w:p>
    <w:p>
      <w:pPr>
        <w:ind w:left="430" w:right="160" w:hanging="430"/>
        <w:spacing w:after="0" w:line="270" w:lineRule="auto"/>
        <w:tabs>
          <w:tab w:leader="none" w:pos="430"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any withholding certificate, withholding statement, document, authorisation or waiver it receives from a Lender pursuant to paragraph (e) or (g) above without further verification.</w:t>
      </w:r>
    </w:p>
    <w:p>
      <w:pPr>
        <w:spacing w:after="0" w:line="63"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liable for any action taken by it under or in connection with paragraph (e), (f) or (g) above.</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12.8 FATCA Deduction</w:t>
      </w:r>
    </w:p>
    <w:p>
      <w:pPr>
        <w:spacing w:after="0" w:line="126" w:lineRule="exact"/>
        <w:rPr>
          <w:sz w:val="20"/>
          <w:szCs w:val="20"/>
          <w:color w:val="auto"/>
        </w:rPr>
      </w:pPr>
    </w:p>
    <w:p>
      <w:pPr>
        <w:ind w:left="430" w:hanging="430"/>
        <w:spacing w:after="0" w:line="258" w:lineRule="auto"/>
        <w:tabs>
          <w:tab w:leader="none" w:pos="43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that payment for that FATCA Deduction.</w:t>
      </w:r>
    </w:p>
    <w:p>
      <w:pPr>
        <w:spacing w:after="0" w:line="85" w:lineRule="exact"/>
        <w:rPr>
          <w:rFonts w:ascii="Times New Roman" w:cs="Times New Roman" w:eastAsia="Times New Roman" w:hAnsi="Times New Roman"/>
          <w:sz w:val="18"/>
          <w:szCs w:val="18"/>
          <w:color w:val="auto"/>
        </w:rPr>
      </w:pPr>
    </w:p>
    <w:p>
      <w:pPr>
        <w:jc w:val="both"/>
        <w:ind w:left="430" w:right="20" w:hanging="430"/>
        <w:spacing w:after="0" w:line="253" w:lineRule="auto"/>
        <w:tabs>
          <w:tab w:leader="none" w:pos="430"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as soon as reasonably practicable, upon becoming aware that it must make a FATCA Deduction (or that there is any change in the rate or the basis of such FATCA Deduction), and in any case at least three (3) Business Days prior to making a FATCA Deduction, notify the Party to whom it is making the payment (to which such FATCA Deduction relates) and, in addition, on or prior to the day on which it notifies that Party, shall also notify the Borrower, the Agent and the other Finance Parties.</w:t>
      </w:r>
    </w:p>
    <w:p>
      <w:pPr>
        <w:spacing w:after="0" w:line="328" w:lineRule="exact"/>
        <w:rPr>
          <w:sz w:val="20"/>
          <w:szCs w:val="20"/>
          <w:color w:val="auto"/>
        </w:rPr>
      </w:pPr>
    </w:p>
    <w:p>
      <w:pPr>
        <w:ind w:left="10" w:right="8700" w:hanging="10"/>
        <w:spacing w:after="0" w:line="406" w:lineRule="auto"/>
        <w:tabs>
          <w:tab w:leader="none" w:pos="433" w:val="left"/>
        </w:tabs>
        <w:numPr>
          <w:ilvl w:val="0"/>
          <w:numId w:val="5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INCREASED COSTS 13.1 Increased Costs</w:t>
      </w:r>
    </w:p>
    <w:p>
      <w:pPr>
        <w:spacing w:after="0" w:line="2" w:lineRule="exact"/>
        <w:rPr>
          <w:sz w:val="20"/>
          <w:szCs w:val="20"/>
          <w:color w:val="auto"/>
        </w:rPr>
      </w:pPr>
    </w:p>
    <w:p>
      <w:pPr>
        <w:ind w:left="430" w:hanging="430"/>
        <w:spacing w:after="0" w:line="270" w:lineRule="auto"/>
        <w:tabs>
          <w:tab w:leader="none" w:pos="430"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13.3 (Exceptions), the Borrower shall, within ten (10) Business Days of a demand by the Agent, pay for the account of a Finance Party the amount of any Increased Costs incurred by that Finance Party or any of its Affiliates as a result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law or regulation made, enacted, issued or put into effect after the date of this Agreement; or</w:t>
      </w:r>
    </w:p>
    <w:p>
      <w:pPr>
        <w:spacing w:after="0" w:line="123" w:lineRule="exact"/>
        <w:rPr>
          <w:rFonts w:ascii="Times New Roman" w:cs="Times New Roman" w:eastAsia="Times New Roman" w:hAnsi="Times New Roman"/>
          <w:sz w:val="18"/>
          <w:szCs w:val="18"/>
          <w:color w:val="auto"/>
        </w:rPr>
      </w:pPr>
    </w:p>
    <w:p>
      <w:pPr>
        <w:ind w:left="1050" w:right="100" w:hanging="626"/>
        <w:spacing w:after="0" w:line="270" w:lineRule="auto"/>
        <w:tabs>
          <w:tab w:leader="none" w:pos="1050" w:val="left"/>
        </w:tabs>
        <w:numPr>
          <w:ilvl w:val="1"/>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or application of, or compliance with, Basel III or CRD IV or any law or regulation that implements or applies Basel III or CRD IV.</w:t>
      </w:r>
    </w:p>
    <w:p>
      <w:pPr>
        <w:spacing w:after="0" w:line="63" w:lineRule="exact"/>
        <w:rPr>
          <w:sz w:val="20"/>
          <w:szCs w:val="20"/>
          <w:color w:val="auto"/>
        </w:rPr>
      </w:pPr>
    </w:p>
    <w:p>
      <w:pPr>
        <w:ind w:left="430" w:right="540"/>
        <w:spacing w:after="0" w:line="270" w:lineRule="auto"/>
        <w:rPr>
          <w:sz w:val="20"/>
          <w:szCs w:val="20"/>
          <w:color w:val="auto"/>
        </w:rPr>
      </w:pPr>
      <w:r>
        <w:rPr>
          <w:rFonts w:ascii="Times New Roman" w:cs="Times New Roman" w:eastAsia="Times New Roman" w:hAnsi="Times New Roman"/>
          <w:sz w:val="18"/>
          <w:szCs w:val="18"/>
          <w:color w:val="auto"/>
        </w:rPr>
        <w:t>The terms “law” and “regulation” in this paragraph (a) shall include, without limitation, any law or regulation concerning capital adequacy, prudential limits, liquidity, reserve assets or Tax.</w:t>
      </w:r>
    </w:p>
    <w:p>
      <w:pPr>
        <w:spacing w:after="0" w:line="76" w:lineRule="exact"/>
        <w:rPr>
          <w:sz w:val="20"/>
          <w:szCs w:val="20"/>
          <w:color w:val="auto"/>
        </w:rPr>
      </w:pPr>
    </w:p>
    <w:p>
      <w:pPr>
        <w:ind w:left="430" w:hanging="430"/>
        <w:spacing w:after="0"/>
        <w:tabs>
          <w:tab w:leader="none" w:pos="430"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08" w:lineRule="exact"/>
        <w:rPr>
          <w:rFonts w:ascii="Times New Roman" w:cs="Times New Roman" w:eastAsia="Times New Roman" w:hAnsi="Times New Roman"/>
          <w:sz w:val="18"/>
          <w:szCs w:val="18"/>
          <w:color w:val="auto"/>
        </w:rPr>
      </w:pPr>
    </w:p>
    <w:p>
      <w:pPr>
        <w:ind w:left="430" w:right="3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Basel II </w:t>
      </w:r>
      <w:r>
        <w:rPr>
          <w:rFonts w:ascii="Times New Roman" w:cs="Times New Roman" w:eastAsia="Times New Roman" w:hAnsi="Times New Roman"/>
          <w:sz w:val="18"/>
          <w:szCs w:val="18"/>
          <w:color w:val="auto"/>
        </w:rPr>
        <w:t>means the “International Convergence of Capital Measurement and Capital Standards, a Revised Framework” published by the Basel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on Banking Supervision in June 2004.</w:t>
      </w:r>
    </w:p>
    <w:p>
      <w:pPr>
        <w:spacing w:after="0" w:line="1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90"/>
          </w:cols>
          <w:pgMar w:left="550" w:top="266" w:right="559" w:bottom="1440" w:gutter="0" w:footer="0" w:header="0"/>
        </w:sectPr>
      </w:pPr>
    </w:p>
    <w:bookmarkStart w:id="555" w:name="page556"/>
    <w:bookmarkEnd w:id="555"/>
    <w:p>
      <w:pPr>
        <w:ind w:left="43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Basel III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on capital requirements, a leverage ratio and liquidity standards contained in “Basel III: A global regulatory framework</w:t>
      </w:r>
    </w:p>
    <w:p>
      <w:pPr>
        <w:spacing w:after="0" w:line="33" w:lineRule="exact"/>
        <w:rPr>
          <w:rFonts w:ascii="Times New Roman" w:cs="Times New Roman" w:eastAsia="Times New Roman" w:hAnsi="Times New Roman"/>
          <w:sz w:val="17"/>
          <w:szCs w:val="17"/>
          <w:color w:val="auto"/>
        </w:rPr>
      </w:pPr>
    </w:p>
    <w:p>
      <w:pPr>
        <w:ind w:left="1050" w:right="2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96" w:lineRule="exact"/>
        <w:rPr>
          <w:rFonts w:ascii="Times New Roman" w:cs="Times New Roman" w:eastAsia="Times New Roman" w:hAnsi="Times New Roman"/>
          <w:sz w:val="17"/>
          <w:szCs w:val="17"/>
          <w:color w:val="auto"/>
        </w:rPr>
      </w:pPr>
    </w:p>
    <w:p>
      <w:pPr>
        <w:ind w:left="1050" w:right="140" w:hanging="626"/>
        <w:spacing w:after="0" w:line="258" w:lineRule="auto"/>
        <w:tabs>
          <w:tab w:leader="none" w:pos="105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10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CRD IV </w:t>
      </w:r>
      <w:r>
        <w:rPr>
          <w:rFonts w:ascii="Times New Roman" w:cs="Times New Roman" w:eastAsia="Times New Roman" w:hAnsi="Times New Roman"/>
          <w:sz w:val="18"/>
          <w:szCs w:val="18"/>
          <w:color w:val="auto"/>
        </w:rPr>
        <w:t>means EU CRD IV and UK CRD IV;</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EU CRD IV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0" w:hanging="626"/>
        <w:spacing w:after="0" w:line="270" w:lineRule="auto"/>
        <w:tabs>
          <w:tab w:leader="none" w:pos="105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and</w:t>
      </w:r>
    </w:p>
    <w:p>
      <w:pPr>
        <w:spacing w:after="0" w:line="76" w:lineRule="exact"/>
        <w:rPr>
          <w:rFonts w:ascii="Times New Roman" w:cs="Times New Roman" w:eastAsia="Times New Roman" w:hAnsi="Times New Roman"/>
          <w:sz w:val="18"/>
          <w:szCs w:val="18"/>
          <w:color w:val="auto"/>
        </w:rPr>
      </w:pPr>
    </w:p>
    <w:p>
      <w:pPr>
        <w:ind w:left="1050" w:right="120" w:hanging="626"/>
        <w:spacing w:after="0" w:line="258" w:lineRule="auto"/>
        <w:tabs>
          <w:tab w:leader="none" w:pos="105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7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Increased Costs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any part thereof) or on a Finance Party’s (or its Affiliate’s) overall capital;</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110"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the undertaking, funding or performance by that Finance Party of any of its obligations under any Finance Document or any participation of that Finance Party in any Loan or Unpaid Sum.</w:t>
      </w:r>
    </w:p>
    <w:p>
      <w:pPr>
        <w:spacing w:after="0" w:line="7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UK CRD IV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0" w:hanging="626"/>
        <w:spacing w:after="0" w:line="258" w:lineRule="auto"/>
        <w:tabs>
          <w:tab w:leader="none" w:pos="105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Regulation (EU) No 575/2013 of the European Parliament and of the Council of 26 June 2013 on prudential requirements for credit institutions and investment firms and amending Regulation (EU) No 648/2012 as it forms part of the domestic law of the United Kingdom by virtue of the European Union (Withdrawal) Act 2018 (the </w:t>
      </w:r>
      <w:r>
        <w:rPr>
          <w:rFonts w:ascii="Times New Roman" w:cs="Times New Roman" w:eastAsia="Times New Roman" w:hAnsi="Times New Roman"/>
          <w:sz w:val="18"/>
          <w:szCs w:val="18"/>
          <w:b w:val="1"/>
          <w:bCs w:val="1"/>
          <w:color w:val="auto"/>
        </w:rPr>
        <w:t>Withdrawal Act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50" w:right="500" w:hanging="626"/>
        <w:spacing w:after="0" w:line="270" w:lineRule="auto"/>
        <w:tabs>
          <w:tab w:leader="none" w:pos="105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law of the United Kingdom or any part of it, which immediately before IP completion day (as defined in the European Union (Withdrawal Agreement) Act 2020 (</w:t>
      </w:r>
      <w:r>
        <w:rPr>
          <w:rFonts w:ascii="Times New Roman" w:cs="Times New Roman" w:eastAsia="Times New Roman" w:hAnsi="Times New Roman"/>
          <w:sz w:val="17"/>
          <w:szCs w:val="17"/>
          <w:b w:val="1"/>
          <w:bCs w:val="1"/>
          <w:color w:val="auto"/>
        </w:rPr>
        <w:t>WAA</w:t>
      </w:r>
      <w:r>
        <w:rPr>
          <w:rFonts w:ascii="Times New Roman" w:cs="Times New Roman" w:eastAsia="Times New Roman" w:hAnsi="Times New Roman"/>
          <w:sz w:val="17"/>
          <w:szCs w:val="17"/>
          <w:color w:val="auto"/>
        </w:rPr>
        <w:t>)) implemented Directive 2013/36/EU of the European Parliament and of the Council of</w:t>
      </w:r>
    </w:p>
    <w:p>
      <w:pPr>
        <w:ind w:left="1050" w:right="3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26 June 2013 on access to the activity of credit institutions and the prudential supervision of credit institutions and investment firms, amending Directive 2002/87/EC and repealing Directives 2006/48/EC and 2006/49/EC and its implementing measures;</w:t>
      </w:r>
    </w:p>
    <w:p>
      <w:pPr>
        <w:spacing w:after="0" w:line="93" w:lineRule="exact"/>
        <w:rPr>
          <w:rFonts w:ascii="Times New Roman" w:cs="Times New Roman" w:eastAsia="Times New Roman" w:hAnsi="Times New Roman"/>
          <w:sz w:val="17"/>
          <w:szCs w:val="17"/>
          <w:color w:val="auto"/>
        </w:rPr>
      </w:pPr>
    </w:p>
    <w:p>
      <w:pPr>
        <w:ind w:left="1050" w:right="680" w:hanging="626"/>
        <w:spacing w:after="0" w:line="300" w:lineRule="auto"/>
        <w:tabs>
          <w:tab w:leader="none" w:pos="1050" w:val="left"/>
        </w:tabs>
        <w:numPr>
          <w:ilvl w:val="0"/>
          <w:numId w:val="5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EU legislation (as defined in the Withdrawal Act), which immediately before IP completion day (as defined in the WAA) implemented EU CRD IV as it forms part of domestic law of the United Kingdom by virtue of the Withdrawal Act; and</w:t>
      </w:r>
    </w:p>
    <w:p>
      <w:pPr>
        <w:spacing w:after="0" w:line="53" w:lineRule="exact"/>
        <w:rPr>
          <w:rFonts w:ascii="Times New Roman" w:cs="Times New Roman" w:eastAsia="Times New Roman" w:hAnsi="Times New Roman"/>
          <w:sz w:val="17"/>
          <w:szCs w:val="17"/>
          <w:color w:val="auto"/>
        </w:rPr>
      </w:pPr>
    </w:p>
    <w:p>
      <w:pPr>
        <w:ind w:left="1050" w:hanging="626"/>
        <w:spacing w:after="0" w:line="270" w:lineRule="auto"/>
        <w:tabs>
          <w:tab w:leader="none" w:pos="1050"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of the United Kingdom which introduces into domestic law of the United Kingdom a provision which is equivalent to a provision set out in EU CRD IV and/or implements Basel III standards.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13.2 Increased Cost claims</w:t>
      </w:r>
    </w:p>
    <w:p>
      <w:pPr>
        <w:spacing w:after="0" w:line="126" w:lineRule="exact"/>
        <w:rPr>
          <w:sz w:val="20"/>
          <w:szCs w:val="20"/>
          <w:color w:val="auto"/>
        </w:rPr>
      </w:pPr>
    </w:p>
    <w:p>
      <w:pPr>
        <w:ind w:left="430" w:right="260" w:hanging="430"/>
        <w:spacing w:after="0" w:line="270" w:lineRule="auto"/>
        <w:tabs>
          <w:tab w:leader="none" w:pos="43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(other than the Agent) intending to make a claim pursuant to Clause 13.1 (Increased Costs) shall notify the Agent of the event giving rise to such claim, following which the Agent shall promptly notify the Borrower.</w:t>
      </w:r>
    </w:p>
    <w:p>
      <w:pPr>
        <w:spacing w:after="0" w:line="76" w:lineRule="exact"/>
        <w:rPr>
          <w:rFonts w:ascii="Times New Roman" w:cs="Times New Roman" w:eastAsia="Times New Roman" w:hAnsi="Times New Roman"/>
          <w:sz w:val="18"/>
          <w:szCs w:val="18"/>
          <w:color w:val="auto"/>
        </w:rPr>
      </w:pPr>
    </w:p>
    <w:p>
      <w:pPr>
        <w:ind w:left="430" w:hanging="430"/>
        <w:spacing w:after="0" w:line="270" w:lineRule="auto"/>
        <w:tabs>
          <w:tab w:leader="none" w:pos="430"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 in respect of any claim made by such Finance Party under Clause 13.1 (Increased Costs).</w:t>
      </w:r>
    </w:p>
    <w:p>
      <w:pPr>
        <w:spacing w:after="0" w:line="10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30"/>
          </w:cols>
          <w:pgMar w:left="550" w:top="264" w:right="619" w:bottom="1440" w:gutter="0" w:footer="0" w:header="0"/>
        </w:sectPr>
      </w:pPr>
    </w:p>
    <w:bookmarkStart w:id="556" w:name="page557"/>
    <w:bookmarkEnd w:id="556"/>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13.3 Exceptions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Clause 13.1 (Increased Costs) does not apply to any Increased Cost to the extent such Increased Cost is:</w:t>
      </w:r>
    </w:p>
    <w:p>
      <w:pPr>
        <w:spacing w:after="0" w:line="124" w:lineRule="exact"/>
        <w:rPr>
          <w:sz w:val="20"/>
          <w:szCs w:val="20"/>
          <w:color w:val="auto"/>
        </w:rPr>
      </w:pPr>
    </w:p>
    <w:p>
      <w:pPr>
        <w:ind w:left="1050" w:right="60" w:hanging="626"/>
        <w:spacing w:after="0" w:line="270" w:lineRule="auto"/>
        <w:tabs>
          <w:tab w:leader="none" w:pos="105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that is required by law to be made by an Obligor and that is already compensated for by Clause 12.2 (Tax gross-up);</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12.3 (Tax indemnity) (or would have been compensated for under Clause 12.3 (Tax indemnity) but was not so compensated solely because any of the exclusions in paragraph (a) of Clause 12.3 (Tax indemnity) applied);</w:t>
      </w:r>
    </w:p>
    <w:p>
      <w:pPr>
        <w:spacing w:after="0" w:line="76" w:lineRule="exact"/>
        <w:rPr>
          <w:rFonts w:ascii="Times New Roman" w:cs="Times New Roman" w:eastAsia="Times New Roman" w:hAnsi="Times New Roman"/>
          <w:sz w:val="18"/>
          <w:szCs w:val="18"/>
          <w:color w:val="auto"/>
        </w:rPr>
      </w:pPr>
    </w:p>
    <w:p>
      <w:pPr>
        <w:ind w:left="1050" w:right="200" w:hanging="626"/>
        <w:spacing w:after="0" w:line="258" w:lineRule="auto"/>
        <w:tabs>
          <w:tab w:leader="none" w:pos="105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(i) Basel II or (ii) to the extent quantifiable as at the date of this Agreement, Basel III, CRD IV or any other law or regulation which implements Basel II, Basel III or CRD IV (whether such implementation, application or compliance is by a government, regulator, a Finance Party or any of its Affiliates or otherwise); or</w:t>
      </w:r>
    </w:p>
    <w:p>
      <w:pPr>
        <w:spacing w:after="0" w:line="85" w:lineRule="exact"/>
        <w:rPr>
          <w:rFonts w:ascii="Times New Roman" w:cs="Times New Roman" w:eastAsia="Times New Roman" w:hAnsi="Times New Roman"/>
          <w:sz w:val="18"/>
          <w:szCs w:val="18"/>
          <w:color w:val="auto"/>
        </w:rPr>
      </w:pPr>
    </w:p>
    <w:p>
      <w:pPr>
        <w:ind w:left="1050" w:right="500" w:hanging="626"/>
        <w:spacing w:after="0" w:line="270" w:lineRule="auto"/>
        <w:tabs>
          <w:tab w:leader="none" w:pos="1050"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a Finance Party or an Affiliate of a Finance Party and is attributable to the wilful breach by such Finance Party or such Affiliate of any law or regulation.</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14.1 Mitigation</w:t>
      </w:r>
    </w:p>
    <w:p>
      <w:pPr>
        <w:spacing w:after="0" w:line="126" w:lineRule="exact"/>
        <w:rPr>
          <w:sz w:val="20"/>
          <w:szCs w:val="20"/>
          <w:color w:val="auto"/>
        </w:rPr>
      </w:pPr>
    </w:p>
    <w:p>
      <w:pPr>
        <w:ind w:left="430" w:right="40" w:hanging="430"/>
        <w:spacing w:after="0" w:line="253" w:lineRule="auto"/>
        <w:tabs>
          <w:tab w:leader="none" w:pos="43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7.1 (Illegality), Clause 12 (Tax Gross Up and Indemnities) or Clause 13 (Increased Costs) including transferring its rights and obligations under the Finance Documents to another Affiliate or Facility Office.</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14.2 Limitation of liability</w:t>
      </w:r>
    </w:p>
    <w:p>
      <w:pPr>
        <w:spacing w:after="0" w:line="126" w:lineRule="exact"/>
        <w:rPr>
          <w:sz w:val="20"/>
          <w:szCs w:val="20"/>
          <w:color w:val="auto"/>
        </w:rPr>
      </w:pPr>
    </w:p>
    <w:p>
      <w:pPr>
        <w:ind w:left="430" w:right="280" w:hanging="430"/>
        <w:spacing w:after="0" w:line="270" w:lineRule="auto"/>
        <w:tabs>
          <w:tab w:leader="none" w:pos="43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Finance Party, within ten (10) Business Days of demand, for all costs and expenses reasonably incurred by that Finance Party as a result of steps taken by it under Clause 14.1 (Mitigation).</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14.1 (Mitigation) if, in the opinion of that Finance Party (acting reasonably), to do so might be prejudicial to it.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14.3 Conduct of business by the Finance Parties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provision of this Agreement will:</w:t>
      </w:r>
    </w:p>
    <w:p>
      <w:pPr>
        <w:spacing w:after="0" w:line="124" w:lineRule="exact"/>
        <w:rPr>
          <w:sz w:val="20"/>
          <w:szCs w:val="20"/>
          <w:color w:val="auto"/>
        </w:rPr>
      </w:pPr>
    </w:p>
    <w:p>
      <w:pPr>
        <w:ind w:left="1050" w:hanging="626"/>
        <w:spacing w:after="0"/>
        <w:tabs>
          <w:tab w:leader="none" w:pos="105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such claim;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359"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INDEMNITIES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17.1 Guarantee and indemnity</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70"/>
          </w:cols>
          <w:pgMar w:left="550" w:top="264" w:right="579" w:bottom="1440" w:gutter="0" w:footer="0" w:header="0"/>
        </w:sectPr>
      </w:pPr>
    </w:p>
    <w:bookmarkStart w:id="557" w:name="page558"/>
    <w:bookmarkEnd w:id="557"/>
    <w:p>
      <w:pPr>
        <w:ind w:left="430" w:hanging="430"/>
        <w:spacing w:after="0"/>
        <w:tabs>
          <w:tab w:leader="none" w:pos="430" w:val="left"/>
        </w:tabs>
        <w:numPr>
          <w:ilvl w:val="0"/>
          <w:numId w:val="5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REPRESENTATIONS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COVENANTS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OF DEFAULT</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 Assignments and transfers by the Lenders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 xml:space="preserve">Subject to this Clause 23 and Clause 35 (Restrictions on Debt Purchase Transactions),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126" w:lineRule="exact"/>
        <w:rPr>
          <w:sz w:val="20"/>
          <w:szCs w:val="20"/>
          <w:color w:val="auto"/>
        </w:rPr>
      </w:pPr>
    </w:p>
    <w:p>
      <w:pPr>
        <w:ind w:left="1050" w:hanging="626"/>
        <w:spacing w:after="0"/>
        <w:tabs>
          <w:tab w:leader="none" w:pos="105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110" w:lineRule="exact"/>
        <w:rPr>
          <w:sz w:val="20"/>
          <w:szCs w:val="20"/>
          <w:color w:val="auto"/>
        </w:rPr>
      </w:pPr>
    </w:p>
    <w:p>
      <w:pPr>
        <w:ind w:left="430" w:right="20"/>
        <w:spacing w:after="0" w:line="270" w:lineRule="auto"/>
        <w:rPr>
          <w:sz w:val="20"/>
          <w:szCs w:val="20"/>
          <w:color w:val="auto"/>
        </w:rPr>
      </w:pPr>
      <w:r>
        <w:rPr>
          <w:rFonts w:ascii="Times New Roman" w:cs="Times New Roman" w:eastAsia="Times New Roman" w:hAnsi="Times New Roman"/>
          <w:sz w:val="18"/>
          <w:szCs w:val="18"/>
          <w:color w:val="auto"/>
        </w:rPr>
        <w:t xml:space="preserve">under any Finance Document 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3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23.2 Conditions of assignment or transfer</w:t>
      </w:r>
    </w:p>
    <w:p>
      <w:pPr>
        <w:spacing w:after="0" w:line="126" w:lineRule="exact"/>
        <w:rPr>
          <w:sz w:val="20"/>
          <w:szCs w:val="20"/>
          <w:color w:val="auto"/>
        </w:rPr>
      </w:pPr>
    </w:p>
    <w:p>
      <w:pPr>
        <w:ind w:left="430" w:right="60" w:hanging="430"/>
        <w:spacing w:after="0" w:line="258" w:lineRule="auto"/>
        <w:tabs>
          <w:tab w:leader="none" w:pos="43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Utilisation Date, the prior written consent of the Borrower and both Syndication MLABUs (as defined in the Syndication and Fee Letter) shall be required in respect of any assignment and/or transfer made in accordance with Clause 23.1 (Assignments and transfers by the Lenders), except for:</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Lender in favour of an Affiliate of that Lender;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agreed by all MLABUs, any assignment or transfer made by any MLABU in favour of any other MLABU;</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Syndication MLABU (as defined in the Syndication and Fee Letter) pursuant to a Syndication Agreement;</w:t>
      </w:r>
    </w:p>
    <w:p>
      <w:pPr>
        <w:spacing w:after="0" w:line="76"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Syndication MLABU (as defined in the Syndication and Fee Letter) to any person on the Syndicate Bank List (as defined in the Syndication and Fee Letter), provided that such assignment or transfer is made in accordance with the conditions set out in the Syndication and Fee Letter; or</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at a time when an Event of Default is continuing.</w:t>
      </w:r>
    </w:p>
    <w:p>
      <w:pPr>
        <w:spacing w:after="0" w:line="123"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Initial Utilisation Date, the prior written consent of the Borrower shall not be required in respect of any assignment and/or transfer made in accordance with Clause 23.1 (Assignments and transfers by the Lenders).</w:t>
      </w:r>
    </w:p>
    <w:p>
      <w:pPr>
        <w:spacing w:after="0" w:line="76" w:lineRule="exact"/>
        <w:rPr>
          <w:rFonts w:ascii="Times New Roman" w:cs="Times New Roman" w:eastAsia="Times New Roman" w:hAnsi="Times New Roman"/>
          <w:sz w:val="18"/>
          <w:szCs w:val="18"/>
          <w:color w:val="auto"/>
        </w:rPr>
      </w:pPr>
    </w:p>
    <w:p>
      <w:pPr>
        <w:ind w:left="430" w:hanging="430"/>
        <w:spacing w:after="0" w:line="249" w:lineRule="auto"/>
        <w:tabs>
          <w:tab w:leader="none" w:pos="43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prior written consent of the Borrower is required in respect of any assignment and/or transfer made in accordance with Clause 23.1 (Assignments and transfers by the Lenders) pursuant to paragraph (a), the prior written consent of the Borrower to any assignment or transfer by a Lender must not be unreasonably withheld or delayed, and shall be deemed to have been given five (5) Business Days after such Lender has requested it unless such consent is expressly refused by the Borrower within that time, provided that, prior to the end of the Certain Funds Period, it is acknowledged and agreed that it shall in particular be reasonable for the Borrower to withhold its consent to any such assignment or transfer which the Borrower determines (acting reasonably) could result in (i) all or any part of the Facility not being available in accordance with the terms of this Agreement, or (ii) the receipt of any Acquisition Approval being jeopardised and/or being delayed.</w:t>
      </w:r>
    </w:p>
    <w:p>
      <w:pPr>
        <w:spacing w:after="0" w:line="12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30"/>
          </w:cols>
          <w:pgMar w:left="550" w:top="264" w:right="619" w:bottom="1440" w:gutter="0" w:footer="0" w:header="0"/>
        </w:sectPr>
      </w:pPr>
    </w:p>
    <w:bookmarkStart w:id="558" w:name="page559"/>
    <w:bookmarkEnd w:id="558"/>
    <w:p>
      <w:pPr>
        <w:ind w:left="430" w:right="100" w:hanging="430"/>
        <w:spacing w:after="0" w:line="269" w:lineRule="auto"/>
        <w:tabs>
          <w:tab w:leader="none" w:pos="43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An Existing Lender may not assign or transfer any or all of its rights or obligations under the Finance Documents or change its Facility Office without the prior written consent of the Borrower if such assignment or transfer would (in respect of any such assignment or transfer by an Existing Lender only, subject to the actual knowledge of that Existing Lender) give rise to a requirement to prepay any Loan (or any part thereof) or cancel any Commitment (or any part thereof) pursuant to Clause 7.1 (Illegality) in relation to the New Lender or such Existing Lender acting through the new Facility Office by reference to the facts and circumstances existing on the date of such assignment or transfer or change.</w:t>
      </w:r>
    </w:p>
    <w:p>
      <w:pPr>
        <w:spacing w:after="0" w:line="81" w:lineRule="exact"/>
        <w:rPr>
          <w:rFonts w:ascii="Times New Roman" w:cs="Times New Roman" w:eastAsia="Times New Roman" w:hAnsi="Times New Roman"/>
          <w:sz w:val="17"/>
          <w:szCs w:val="17"/>
          <w:color w:val="auto"/>
        </w:rPr>
      </w:pPr>
    </w:p>
    <w:p>
      <w:pPr>
        <w:ind w:left="430" w:right="300" w:hanging="430"/>
        <w:spacing w:after="0" w:line="258" w:lineRule="auto"/>
        <w:tabs>
          <w:tab w:leader="none" w:pos="43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shall, simultaneously with the assignment or transfer by it of rights and/or obligations under this Agreement to the New Lender, assign to the New Lender a proportionate share of the rights held by it (in its capacity as Lender) under or in connection with the other Finance Documents.</w:t>
      </w:r>
    </w:p>
    <w:p>
      <w:pPr>
        <w:spacing w:after="0" w:line="85" w:lineRule="exact"/>
        <w:rPr>
          <w:rFonts w:ascii="Times New Roman" w:cs="Times New Roman" w:eastAsia="Times New Roman" w:hAnsi="Times New Roman"/>
          <w:sz w:val="18"/>
          <w:szCs w:val="18"/>
          <w:color w:val="auto"/>
        </w:rPr>
      </w:pPr>
    </w:p>
    <w:p>
      <w:pPr>
        <w:ind w:left="430" w:right="480" w:hanging="430"/>
        <w:spacing w:after="0" w:line="270" w:lineRule="auto"/>
        <w:tabs>
          <w:tab w:leader="none" w:pos="43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the Existing Lender to the New Lender will be effective only if the procedure set out in Clause 23.6 (Procedure for transfer) is complied with in respect of such transfer.</w:t>
      </w:r>
    </w:p>
    <w:p>
      <w:pPr>
        <w:spacing w:after="0" w:line="76" w:lineRule="exact"/>
        <w:rPr>
          <w:rFonts w:ascii="Times New Roman" w:cs="Times New Roman" w:eastAsia="Times New Roman" w:hAnsi="Times New Roman"/>
          <w:sz w:val="18"/>
          <w:szCs w:val="18"/>
          <w:color w:val="auto"/>
        </w:rPr>
      </w:pPr>
    </w:p>
    <w:p>
      <w:pPr>
        <w:ind w:left="430" w:right="120" w:hanging="430"/>
        <w:spacing w:after="0" w:line="300" w:lineRule="auto"/>
        <w:tabs>
          <w:tab w:leader="none" w:pos="430" w:val="left"/>
        </w:tabs>
        <w:numPr>
          <w:ilvl w:val="0"/>
          <w:numId w:val="5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assignment by the Existing Lender to the New Lender will be effective only if the procedure and conditions set out in Clause 23.7 (Procedure for assignment) are complied with in respect of such assignment (subject to paragraph (c) of Clause 23.7 (Procedure for assignment)).</w:t>
      </w:r>
    </w:p>
    <w:p>
      <w:pPr>
        <w:spacing w:after="0" w:line="53"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right="580" w:hanging="626"/>
        <w:spacing w:after="0" w:line="270" w:lineRule="auto"/>
        <w:tabs>
          <w:tab w:leader="none" w:pos="105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assigns or transfers any of its rights or obligations under the Finance Documents to a New Lender or a Lender changes its Facility Office; and</w:t>
      </w:r>
    </w:p>
    <w:p>
      <w:pPr>
        <w:spacing w:after="0" w:line="76" w:lineRule="exact"/>
        <w:rPr>
          <w:rFonts w:ascii="Times New Roman" w:cs="Times New Roman" w:eastAsia="Times New Roman" w:hAnsi="Times New Roman"/>
          <w:sz w:val="18"/>
          <w:szCs w:val="18"/>
          <w:color w:val="auto"/>
        </w:rPr>
      </w:pPr>
    </w:p>
    <w:p>
      <w:pPr>
        <w:ind w:left="1050" w:right="160" w:hanging="626"/>
        <w:spacing w:after="0" w:line="258" w:lineRule="auto"/>
        <w:tabs>
          <w:tab w:leader="none" w:pos="1050"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such assignment, transfer or change occurs, the Borrower would be obliged to make a payment to such New Lender or such Lender acting through its new Facility Office under Clause 12 (Tax Gross Up and Indemnities) or Clause 13 (Increased Costs),</w:t>
      </w:r>
    </w:p>
    <w:p>
      <w:pPr>
        <w:spacing w:after="0" w:line="73" w:lineRule="exact"/>
        <w:rPr>
          <w:sz w:val="20"/>
          <w:szCs w:val="20"/>
          <w:color w:val="auto"/>
        </w:rPr>
      </w:pPr>
    </w:p>
    <w:p>
      <w:pPr>
        <w:ind w:left="430" w:right="60"/>
        <w:spacing w:after="0" w:line="263" w:lineRule="auto"/>
        <w:rPr>
          <w:sz w:val="20"/>
          <w:szCs w:val="20"/>
          <w:color w:val="auto"/>
        </w:rPr>
      </w:pPr>
      <w:r>
        <w:rPr>
          <w:rFonts w:ascii="Times New Roman" w:cs="Times New Roman" w:eastAsia="Times New Roman" w:hAnsi="Times New Roman"/>
          <w:sz w:val="17"/>
          <w:szCs w:val="17"/>
          <w:color w:val="auto"/>
        </w:rPr>
        <w:t xml:space="preserve">then such New Lender or such Lender acting through its new Facility Office is not entitled to receive any payment under that Clause in excess of the payment the Borrower would have been required to pay to such Existing Lender or such Lender acting through its previous Facility Office under that Clause if that assignment, transfer or change had not occurred,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this paragraph (h) shall not apply in case of an assignment or transfer made pursuant to Clause 7.4 (Right of repayment and cancellation in relation to a single Lender) unless otherwise agreed by the relevant Replacement Lender by way of written notice to the Agent prior to the effectiveness of that assignment or transfer. This paragraph</w:t>
      </w:r>
    </w:p>
    <w:p>
      <w:pPr>
        <w:spacing w:after="0" w:line="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(h) does not apply to any assignment or transfer under a Syndication Agreement.</w:t>
      </w:r>
    </w:p>
    <w:p>
      <w:pPr>
        <w:spacing w:after="0" w:line="106" w:lineRule="exact"/>
        <w:rPr>
          <w:sz w:val="20"/>
          <w:szCs w:val="20"/>
          <w:color w:val="auto"/>
        </w:rPr>
      </w:pPr>
    </w:p>
    <w:p>
      <w:pPr>
        <w:ind w:left="430" w:right="20" w:hanging="430"/>
        <w:spacing w:after="0" w:line="251" w:lineRule="auto"/>
        <w:tabs>
          <w:tab w:leader="none" w:pos="43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applicable Transfer Certificate or Assignment Agreement to which it is a party, confirms, for the avoidance of doubt, that the Agent has authority to execute on its behalf any amendment or waiver relating to any Finance Document that has been approved by or on behalf of the requisite Lender or Lenders in accordance with this Agreement on or prior to the date on which the applicable assignment or transfer from the applicable Existing Lender to such New Lender becomes effective in accordance with this Agreement and that it is bound by that decision to the same extent as such Existing Lender would have been had it remained a Lender.</w:t>
      </w:r>
    </w:p>
    <w:p>
      <w:pPr>
        <w:spacing w:after="0" w:line="94"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assignment or transfer by any MLABU prior to the Initial Utilisation Date, if there is any inconsistency between this Agreement and the Syndication and Fee Letter, the terms of the Syndication and Fee Letter shall prevail.</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23.3 Assignment or transfer fee</w:t>
      </w:r>
    </w:p>
    <w:p>
      <w:pPr>
        <w:spacing w:after="0" w:line="126" w:lineRule="exact"/>
        <w:rPr>
          <w:sz w:val="20"/>
          <w:szCs w:val="20"/>
          <w:color w:val="auto"/>
        </w:rPr>
      </w:pPr>
    </w:p>
    <w:p>
      <w:pPr>
        <w:ind w:left="430" w:hanging="430"/>
        <w:spacing w:after="0" w:line="300" w:lineRule="auto"/>
        <w:tabs>
          <w:tab w:leader="none" w:pos="430" w:val="left"/>
        </w:tabs>
        <w:numPr>
          <w:ilvl w:val="0"/>
          <w:numId w:val="5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shall, no later than five (5) Business Days prior to the date upon which the relevant assignment or transfer by the Existing Lender to the New Lender takes effect, pay to the Agent (for its own account) a fee of EUR4,000 (free and clear of any Tax under any applicable law).</w:t>
      </w:r>
    </w:p>
    <w:p>
      <w:pPr>
        <w:spacing w:after="0" w:line="53"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any assignment or transfer under a Syndication Agreement.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23.4 Master assignment or transfer</w:t>
      </w:r>
    </w:p>
    <w:p>
      <w:pPr>
        <w:spacing w:after="0" w:line="112" w:lineRule="exact"/>
        <w:rPr>
          <w:sz w:val="20"/>
          <w:szCs w:val="20"/>
          <w:color w:val="auto"/>
        </w:rPr>
      </w:pPr>
    </w:p>
    <w:p>
      <w:pPr>
        <w:ind w:left="430" w:right="100"/>
        <w:spacing w:after="0" w:line="253" w:lineRule="auto"/>
        <w:rPr>
          <w:sz w:val="20"/>
          <w:szCs w:val="20"/>
          <w:color w:val="auto"/>
        </w:rPr>
      </w:pPr>
      <w:r>
        <w:rPr>
          <w:rFonts w:ascii="Times New Roman" w:cs="Times New Roman" w:eastAsia="Times New Roman" w:hAnsi="Times New Roman"/>
          <w:sz w:val="18"/>
          <w:szCs w:val="18"/>
          <w:color w:val="auto"/>
        </w:rPr>
        <w:t xml:space="preserve">Without prejudice to the procedure set out in Clause 23.6 (Procedure for transfer or assignment or Clause 23.7 (Procedure for assignment) below, a transfer or assignment may be effected by way of a syndication agreement in relation to the Syndication to be entered into between, among others, the Existing Lenders, the New Lenders and the Agent which sets out the rights and obligations under the Finance Documents to be assigned or transferred, in lieu of a Transfer Certificate or an Assignment Agreement (a </w:t>
      </w:r>
      <w:r>
        <w:rPr>
          <w:rFonts w:ascii="Times New Roman" w:cs="Times New Roman" w:eastAsia="Times New Roman" w:hAnsi="Times New Roman"/>
          <w:sz w:val="18"/>
          <w:szCs w:val="18"/>
          <w:b w:val="1"/>
          <w:bCs w:val="1"/>
          <w:color w:val="auto"/>
        </w:rPr>
        <w:t>Syndication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23.5 Limitation of responsibility of Existing Lenders</w:t>
      </w:r>
    </w:p>
    <w:p>
      <w:pPr>
        <w:spacing w:after="0" w:line="126" w:lineRule="exact"/>
        <w:rPr>
          <w:sz w:val="20"/>
          <w:szCs w:val="20"/>
          <w:color w:val="auto"/>
        </w:rPr>
      </w:pPr>
    </w:p>
    <w:p>
      <w:pPr>
        <w:ind w:left="430" w:right="160" w:hanging="430"/>
        <w:spacing w:after="0" w:line="270" w:lineRule="auto"/>
        <w:tabs>
          <w:tab w:leader="none" w:pos="430"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70"/>
          </w:cols>
          <w:pgMar w:left="550" w:top="266" w:right="579" w:bottom="1440" w:gutter="0" w:footer="0" w:header="0"/>
        </w:sectPr>
      </w:pPr>
    </w:p>
    <w:bookmarkStart w:id="559" w:name="page560"/>
    <w:bookmarkEnd w:id="559"/>
    <w:p>
      <w:pPr>
        <w:ind w:left="1050" w:hanging="626"/>
        <w:spacing w:after="0"/>
        <w:tabs>
          <w:tab w:leader="none" w:pos="105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financial condition of any Group Member or any Affiliate of any Group Member;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 Obligor of its obligations under any of the Finance Documents or any other documents; or</w:t>
      </w:r>
    </w:p>
    <w:p>
      <w:pPr>
        <w:spacing w:after="0" w:line="123" w:lineRule="exact"/>
        <w:rPr>
          <w:rFonts w:ascii="Times New Roman" w:cs="Times New Roman" w:eastAsia="Times New Roman" w:hAnsi="Times New Roman"/>
          <w:sz w:val="18"/>
          <w:szCs w:val="18"/>
          <w:color w:val="auto"/>
        </w:rPr>
      </w:pPr>
    </w:p>
    <w:p>
      <w:pPr>
        <w:ind w:left="430" w:right="260" w:hanging="6"/>
        <w:spacing w:after="0" w:line="375" w:lineRule="auto"/>
        <w:tabs>
          <w:tab w:leader="none" w:pos="1056" w:val="left"/>
        </w:tabs>
        <w:numPr>
          <w:ilvl w:val="1"/>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 and any representations or warranties implied by law are excluded.</w:t>
      </w:r>
    </w:p>
    <w:p>
      <w:pPr>
        <w:ind w:left="430" w:right="240" w:hanging="430"/>
        <w:spacing w:after="0" w:line="270" w:lineRule="auto"/>
        <w:tabs>
          <w:tab w:leader="none" w:pos="43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(which makes any assignment or transfer to such New Lender) and the other Finance Parties that it:</w:t>
      </w:r>
    </w:p>
    <w:p>
      <w:pPr>
        <w:spacing w:after="0" w:line="76" w:lineRule="exact"/>
        <w:rPr>
          <w:rFonts w:ascii="Times New Roman" w:cs="Times New Roman" w:eastAsia="Times New Roman" w:hAnsi="Times New Roman"/>
          <w:sz w:val="18"/>
          <w:szCs w:val="18"/>
          <w:color w:val="auto"/>
        </w:rPr>
      </w:pPr>
    </w:p>
    <w:p>
      <w:pPr>
        <w:ind w:left="1050" w:right="280" w:hanging="626"/>
        <w:spacing w:after="0" w:line="253" w:lineRule="auto"/>
        <w:tabs>
          <w:tab w:leader="none" w:pos="105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the Obligors, the Group Members and their related entities in connection with its participation in this Agreement and/or the other Finance Documents and has not relied exclusively on any information provided to it by such Existing Lender in connection with any Finance Document; and</w:t>
      </w:r>
    </w:p>
    <w:p>
      <w:pPr>
        <w:spacing w:after="0" w:line="92" w:lineRule="exact"/>
        <w:rPr>
          <w:rFonts w:ascii="Times New Roman" w:cs="Times New Roman" w:eastAsia="Times New Roman" w:hAnsi="Times New Roman"/>
          <w:sz w:val="18"/>
          <w:szCs w:val="18"/>
          <w:color w:val="auto"/>
        </w:rPr>
      </w:pPr>
    </w:p>
    <w:p>
      <w:pPr>
        <w:jc w:val="both"/>
        <w:ind w:left="1050" w:right="20" w:hanging="626"/>
        <w:spacing w:after="0" w:line="258" w:lineRule="auto"/>
        <w:tabs>
          <w:tab w:leader="none" w:pos="105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the Obligors, the Group Members and their related entities whilst any amount is or may be outstanding under any of the Finance Documents or any commitment represented by any Commitment is in force.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123"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re-assignment or re-transfer from a New Lender of any of the rights and obligations assigned or transferred under this Clause 23; or</w:t>
      </w:r>
    </w:p>
    <w:p>
      <w:pPr>
        <w:spacing w:after="0" w:line="76"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a New Lender by reason of the non-performance by an Obligor of its obligations under any of the Finance Documents or otherwise.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23.6 Procedure for transfer</w:t>
      </w:r>
    </w:p>
    <w:p>
      <w:pPr>
        <w:spacing w:after="0" w:line="126" w:lineRule="exact"/>
        <w:rPr>
          <w:sz w:val="20"/>
          <w:szCs w:val="20"/>
          <w:color w:val="auto"/>
        </w:rPr>
      </w:pPr>
    </w:p>
    <w:p>
      <w:pPr>
        <w:ind w:left="430" w:hanging="430"/>
        <w:spacing w:after="0" w:line="250" w:lineRule="auto"/>
        <w:tabs>
          <w:tab w:leader="none" w:pos="43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out in Clause 23.2 (Conditions of assignment or transfer) a transfer by an Existing Lender of any or all of its rights and obligations under any Finance Document to a New Lender is effected on the Transfer Date in accordance with paragraph (c) below.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 </w:t>
      </w:r>
      <w:r>
        <w:rPr>
          <w:rFonts w:ascii="Times New Roman" w:cs="Times New Roman" w:eastAsia="Times New Roman" w:hAnsi="Times New Roman"/>
          <w:sz w:val="18"/>
          <w:szCs w:val="18"/>
          <w:b w:val="1"/>
          <w:bCs w:val="1"/>
          <w:color w:val="auto"/>
        </w:rPr>
        <w:t xml:space="preserve">provided that </w:t>
      </w:r>
      <w:r>
        <w:rPr>
          <w:rFonts w:ascii="Times New Roman" w:cs="Times New Roman" w:eastAsia="Times New Roman" w:hAnsi="Times New Roman"/>
          <w:sz w:val="18"/>
          <w:szCs w:val="18"/>
          <w:color w:val="auto"/>
        </w:rPr>
        <w:t>the Agent shall have no obligation to execute any Transfer Certificate at any time earlier than the date that is five (5)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its receipt of such Transfer Certificate.</w:t>
      </w:r>
    </w:p>
    <w:p>
      <w:pPr>
        <w:spacing w:after="0" w:line="94" w:lineRule="exact"/>
        <w:rPr>
          <w:rFonts w:ascii="Times New Roman" w:cs="Times New Roman" w:eastAsia="Times New Roman" w:hAnsi="Times New Roman"/>
          <w:sz w:val="18"/>
          <w:szCs w:val="18"/>
          <w:color w:val="auto"/>
        </w:rPr>
      </w:pPr>
    </w:p>
    <w:p>
      <w:pPr>
        <w:jc w:val="both"/>
        <w:ind w:left="430" w:right="20" w:hanging="430"/>
        <w:spacing w:after="0" w:line="280" w:lineRule="auto"/>
        <w:tabs>
          <w:tab w:leader="none" w:pos="430" w:val="left"/>
        </w:tabs>
        <w:numPr>
          <w:ilvl w:val="0"/>
          <w:numId w:val="5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obliged to execute a Transfer Certificate delivered to it by an Existing Lender and a New Lender unless it is satisfied that it has completed all “know your customer” and other similar procedures that it is required (including in accordance with internal policies) (or deems desirable) to conduct in relation to the transfer from such Existing Lender to such New Lender (the subject of such Transfer Certificate).</w:t>
      </w:r>
    </w:p>
    <w:p>
      <w:pPr>
        <w:spacing w:after="0" w:line="69"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in respect of a transfer by an Existing Lender to a New Lender:</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53" w:lineRule="auto"/>
        <w:tabs>
          <w:tab w:leader="none" w:pos="105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in the Transfer Certificate (relating to such transfer) such Existing Lender seeks to transfer its rights and obligations under any Finance Document each of the Obligors and such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such New Lender shall assume obligations towards one another and/or acquire rights against one another under the Finance Documents which differ from the Discharged Rights and Obligations only insofar as the Obligors and such New Lender have assumed and/or acquired the same in place of the Obligors and such Existing Lender;</w:t>
      </w:r>
    </w:p>
    <w:p>
      <w:pPr>
        <w:spacing w:after="0" w:line="85" w:lineRule="exact"/>
        <w:rPr>
          <w:rFonts w:ascii="Times New Roman" w:cs="Times New Roman" w:eastAsia="Times New Roman" w:hAnsi="Times New Roman"/>
          <w:sz w:val="18"/>
          <w:szCs w:val="18"/>
          <w:color w:val="auto"/>
        </w:rPr>
      </w:pPr>
    </w:p>
    <w:p>
      <w:pPr>
        <w:ind w:left="1050" w:right="200" w:hanging="626"/>
        <w:spacing w:after="0" w:line="251" w:lineRule="auto"/>
        <w:tabs>
          <w:tab w:leader="none" w:pos="105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Parties, such New Lender and the other Lenders shall acquire the same rights and assume the same obligations between themselves as they would have acquired and assumed had such New Lender been originally party hereto as a Lender with the rights and/or obligations acquired or assumed by it as a result of the transfer (the subject of such Transfer Certificate) and to that extent any of the Administrative Parties and such other Lenders (on one hand) and such Existing Lender (on the other hand) shall each be released from further obligations to each other under the Finance Documents; and</w:t>
      </w:r>
    </w:p>
    <w:p>
      <w:pPr>
        <w:spacing w:after="0" w:line="94"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Lender shall become a Party as a “Lender”.</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70"/>
          </w:cols>
          <w:pgMar w:left="550" w:top="266" w:right="579" w:bottom="1440" w:gutter="0" w:footer="0" w:header="0"/>
        </w:sectPr>
      </w:pPr>
    </w:p>
    <w:bookmarkStart w:id="560" w:name="page561"/>
    <w:bookmarkEnd w:id="560"/>
    <w:p>
      <w:pPr>
        <w:ind w:left="430" w:hanging="430"/>
        <w:spacing w:after="0" w:line="253" w:lineRule="auto"/>
        <w:tabs>
          <w:tab w:leader="none" w:pos="430"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procedure set out in this Clause 23.6 (Procedure for transfer) shall not apply to any right or obligation under any Finance Document (other than this Agreement) if and to the extent its terms, or any laws or regulations applicable thereto, provide for or require a different means of transfer of such right or obligation or prohibit or restrict any transfer of such right or obligation, unless such prohibition or restriction shall not be applicable to the relevant transfer or each condition of any applicable restriction shall have been satisfied.</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23.7 Procedure for assignment</w:t>
      </w:r>
    </w:p>
    <w:p>
      <w:pPr>
        <w:spacing w:after="0" w:line="126" w:lineRule="exact"/>
        <w:rPr>
          <w:sz w:val="20"/>
          <w:szCs w:val="20"/>
          <w:color w:val="auto"/>
        </w:rPr>
      </w:pPr>
    </w:p>
    <w:p>
      <w:pPr>
        <w:ind w:left="430" w:right="120" w:hanging="430"/>
        <w:spacing w:after="0" w:line="250" w:lineRule="auto"/>
        <w:tabs>
          <w:tab w:leader="none" w:pos="43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out in paragraph (d) below and Clause 23.2 (Conditions of assignment or transfer), an assignment by an Existing Lender of any or all of its rights under the Finance Documents to a New Lender may be effected on the Transfer Date in accordance with paragraph (b) below. The Agent shall, subject to paragraph (d)(ii), as soon as reasonably practicable after receipt by it of a duly completed Assignment Agreement appearing on its face to comply with the terms of this Agreement and delivered in accordance with the terms of this Agreement, execute that Assignment Agreement,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Agent shall have no obligation to execute any Assignment Agreement at any time earlier than the date that is five (5) Business Days after its receipt of such Assignment Agreement.</w:t>
      </w:r>
    </w:p>
    <w:p>
      <w:pPr>
        <w:spacing w:after="0" w:line="9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relating to an assignment by an Existing Lender to a New Lender:</w:t>
      </w:r>
    </w:p>
    <w:p>
      <w:pPr>
        <w:spacing w:after="0" w:line="123" w:lineRule="exact"/>
        <w:rPr>
          <w:rFonts w:ascii="Times New Roman" w:cs="Times New Roman" w:eastAsia="Times New Roman" w:hAnsi="Times New Roman"/>
          <w:sz w:val="18"/>
          <w:szCs w:val="18"/>
          <w:color w:val="auto"/>
        </w:rPr>
      </w:pPr>
    </w:p>
    <w:p>
      <w:pPr>
        <w:ind w:left="1050" w:right="220" w:hanging="626"/>
        <w:spacing w:after="0" w:line="270" w:lineRule="auto"/>
        <w:tabs>
          <w:tab w:leader="none" w:pos="105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Lender will assign absolutely to such New Lender the rights under the Finance Documents expressed to be the subject of assignment in such Assignment Agreement;</w:t>
      </w:r>
    </w:p>
    <w:p>
      <w:pPr>
        <w:spacing w:after="0" w:line="74" w:lineRule="exact"/>
        <w:rPr>
          <w:rFonts w:ascii="Times New Roman" w:cs="Times New Roman" w:eastAsia="Times New Roman" w:hAnsi="Times New Roman"/>
          <w:sz w:val="18"/>
          <w:szCs w:val="18"/>
          <w:color w:val="auto"/>
        </w:rPr>
      </w:pPr>
    </w:p>
    <w:p>
      <w:pPr>
        <w:ind w:left="1050" w:right="560" w:hanging="626"/>
        <w:spacing w:after="0" w:line="273" w:lineRule="auto"/>
        <w:tabs>
          <w:tab w:leader="none" w:pos="105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Existing Lender will be released by the Obligors and the other Finance Parties from the obligations owed by it (the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expressed to be the subject of release in such Assignment Agreement; and</w:t>
      </w:r>
    </w:p>
    <w:p>
      <w:pPr>
        <w:spacing w:after="0" w:line="7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shall be bound by obligations equivalent to the Relevant Obligations.</w:t>
      </w:r>
    </w:p>
    <w:p>
      <w:pPr>
        <w:spacing w:after="0" w:line="123" w:lineRule="exact"/>
        <w:rPr>
          <w:rFonts w:ascii="Times New Roman" w:cs="Times New Roman" w:eastAsia="Times New Roman" w:hAnsi="Times New Roman"/>
          <w:sz w:val="18"/>
          <w:szCs w:val="18"/>
          <w:color w:val="auto"/>
        </w:rPr>
      </w:pPr>
    </w:p>
    <w:p>
      <w:pPr>
        <w:ind w:left="430" w:right="100" w:hanging="430"/>
        <w:spacing w:after="0" w:line="253" w:lineRule="auto"/>
        <w:tabs>
          <w:tab w:leader="none" w:pos="43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Existing Lender may utilise procedures other than those set out in this Clause 23.7 to assign its rights under the Finance Documents (but not, without the consent of the Obligors or unless in accordance with Clause 23.6 (Procedure for transfer), to obtain a release by the Obligors from the obligations owed to the Obligors by that Existing Lender nor the assumption of equivalent obligations by the applicable New Lender)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conditions set out in paragraph (d) below are complied with.</w:t>
      </w:r>
    </w:p>
    <w:p>
      <w:pPr>
        <w:spacing w:after="0" w:line="92" w:lineRule="exact"/>
        <w:rPr>
          <w:rFonts w:ascii="Times New Roman" w:cs="Times New Roman" w:eastAsia="Times New Roman" w:hAnsi="Times New Roman"/>
          <w:sz w:val="18"/>
          <w:szCs w:val="18"/>
          <w:color w:val="auto"/>
        </w:rPr>
      </w:pPr>
    </w:p>
    <w:p>
      <w:pPr>
        <w:ind w:left="430" w:right="480" w:hanging="430"/>
        <w:spacing w:after="0" w:line="270" w:lineRule="auto"/>
        <w:tabs>
          <w:tab w:leader="none" w:pos="43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by an Existing Lender to a New Lender (whether pursuant to an Assignment Agreement or paragraph (c) above) will only be effective on:</w:t>
      </w:r>
    </w:p>
    <w:p>
      <w:pPr>
        <w:spacing w:after="0" w:line="76" w:lineRule="exact"/>
        <w:rPr>
          <w:rFonts w:ascii="Times New Roman" w:cs="Times New Roman" w:eastAsia="Times New Roman" w:hAnsi="Times New Roman"/>
          <w:sz w:val="18"/>
          <w:szCs w:val="18"/>
          <w:color w:val="auto"/>
        </w:rPr>
      </w:pPr>
    </w:p>
    <w:p>
      <w:pPr>
        <w:ind w:left="1050" w:right="80" w:hanging="626"/>
        <w:spacing w:after="0" w:line="258" w:lineRule="auto"/>
        <w:tabs>
          <w:tab w:leader="none" w:pos="105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(whether in an Assignment Agreement or otherwise) of written confirmation from such New Lender (in form and substance satisfactory to the Agent) that such New Lender will assume the same obligations to the other Finance Parties as it would have been under if it were an Original Lender; and</w:t>
      </w:r>
    </w:p>
    <w:p>
      <w:pPr>
        <w:spacing w:after="0" w:line="85" w:lineRule="exact"/>
        <w:rPr>
          <w:rFonts w:ascii="Times New Roman" w:cs="Times New Roman" w:eastAsia="Times New Roman" w:hAnsi="Times New Roman"/>
          <w:sz w:val="18"/>
          <w:szCs w:val="18"/>
          <w:color w:val="auto"/>
        </w:rPr>
      </w:pPr>
    </w:p>
    <w:p>
      <w:pPr>
        <w:ind w:left="1050" w:hanging="626"/>
        <w:spacing w:after="0" w:line="250" w:lineRule="auto"/>
        <w:tabs>
          <w:tab w:leader="none" w:pos="1050"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such New Lender. The Agent shall promptly notify such Existing Lender and such New Lender of the completion of such checks. The Agent shall not be obliged to execute an Assignment Agreement delivered to it by an Existing Lender and a New Lender or any document delivered to it pursuant to paragraph (c) above unless it is satisfied that it has completed all “know your customer” and other similar procedures that it is required (or deems desirable) to conduct in relation to such assignment to such New Lender.</w:t>
      </w:r>
    </w:p>
    <w:p>
      <w:pPr>
        <w:spacing w:after="0" w:line="94" w:lineRule="exact"/>
        <w:rPr>
          <w:rFonts w:ascii="Times New Roman" w:cs="Times New Roman" w:eastAsia="Times New Roman" w:hAnsi="Times New Roman"/>
          <w:sz w:val="18"/>
          <w:szCs w:val="18"/>
          <w:color w:val="auto"/>
        </w:rPr>
      </w:pPr>
    </w:p>
    <w:p>
      <w:pPr>
        <w:ind w:left="430" w:right="20" w:hanging="430"/>
        <w:spacing w:after="0" w:line="251" w:lineRule="auto"/>
        <w:tabs>
          <w:tab w:leader="none" w:pos="430"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set out in this Clause 23.7 shall not apply to any right or obligation under any Finance Document (other than this Agreement) if and to the extent its terms, or any laws or regulations applicable thereto, provide for or require a different means of assignment of such right or release or assumption of obligation or prohibit or restrict any assignment of such right or release or assumption of such obligation, unless such prohibition or restriction shall not be applicable to the applicable assignment, release and assumption or each condition of any applicable assignment, release and assumption shall have been satisfied.</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23.8 Copy of Transfer Certificate or Assignment Agreement and Increase Confirmation to Borrower</w:t>
      </w:r>
    </w:p>
    <w:p>
      <w:pPr>
        <w:spacing w:after="0" w:line="112" w:lineRule="exact"/>
        <w:rPr>
          <w:sz w:val="20"/>
          <w:szCs w:val="20"/>
          <w:color w:val="auto"/>
        </w:rPr>
      </w:pPr>
    </w:p>
    <w:p>
      <w:pPr>
        <w:ind w:left="430" w:right="820"/>
        <w:spacing w:after="0" w:line="270" w:lineRule="auto"/>
        <w:rPr>
          <w:sz w:val="20"/>
          <w:szCs w:val="20"/>
          <w:color w:val="auto"/>
        </w:rPr>
      </w:pPr>
      <w:r>
        <w:rPr>
          <w:rFonts w:ascii="Times New Roman" w:cs="Times New Roman" w:eastAsia="Times New Roman" w:hAnsi="Times New Roman"/>
          <w:sz w:val="18"/>
          <w:szCs w:val="18"/>
          <w:color w:val="auto"/>
        </w:rPr>
        <w:t>The Agent shall, as soon as reasonably practicable after it has executed a Transfer Certificate, an Assignment Agreement or an Increase Confirmation, send to the Borrower a copy of that Transfer Certificate, Assignment Agreement or Increase Confirmation.</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23.9 Existing consents and waivers</w:t>
      </w:r>
    </w:p>
    <w:p>
      <w:pPr>
        <w:spacing w:after="0" w:line="112" w:lineRule="exact"/>
        <w:rPr>
          <w:sz w:val="20"/>
          <w:szCs w:val="20"/>
          <w:color w:val="auto"/>
        </w:rPr>
      </w:pPr>
    </w:p>
    <w:p>
      <w:pPr>
        <w:jc w:val="both"/>
        <w:ind w:left="430" w:right="120"/>
        <w:spacing w:after="0" w:line="300" w:lineRule="auto"/>
        <w:rPr>
          <w:sz w:val="20"/>
          <w:szCs w:val="20"/>
          <w:color w:val="auto"/>
        </w:rPr>
      </w:pPr>
      <w:r>
        <w:rPr>
          <w:rFonts w:ascii="Times New Roman" w:cs="Times New Roman" w:eastAsia="Times New Roman" w:hAnsi="Times New Roman"/>
          <w:sz w:val="17"/>
          <w:szCs w:val="17"/>
          <w:color w:val="auto"/>
        </w:rPr>
        <w:t>Each New Lender shall be bound by any consent, waiver, election or decision given or made by the applicable Existing Lender under or pursuant to any Finance Document prior to the coming into effect of the applicable assignment or transfer from such Existing Lender to such New Lender.</w:t>
      </w:r>
    </w:p>
    <w:p>
      <w:pPr>
        <w:spacing w:after="0" w:line="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90"/>
          </w:cols>
          <w:pgMar w:left="550" w:top="266" w:right="559" w:bottom="1440" w:gutter="0" w:footer="0" w:header="0"/>
        </w:sectPr>
      </w:pPr>
    </w:p>
    <w:bookmarkStart w:id="561" w:name="page562"/>
    <w:bookmarkEnd w:id="561"/>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23.10 Exclusion of the Agent’s liabilities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In relation to any assignment or transfer pursuant to this Clause 23, each Party acknowledges and agrees that the Agent shall not be obliged to:</w:t>
      </w:r>
    </w:p>
    <w:p>
      <w:pPr>
        <w:spacing w:after="0" w:line="124" w:lineRule="exact"/>
        <w:rPr>
          <w:sz w:val="20"/>
          <w:szCs w:val="20"/>
          <w:color w:val="auto"/>
        </w:rPr>
      </w:pPr>
    </w:p>
    <w:p>
      <w:pPr>
        <w:ind w:left="1050" w:hanging="626"/>
        <w:spacing w:after="0"/>
        <w:tabs>
          <w:tab w:leader="none" w:pos="1050" w:val="left"/>
        </w:tabs>
        <w:numPr>
          <w:ilvl w:val="0"/>
          <w:numId w:val="5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enquire as to the accuracy of any representation or warranty made by, or the status of, any person in respect of its eligibility as a Lender;</w:t>
      </w:r>
    </w:p>
    <w:p>
      <w:pPr>
        <w:spacing w:after="0" w:line="135" w:lineRule="exact"/>
        <w:rPr>
          <w:rFonts w:ascii="Times New Roman" w:cs="Times New Roman" w:eastAsia="Times New Roman" w:hAnsi="Times New Roman"/>
          <w:sz w:val="17"/>
          <w:szCs w:val="17"/>
          <w:color w:val="auto"/>
        </w:rPr>
      </w:pPr>
    </w:p>
    <w:p>
      <w:pPr>
        <w:ind w:left="1050" w:right="540" w:hanging="626"/>
        <w:spacing w:after="0" w:line="270" w:lineRule="auto"/>
        <w:tabs>
          <w:tab w:leader="none" w:pos="105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to any registration or perfection requirements required in connection with such assignment or transfer or to ensure that such registration or perfection requirements are completed; and/or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New Lender with any information regarding any previous amendments or waivers in relation to any Finance Document.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23.11 Sub-participation</w:t>
      </w:r>
    </w:p>
    <w:p>
      <w:pPr>
        <w:spacing w:after="0" w:line="112" w:lineRule="exact"/>
        <w:rPr>
          <w:sz w:val="20"/>
          <w:szCs w:val="20"/>
          <w:color w:val="auto"/>
        </w:rPr>
      </w:pPr>
    </w:p>
    <w:p>
      <w:pPr>
        <w:ind w:left="430" w:right="300"/>
        <w:spacing w:after="0" w:line="253" w:lineRule="auto"/>
        <w:rPr>
          <w:sz w:val="20"/>
          <w:szCs w:val="20"/>
          <w:color w:val="auto"/>
        </w:rPr>
      </w:pPr>
      <w:r>
        <w:rPr>
          <w:rFonts w:ascii="Times New Roman" w:cs="Times New Roman" w:eastAsia="Times New Roman" w:hAnsi="Times New Roman"/>
          <w:sz w:val="18"/>
          <w:szCs w:val="18"/>
          <w:color w:val="auto"/>
        </w:rPr>
        <w:t xml:space="preserve">For the avoidance of doubt, each Lender may grant sub-participations in respect of any or all of its rights and/or obligations under any Finance Document to any person and no consent of the Obligors shall be required in respect of any such sub-participations,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where, as a result of the sub-participation, such Lender would no longer retain absolute discretion with regard to the exercise of votes under the Finance Documents, then that Lender shall be required to consult with the Borrower in respect of any such sub-participations.</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23.12 Assignments and transfers to Group Members</w:t>
      </w:r>
    </w:p>
    <w:p>
      <w:pPr>
        <w:spacing w:after="0" w:line="112" w:lineRule="exact"/>
        <w:rPr>
          <w:sz w:val="20"/>
          <w:szCs w:val="20"/>
          <w:color w:val="auto"/>
        </w:rPr>
      </w:pPr>
    </w:p>
    <w:p>
      <w:pPr>
        <w:ind w:left="430" w:right="300"/>
        <w:spacing w:after="0" w:line="270" w:lineRule="auto"/>
        <w:rPr>
          <w:sz w:val="20"/>
          <w:szCs w:val="20"/>
          <w:color w:val="auto"/>
        </w:rPr>
      </w:pPr>
      <w:r>
        <w:rPr>
          <w:rFonts w:ascii="Times New Roman" w:cs="Times New Roman" w:eastAsia="Times New Roman" w:hAnsi="Times New Roman"/>
          <w:sz w:val="18"/>
          <w:szCs w:val="18"/>
          <w:color w:val="auto"/>
        </w:rPr>
        <w:t>A Lender may not assign or transfer any of its rights and/or obligations under any Finance Document to any Group Member or any Affiliate of any Group Member, except with the prior written consent of all of the Lenders.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23.13 Security over Lenders’ rights</w:t>
      </w:r>
    </w:p>
    <w:p>
      <w:pPr>
        <w:spacing w:after="0" w:line="112" w:lineRule="exact"/>
        <w:rPr>
          <w:sz w:val="20"/>
          <w:szCs w:val="20"/>
          <w:color w:val="auto"/>
        </w:rPr>
      </w:pPr>
    </w:p>
    <w:p>
      <w:pPr>
        <w:ind w:left="430" w:right="200"/>
        <w:spacing w:after="0" w:line="258"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23, each Lender may without consulting with or obtaining consent from the Obligors, at any time charge, assign or otherwise create Security in or over (whether by way of collateral or otherwise) all or any of its rights under any Finance Document to secure obligations of that Lender including:</w:t>
      </w:r>
    </w:p>
    <w:p>
      <w:pPr>
        <w:spacing w:after="0" w:line="86" w:lineRule="exact"/>
        <w:rPr>
          <w:sz w:val="20"/>
          <w:szCs w:val="20"/>
          <w:color w:val="auto"/>
        </w:rPr>
      </w:pPr>
    </w:p>
    <w:p>
      <w:pPr>
        <w:ind w:left="1050" w:hanging="626"/>
        <w:spacing w:after="0"/>
        <w:tabs>
          <w:tab w:leader="none" w:pos="105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124" w:lineRule="exact"/>
        <w:rPr>
          <w:sz w:val="20"/>
          <w:szCs w:val="20"/>
          <w:color w:val="auto"/>
        </w:rPr>
      </w:pPr>
    </w:p>
    <w:p>
      <w:pPr>
        <w:ind w:left="1710" w:right="500" w:hanging="639"/>
        <w:spacing w:after="0" w:line="270" w:lineRule="auto"/>
        <w:tabs>
          <w:tab w:leader="none" w:pos="171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such Lender from any of its obligations under the Finance Documents, or substitute the beneficiary of the relevant charge, assignment or other Security for such Lender as a party to any of the Finance Documents; or</w:t>
      </w:r>
    </w:p>
    <w:p>
      <w:pPr>
        <w:spacing w:after="0" w:line="76" w:lineRule="exact"/>
        <w:rPr>
          <w:rFonts w:ascii="Times New Roman" w:cs="Times New Roman" w:eastAsia="Times New Roman" w:hAnsi="Times New Roman"/>
          <w:sz w:val="18"/>
          <w:szCs w:val="18"/>
          <w:color w:val="auto"/>
        </w:rPr>
      </w:pPr>
    </w:p>
    <w:p>
      <w:pPr>
        <w:ind w:left="1710" w:right="20" w:hanging="639"/>
        <w:spacing w:after="0" w:line="270" w:lineRule="auto"/>
        <w:tabs>
          <w:tab w:leader="none" w:pos="1710" w:val="left"/>
        </w:tabs>
        <w:numPr>
          <w:ilvl w:val="0"/>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the Obligors or grant to any person any rights that are more extensive than those required to be made or granted to such Lender under the Finance Documents.</w:t>
      </w:r>
    </w:p>
    <w:p>
      <w:pPr>
        <w:spacing w:after="0" w:line="312" w:lineRule="exact"/>
        <w:rPr>
          <w:sz w:val="20"/>
          <w:szCs w:val="20"/>
          <w:color w:val="auto"/>
        </w:rPr>
      </w:pPr>
    </w:p>
    <w:p>
      <w:pPr>
        <w:ind w:left="430" w:hanging="430"/>
        <w:spacing w:after="0"/>
        <w:tabs>
          <w:tab w:leader="none" w:pos="430" w:val="left"/>
        </w:tabs>
        <w:numPr>
          <w:ilvl w:val="0"/>
          <w:numId w:val="5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24.1 No assignments or transfers by the Obligors</w:t>
      </w:r>
    </w:p>
    <w:p>
      <w:pPr>
        <w:spacing w:after="0" w:line="112" w:lineRule="exact"/>
        <w:rPr>
          <w:sz w:val="20"/>
          <w:szCs w:val="20"/>
          <w:color w:val="auto"/>
        </w:rPr>
      </w:pPr>
    </w:p>
    <w:p>
      <w:pPr>
        <w:ind w:left="430" w:right="80"/>
        <w:spacing w:after="0" w:line="270" w:lineRule="auto"/>
        <w:rPr>
          <w:sz w:val="20"/>
          <w:szCs w:val="20"/>
          <w:color w:val="auto"/>
        </w:rPr>
      </w:pPr>
      <w:r>
        <w:rPr>
          <w:rFonts w:ascii="Times New Roman" w:cs="Times New Roman" w:eastAsia="Times New Roman" w:hAnsi="Times New Roman"/>
          <w:sz w:val="18"/>
          <w:szCs w:val="18"/>
          <w:color w:val="auto"/>
        </w:rPr>
        <w:t>No Obligor may assign any of its rights or transfer any of its rights or obligations under any or all of the Finance Documents except with the prior written consent of all the Lenders.</w:t>
      </w:r>
    </w:p>
    <w:p>
      <w:pPr>
        <w:spacing w:after="0" w:line="312" w:lineRule="exact"/>
        <w:rPr>
          <w:sz w:val="20"/>
          <w:szCs w:val="20"/>
          <w:color w:val="auto"/>
        </w:rPr>
      </w:pPr>
    </w:p>
    <w:p>
      <w:pPr>
        <w:ind w:left="10" w:right="7580" w:hanging="10"/>
        <w:spacing w:after="0" w:line="376" w:lineRule="auto"/>
        <w:tabs>
          <w:tab w:leader="none" w:pos="433" w:val="left"/>
        </w:tabs>
        <w:numPr>
          <w:ilvl w:val="0"/>
          <w:numId w:val="5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INFORMATION 25.1 Confidentiality</w:t>
      </w:r>
    </w:p>
    <w:p>
      <w:pPr>
        <w:spacing w:after="0" w:line="1"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25.2 (Disclosure of Confidential Information) and to ensure that all Confidential Information is protected with security measures and a degree of care that would apply to its own confidential information.</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90"/>
          </w:cols>
          <w:pgMar w:left="550" w:top="264" w:right="559" w:bottom="1440" w:gutter="0" w:footer="0" w:header="0"/>
        </w:sectPr>
      </w:pPr>
    </w:p>
    <w:bookmarkStart w:id="562" w:name="page563"/>
    <w:bookmarkEnd w:id="562"/>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25.2 Disclosure of Confidential Information</w:t>
      </w:r>
    </w:p>
    <w:p>
      <w:pPr>
        <w:spacing w:after="0" w:line="126" w:lineRule="exact"/>
        <w:rPr>
          <w:sz w:val="20"/>
          <w:szCs w:val="20"/>
          <w:color w:val="auto"/>
        </w:rPr>
      </w:pPr>
    </w:p>
    <w:p>
      <w:pPr>
        <w:ind w:left="430" w:right="100" w:hanging="430"/>
        <w:spacing w:after="0" w:line="250" w:lineRule="auto"/>
        <w:tabs>
          <w:tab w:leader="none" w:pos="43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deliver copies of the Finance Documents and/or disclose any information (including Confidential Information) received by it under or pursuant to any Finance Document or any other information about the Obligors, the Group, the Finance Documents and/or the Finance Parties as that Finance Party shall consider appropriate (if, in relation to any of paragraphs (xi)(A), (xi)(B) and (xi)(C) below, the person to whom any Confidential Information is to be disclosed has entered into a Confidentiality Undertaking, except that there shall be no requirement for any Confidentiality Undertaking if such recipient is subject to professional obligations to maintain the confidentiality of such Confidential Information) to:</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head office, branches, representative offices, Affiliates and/or Related Funds (</w:t>
      </w:r>
      <w:r>
        <w:rPr>
          <w:rFonts w:ascii="Times New Roman" w:cs="Times New Roman" w:eastAsia="Times New Roman" w:hAnsi="Times New Roman"/>
          <w:sz w:val="18"/>
          <w:szCs w:val="18"/>
          <w:b w:val="1"/>
          <w:bCs w:val="1"/>
          <w:color w:val="auto"/>
        </w:rPr>
        <w:t>Permitted Parties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Finance Party;</w:t>
      </w:r>
    </w:p>
    <w:p>
      <w:pPr>
        <w:spacing w:after="0" w:line="123" w:lineRule="exact"/>
        <w:rPr>
          <w:rFonts w:ascii="Times New Roman" w:cs="Times New Roman" w:eastAsia="Times New Roman" w:hAnsi="Times New Roman"/>
          <w:sz w:val="18"/>
          <w:szCs w:val="18"/>
          <w:color w:val="auto"/>
        </w:rPr>
      </w:pPr>
    </w:p>
    <w:p>
      <w:pPr>
        <w:jc w:val="both"/>
        <w:ind w:left="1050" w:right="180" w:hanging="626"/>
        <w:spacing w:after="0" w:line="258" w:lineRule="auto"/>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professional advisers or external auditor of it or any of the Permitted Parties and/or any other person providing services to or agent or contractor of it or any of the Permitted Parties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professional adviser, person providing services or agent or contractor is under a duty of confidentiality, contractual or otherwise, to such Finance Party or such Permitted Party);</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permitted by the Obligors;</w:t>
      </w:r>
    </w:p>
    <w:p>
      <w:pPr>
        <w:spacing w:after="0" w:line="123" w:lineRule="exact"/>
        <w:rPr>
          <w:rFonts w:ascii="Times New Roman" w:cs="Times New Roman" w:eastAsia="Times New Roman" w:hAnsi="Times New Roman"/>
          <w:sz w:val="18"/>
          <w:szCs w:val="18"/>
          <w:color w:val="auto"/>
        </w:rPr>
      </w:pPr>
    </w:p>
    <w:p>
      <w:pPr>
        <w:ind w:left="1050" w:right="320" w:hanging="626"/>
        <w:spacing w:after="0" w:line="270" w:lineRule="auto"/>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the extent required for the purpose of any litigation, arbitration or regulatory proceedings or procedure or in connection with any preservation or enforcement of any right or remedy under any Finance Document;</w:t>
      </w:r>
    </w:p>
    <w:p>
      <w:pPr>
        <w:spacing w:after="0" w:line="76"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and to the extent that, information is requested or required to be disclosed by any applicable law or regulation or the rules or requirements of any applicable court or tribunal, securities exchange or supervisory, governmental, quasi-governmental, administrative, regulatory or self-regulatory body or authority;</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director or officer of, or any auditor, partner or Representative of, any Finance Party or any of the Permitted Parties;</w:t>
      </w:r>
    </w:p>
    <w:p>
      <w:pPr>
        <w:spacing w:after="0" w:line="123" w:lineRule="exact"/>
        <w:rPr>
          <w:rFonts w:ascii="Times New Roman" w:cs="Times New Roman" w:eastAsia="Times New Roman" w:hAnsi="Times New Roman"/>
          <w:sz w:val="18"/>
          <w:szCs w:val="18"/>
          <w:color w:val="auto"/>
        </w:rPr>
      </w:pPr>
    </w:p>
    <w:p>
      <w:pPr>
        <w:ind w:left="1050" w:right="220" w:hanging="626"/>
        <w:spacing w:after="0" w:line="258" w:lineRule="auto"/>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rating agency, insurer or insurance broker of, or any direct or indirect provider of credit protection to, such Finance Party or any of the Permitted Parties, or any professional adviser of any of the foregoing,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person is informed of the confidential nature of such Confidential Information;</w:t>
      </w:r>
    </w:p>
    <w:p>
      <w:pPr>
        <w:spacing w:after="0" w:line="85"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or for whose benefit that Finance Party charges, assigns or otherwise creates Security (or may do so) in or over all or any of its rights under any Finance Document pursuant to Clause 23.13 (Security over Lenders’ rights);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w:t>
      </w:r>
    </w:p>
    <w:p>
      <w:pPr>
        <w:spacing w:after="0" w:line="123" w:lineRule="exact"/>
        <w:rPr>
          <w:rFonts w:ascii="Times New Roman" w:cs="Times New Roman" w:eastAsia="Times New Roman" w:hAnsi="Times New Roman"/>
          <w:sz w:val="18"/>
          <w:szCs w:val="18"/>
          <w:color w:val="auto"/>
        </w:rPr>
      </w:pPr>
    </w:p>
    <w:p>
      <w:pPr>
        <w:jc w:val="both"/>
        <w:ind w:left="1710" w:right="260" w:hanging="639"/>
        <w:spacing w:after="0" w:line="258" w:lineRule="auto"/>
        <w:tabs>
          <w:tab w:leader="none" w:pos="171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that Finance Party assigns or transfers (or may potentially assign or transfer) all or any of its rights and obligations under any Finance Document and, in each case,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1710" w:right="80" w:hanging="639"/>
        <w:spacing w:after="0" w:line="253" w:lineRule="auto"/>
        <w:tabs>
          <w:tab w:leader="none" w:pos="171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through) whom that Finance Party enters into (or may potentially enter into) any sub-participation in relation to, or any other transaction under which payments are to be made by reference to, the Facility, any Finance Document, an Obligor or any Group Member, or who invests directly or indirectly in any such sub-participation or other transaction and, in each case, to any of that person’s Affiliates, Related Funds, Representatives and professional advisers; or</w:t>
      </w:r>
    </w:p>
    <w:p>
      <w:pPr>
        <w:spacing w:after="0" w:line="92" w:lineRule="exact"/>
        <w:rPr>
          <w:rFonts w:ascii="Times New Roman" w:cs="Times New Roman" w:eastAsia="Times New Roman" w:hAnsi="Times New Roman"/>
          <w:sz w:val="18"/>
          <w:szCs w:val="18"/>
          <w:color w:val="auto"/>
        </w:rPr>
      </w:pPr>
    </w:p>
    <w:p>
      <w:pPr>
        <w:ind w:left="1710" w:right="120" w:hanging="639"/>
        <w:spacing w:after="0" w:line="258" w:lineRule="auto"/>
        <w:tabs>
          <w:tab w:leader="none" w:pos="1710" w:val="left"/>
        </w:tabs>
        <w:numPr>
          <w:ilvl w:val="2"/>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acquires or is proposing to acquire any interest in, or enters into or is proposing to enter into any merger, amalgamation or other similar arrangement with, that Finance Party and, in each case,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430" w:hanging="430"/>
        <w:spacing w:after="0" w:line="248" w:lineRule="auto"/>
        <w:tabs>
          <w:tab w:leader="none" w:pos="43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in accordance with applicable laws and regulations, collect, use and disclose personal data about each of the Obligors and Finance Parties (if it is an individual) or individuals associated with each of the Obligors and Finance Parties (whether or not it is an individual), so that the Agent can carry out its obligations to the Obligors and/or, as the case may be, the Finance Party and for other related purposes, including auditing, monitoring and analysis of its business, fraud, and crime prevention, money laundering, legal and regulatory compliance, and marketing by the Agent or members of the HSBC Group of other services. The Agent may also, in accordance with applicable laws and regulations, transfer the personal data to any country (including countries outside where the Agent provides the services to be provided under the terms of this Agreement where there may be less stringent data protections laws) to process information on the Agent’s behalf. Wherever it is processed, the personal data will be protected by security measures and a degree of care to which all members of the HSBC Group and their staff are subjected and will only be used in accordance with the Agent’s instructions.</w:t>
      </w:r>
    </w:p>
    <w:p>
      <w:pPr>
        <w:spacing w:after="0" w:line="12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70"/>
          </w:cols>
          <w:pgMar w:left="550" w:top="264" w:right="579" w:bottom="1440" w:gutter="0" w:footer="0" w:header="0"/>
        </w:sectPr>
      </w:pPr>
    </w:p>
    <w:bookmarkStart w:id="563" w:name="page564"/>
    <w:bookmarkEnd w:id="563"/>
    <w:p>
      <w:pPr>
        <w:ind w:left="430" w:hanging="430"/>
        <w:spacing w:after="0" w:line="248" w:lineRule="auto"/>
        <w:tabs>
          <w:tab w:leader="none" w:pos="43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Any Finance Party (other than the Agent to which paragraph (b) above shall apply) may, in accordance with applicable laws and regulations, collect, use and disclose personal data about each of the Obligors and Finance Parties (if it is an individual) or individuals associated with each of the Obligors and Finance Parties (whether or not it is an individual), so that the relevant Finance Party can carry out its obligations to the Obligors and/or, as the case may be, the Finance Party and for other related purposes, including auditing, monitoring and analysis of its business, fraud, and crime prevention, money laundering, legal and regulatory compliance. Any Finance Party may also, in accordance with applicable laws and regulations, transfer the personal data to any country (including, in respect of a Lender, countries outside its Facility Office where there may be less stringent data protections laws) to process information on the relevant Finance Party’s behalf. Wherever it is processed, the personal data will be protected by security measures and a degree of care to which the relevant Finance Party and its staff are subjected and will only be used in accordance with the relevant Finance Party’s instructions.</w:t>
      </w:r>
    </w:p>
    <w:p>
      <w:pPr>
        <w:spacing w:after="0" w:line="97" w:lineRule="exact"/>
        <w:rPr>
          <w:rFonts w:ascii="Times New Roman" w:cs="Times New Roman" w:eastAsia="Times New Roman" w:hAnsi="Times New Roman"/>
          <w:sz w:val="18"/>
          <w:szCs w:val="18"/>
          <w:color w:val="auto"/>
        </w:rPr>
      </w:pPr>
    </w:p>
    <w:p>
      <w:pPr>
        <w:ind w:left="430" w:right="60" w:hanging="430"/>
        <w:spacing w:after="0" w:line="249" w:lineRule="auto"/>
        <w:tabs>
          <w:tab w:leader="none" w:pos="43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further acknowledges and agrees that some services, operational and processing procedures relating to the transactions or services contemplated under the Finance Documents may from time to time be outsourced by any Finance Party to its regional or global processing centres, branches, Subsidiaries, representative offices, Affiliates, agents of any Finance Party and third parties selected by any Finance Party, wherever situated, and these service providers may from time to time be given access to information and data relating to the transactions or services contemplated under the Finance Documents for the purpose of or in relation to the services and procedures they perform. This Clause 25 is not, and shall not be deemed to constitute, an express or implied agreement by a Finance Party for a higher degree of confidentiality than that prescribed under any applicable law or regulation.</w:t>
      </w:r>
    </w:p>
    <w:p>
      <w:pPr>
        <w:spacing w:after="0" w:line="96" w:lineRule="exact"/>
        <w:rPr>
          <w:rFonts w:ascii="Times New Roman" w:cs="Times New Roman" w:eastAsia="Times New Roman" w:hAnsi="Times New Roman"/>
          <w:sz w:val="18"/>
          <w:szCs w:val="18"/>
          <w:color w:val="auto"/>
        </w:rPr>
      </w:pPr>
    </w:p>
    <w:p>
      <w:pPr>
        <w:ind w:left="430" w:right="80" w:hanging="430"/>
        <w:spacing w:after="0" w:line="250" w:lineRule="auto"/>
        <w:tabs>
          <w:tab w:leader="none" w:pos="43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or any other document, each Obligor acknowledges and agrees that each Finance Party (and each employee, representative or other agent of each Finance Party) may each disclose to any and all persons to the extent required to be disclosed under any law or regulation applicable to such Finance Party, without limitation of any kind, the U.S. tax treatment and U.S. tax structure of the transactions contemplated under the Finance Documents and all materials of any kind (including opinions or other tax analyses) that are provided to any of them relating to such U.S. tax treatment and U.S. tax structure, other than any information for which non-disclosure is necessary in order to comply with applicable securities laws.</w:t>
      </w:r>
    </w:p>
    <w:p>
      <w:pPr>
        <w:spacing w:after="0" w:line="94" w:lineRule="exact"/>
        <w:rPr>
          <w:rFonts w:ascii="Times New Roman" w:cs="Times New Roman" w:eastAsia="Times New Roman" w:hAnsi="Times New Roman"/>
          <w:sz w:val="18"/>
          <w:szCs w:val="18"/>
          <w:color w:val="auto"/>
        </w:rPr>
      </w:pPr>
    </w:p>
    <w:p>
      <w:pPr>
        <w:ind w:left="430" w:right="40" w:hanging="430"/>
        <w:spacing w:after="0" w:line="300" w:lineRule="auto"/>
        <w:tabs>
          <w:tab w:leader="none" w:pos="430" w:val="left"/>
        </w:tabs>
        <w:numPr>
          <w:ilvl w:val="0"/>
          <w:numId w:val="5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nothing in this Clause 25 prohibits any individual from communicating or disclosing information regarding suspected violations of laws, rules, or regulations to a governmental, regulatory or self-regulatory authority without any notification to any person.</w:t>
      </w:r>
    </w:p>
    <w:p>
      <w:pPr>
        <w:spacing w:after="0" w:line="53" w:lineRule="exact"/>
        <w:rPr>
          <w:rFonts w:ascii="Times New Roman" w:cs="Times New Roman" w:eastAsia="Times New Roman" w:hAnsi="Times New Roman"/>
          <w:sz w:val="17"/>
          <w:szCs w:val="17"/>
          <w:color w:val="auto"/>
        </w:rPr>
      </w:pPr>
    </w:p>
    <w:p>
      <w:pPr>
        <w:ind w:left="430" w:right="300" w:hanging="430"/>
        <w:spacing w:after="0" w:line="270" w:lineRule="auto"/>
        <w:tabs>
          <w:tab w:leader="none" w:pos="430"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25 supersedes any previous agreement between any of the Parties relation to the confidentiality of any such information or of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25.3 Disclosure of Funding Rate</w:t>
      </w:r>
    </w:p>
    <w:p>
      <w:pPr>
        <w:spacing w:after="0" w:line="126" w:lineRule="exact"/>
        <w:rPr>
          <w:sz w:val="20"/>
          <w:szCs w:val="20"/>
          <w:color w:val="auto"/>
        </w:rPr>
      </w:pPr>
    </w:p>
    <w:p>
      <w:pPr>
        <w:ind w:left="430" w:hanging="430"/>
        <w:spacing w:after="0"/>
        <w:tabs>
          <w:tab w:leader="none" w:pos="430"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w:t>
      </w:r>
    </w:p>
    <w:p>
      <w:pPr>
        <w:spacing w:after="0" w:line="122" w:lineRule="exact"/>
        <w:rPr>
          <w:sz w:val="20"/>
          <w:szCs w:val="20"/>
          <w:color w:val="auto"/>
        </w:rPr>
      </w:pPr>
    </w:p>
    <w:p>
      <w:pPr>
        <w:ind w:left="430" w:hanging="430"/>
        <w:spacing w:after="0"/>
        <w:tabs>
          <w:tab w:leader="none" w:pos="43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Rate </w:t>
      </w:r>
      <w:r>
        <w:rPr>
          <w:rFonts w:ascii="Times New Roman" w:cs="Times New Roman" w:eastAsia="Times New Roman" w:hAnsi="Times New Roman"/>
          <w:sz w:val="18"/>
          <w:szCs w:val="18"/>
          <w:color w:val="auto"/>
        </w:rPr>
        <w:t>means any rate notified by a Lender to the Agent pursuant to paragraph (a)(ii) of Clause 10.4 (Cost of funds).</w:t>
      </w:r>
    </w:p>
    <w:p>
      <w:pPr>
        <w:spacing w:after="0" w:line="126" w:lineRule="exact"/>
        <w:rPr>
          <w:sz w:val="20"/>
          <w:szCs w:val="20"/>
          <w:color w:val="auto"/>
        </w:rPr>
      </w:pPr>
    </w:p>
    <w:p>
      <w:pPr>
        <w:ind w:left="430" w:right="60" w:hanging="430"/>
        <w:spacing w:after="0" w:line="270" w:lineRule="auto"/>
        <w:tabs>
          <w:tab w:leader="none" w:pos="43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agree to (and the Guarantor shall procure that each other Group Member shall) keep each Funding Rate confidential and not to disclose it to anyone, save to the extent permitted by paragraphs (c) and (d) below.</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the Borrower pursuant to Clause 8.4 (Notification of rates of interest); and</w:t>
      </w:r>
    </w:p>
    <w:p>
      <w:pPr>
        <w:spacing w:after="0" w:line="123" w:lineRule="exact"/>
        <w:rPr>
          <w:rFonts w:ascii="Times New Roman" w:cs="Times New Roman" w:eastAsia="Times New Roman" w:hAnsi="Times New Roman"/>
          <w:sz w:val="18"/>
          <w:szCs w:val="18"/>
          <w:color w:val="auto"/>
        </w:rPr>
      </w:pPr>
    </w:p>
    <w:p>
      <w:pPr>
        <w:ind w:left="1050" w:hanging="626"/>
        <w:spacing w:after="0" w:line="251" w:lineRule="auto"/>
        <w:tabs>
          <w:tab w:leader="none" w:pos="105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any person appointed by it to provide administration services in respect of one or more of the Finance Documents to the extent necessary to enable such person to provide those services if such person to whom that Funding Rate is to be given has entered into a confidentiality agreement substantially in the form of the Loan Market Association Master Confidentiality Undertaking for Use With Administration/Settlement Service Providers or such other form of confidentiality undertaking agreed between the Agent and the Lender providing such Funding Rate.</w:t>
      </w:r>
    </w:p>
    <w:p>
      <w:pPr>
        <w:spacing w:after="0" w:line="9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 any Funding Rate, and the Borrower may disclose any Funding Rate, to:</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51" w:lineRule="auto"/>
        <w:tabs>
          <w:tab w:leader="none" w:pos="1050" w:val="left"/>
        </w:tabs>
        <w:numPr>
          <w:ilvl w:val="1"/>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such person is subject to professional obligations to maintain the confidentiality of that Funding Rate or is otherwise bound by requirements of confidentiality in relation to it;</w:t>
      </w:r>
    </w:p>
    <w:p>
      <w:pPr>
        <w:spacing w:after="0" w:line="121"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30"/>
          </w:cols>
          <w:pgMar w:left="550" w:top="266" w:right="619" w:bottom="1440" w:gutter="0" w:footer="0" w:header="0"/>
        </w:sectPr>
      </w:pPr>
    </w:p>
    <w:bookmarkStart w:id="564" w:name="page565"/>
    <w:bookmarkEnd w:id="564"/>
    <w:p>
      <w:pPr>
        <w:ind w:left="1050" w:right="60" w:hanging="626"/>
        <w:spacing w:after="0" w:line="251" w:lineRule="auto"/>
        <w:tabs>
          <w:tab w:leader="none" w:pos="105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94" w:lineRule="exact"/>
        <w:rPr>
          <w:rFonts w:ascii="Times New Roman" w:cs="Times New Roman" w:eastAsia="Times New Roman" w:hAnsi="Times New Roman"/>
          <w:sz w:val="18"/>
          <w:szCs w:val="18"/>
          <w:color w:val="auto"/>
        </w:rPr>
      </w:pPr>
    </w:p>
    <w:p>
      <w:pPr>
        <w:ind w:left="1050" w:hanging="626"/>
        <w:spacing w:after="0" w:line="253" w:lineRule="auto"/>
        <w:tabs>
          <w:tab w:leader="none" w:pos="105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the consent of the Lender providing such Funding Rate.</w:t>
      </w:r>
    </w:p>
    <w:p>
      <w:pPr>
        <w:spacing w:after="0" w:line="123" w:lineRule="exact"/>
        <w:rPr>
          <w:rFonts w:ascii="Times New Roman" w:cs="Times New Roman" w:eastAsia="Times New Roman" w:hAnsi="Times New Roman"/>
          <w:sz w:val="18"/>
          <w:szCs w:val="18"/>
          <w:color w:val="auto"/>
        </w:rPr>
      </w:pPr>
    </w:p>
    <w:p>
      <w:pPr>
        <w:ind w:left="430" w:right="300" w:hanging="430"/>
        <w:spacing w:after="0" w:line="258" w:lineRule="auto"/>
        <w:tabs>
          <w:tab w:leader="none" w:pos="43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(and the Guarantor shall procure that no Group Member shall) use any Funding Rate for any unlawful purpose.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agree (to the extent permitted by law and regulation) to inform a Lender (that provides a Funding Rate):</w:t>
      </w:r>
    </w:p>
    <w:p>
      <w:pPr>
        <w:spacing w:after="0" w:line="123"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made pursuant to paragraph (d)(ii) except where such disclosure is made to any of the persons referred to in that paragraph during the ordinary course of its supervisory or regulatory function;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any information has been disclosed in breach of this Clause 25.3.</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will occur under Clause 22.3 (Other obligations) by reason only of the Borrower’s failure to comply with this Clause 25.3.</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25.4 Disclosure of Lender details by the Agent</w:t>
      </w:r>
    </w:p>
    <w:p>
      <w:pPr>
        <w:spacing w:after="0" w:line="112" w:lineRule="exact"/>
        <w:rPr>
          <w:sz w:val="20"/>
          <w:szCs w:val="20"/>
          <w:color w:val="auto"/>
        </w:rPr>
      </w:pPr>
    </w:p>
    <w:p>
      <w:pPr>
        <w:ind w:left="430" w:right="60"/>
        <w:spacing w:after="0" w:line="248" w:lineRule="auto"/>
        <w:rPr>
          <w:sz w:val="20"/>
          <w:szCs w:val="20"/>
          <w:color w:val="auto"/>
        </w:rPr>
      </w:pPr>
      <w:r>
        <w:rPr>
          <w:rFonts w:ascii="Times New Roman" w:cs="Times New Roman" w:eastAsia="Times New Roman" w:hAnsi="Times New Roman"/>
          <w:sz w:val="18"/>
          <w:szCs w:val="18"/>
          <w:color w:val="auto"/>
        </w:rPr>
        <w:t>The Agent shall provide to the Borrower, promptly following receipt of a request by the Borrower (but no more frequently than once per calendar month), the names of the Lenders as at the date of that request, their respective Commitments, (to the extent provided to the Agent) the address and fax number (and the department or officer, if any, for whose attention any communication is to be made) of each Lender for any communication to be made or document to be delivered under or in connection with the Finance Documents, (to the extent provided to the Agent)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 For the avoidance of doubt, each Lender authorises the Agent to provide such information to the Borrower from time to time.</w:t>
      </w:r>
    </w:p>
    <w:p>
      <w:pPr>
        <w:spacing w:after="0" w:line="336" w:lineRule="exact"/>
        <w:rPr>
          <w:sz w:val="20"/>
          <w:szCs w:val="20"/>
          <w:color w:val="auto"/>
        </w:rPr>
      </w:pPr>
    </w:p>
    <w:p>
      <w:pPr>
        <w:ind w:left="10" w:right="6760" w:hanging="10"/>
        <w:spacing w:after="0" w:line="384" w:lineRule="auto"/>
        <w:tabs>
          <w:tab w:leader="none" w:pos="433" w:val="left"/>
        </w:tabs>
        <w:numPr>
          <w:ilvl w:val="0"/>
          <w:numId w:val="5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OF THE ADMINISTRATIVE PARTIES 26.1 Appointment of the Agent</w:t>
      </w:r>
    </w:p>
    <w:p>
      <w:pPr>
        <w:spacing w:after="0" w:line="1" w:lineRule="exact"/>
        <w:rPr>
          <w:sz w:val="20"/>
          <w:szCs w:val="20"/>
          <w:color w:val="auto"/>
        </w:rPr>
      </w:pPr>
    </w:p>
    <w:p>
      <w:pPr>
        <w:ind w:left="430" w:hanging="430"/>
        <w:spacing w:after="0"/>
        <w:tabs>
          <w:tab w:leader="none" w:pos="43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(other than the Agent) appoints the Agent to act as its agent under and in connection with the Finance Documents.</w:t>
      </w:r>
    </w:p>
    <w:p>
      <w:pPr>
        <w:spacing w:after="0" w:line="123" w:lineRule="exact"/>
        <w:rPr>
          <w:rFonts w:ascii="Times New Roman" w:cs="Times New Roman" w:eastAsia="Times New Roman" w:hAnsi="Times New Roman"/>
          <w:sz w:val="18"/>
          <w:szCs w:val="18"/>
          <w:color w:val="auto"/>
        </w:rPr>
      </w:pPr>
    </w:p>
    <w:p>
      <w:pPr>
        <w:ind w:left="430" w:right="260" w:hanging="430"/>
        <w:spacing w:after="0" w:line="258" w:lineRule="auto"/>
        <w:tabs>
          <w:tab w:leader="none" w:pos="43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(other than the Agent)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Finance Parties authorises the Agent to:</w:t>
      </w:r>
    </w:p>
    <w:p>
      <w:pPr>
        <w:spacing w:after="0" w:line="123" w:lineRule="exact"/>
        <w:rPr>
          <w:rFonts w:ascii="Times New Roman" w:cs="Times New Roman" w:eastAsia="Times New Roman" w:hAnsi="Times New Roman"/>
          <w:sz w:val="18"/>
          <w:szCs w:val="18"/>
          <w:color w:val="auto"/>
        </w:rPr>
      </w:pPr>
    </w:p>
    <w:p>
      <w:pPr>
        <w:ind w:left="1050" w:right="80" w:hanging="626"/>
        <w:spacing w:after="0" w:line="258" w:lineRule="auto"/>
        <w:tabs>
          <w:tab w:leader="none" w:pos="105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deliver each Finance Document expressed to be entered into by the Agent.</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90"/>
          </w:cols>
          <w:pgMar w:left="550" w:top="266" w:right="559" w:bottom="1440" w:gutter="0" w:footer="0" w:header="0"/>
        </w:sectPr>
      </w:pPr>
    </w:p>
    <w:bookmarkStart w:id="565" w:name="page566"/>
    <w:bookmarkEnd w:id="565"/>
    <w:p>
      <w:pPr>
        <w:ind w:left="430" w:hanging="430"/>
        <w:spacing w:after="0"/>
        <w:tabs>
          <w:tab w:leader="none" w:pos="430"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To the extent applicable, each Finance Party (other than the Agent) hereby exempts the Agent from any restrictions on self-dealing</w:t>
      </w:r>
    </w:p>
    <w:p>
      <w:pPr>
        <w:spacing w:after="0" w:line="22" w:lineRule="exact"/>
        <w:rPr>
          <w:rFonts w:ascii="Times New Roman" w:cs="Times New Roman" w:eastAsia="Times New Roman" w:hAnsi="Times New Roman"/>
          <w:sz w:val="18"/>
          <w:szCs w:val="18"/>
          <w:color w:val="auto"/>
        </w:rPr>
      </w:pPr>
    </w:p>
    <w:p>
      <w:pPr>
        <w:ind w:left="43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Insichgeschäft</w:t>
      </w:r>
      <w:r>
        <w:rPr>
          <w:rFonts w:ascii="Times New Roman" w:cs="Times New Roman" w:eastAsia="Times New Roman" w:hAnsi="Times New Roman"/>
          <w:sz w:val="17"/>
          <w:szCs w:val="17"/>
          <w:color w:val="auto"/>
        </w:rPr>
        <w:t>) and multi-representation (</w:t>
      </w:r>
      <w:r>
        <w:rPr>
          <w:rFonts w:ascii="Times New Roman" w:cs="Times New Roman" w:eastAsia="Times New Roman" w:hAnsi="Times New Roman"/>
          <w:sz w:val="17"/>
          <w:szCs w:val="17"/>
          <w:i w:val="1"/>
          <w:iCs w:val="1"/>
          <w:color w:val="auto"/>
        </w:rPr>
        <w:t>Mehrfachvertretung</w:t>
      </w:r>
      <w:r>
        <w:rPr>
          <w:rFonts w:ascii="Times New Roman" w:cs="Times New Roman" w:eastAsia="Times New Roman" w:hAnsi="Times New Roman"/>
          <w:sz w:val="17"/>
          <w:szCs w:val="17"/>
          <w:color w:val="auto"/>
        </w:rPr>
        <w:t>) pursuant to section 181 of the German Civil Code (</w:t>
      </w:r>
      <w:r>
        <w:rPr>
          <w:rFonts w:ascii="Times New Roman" w:cs="Times New Roman" w:eastAsia="Times New Roman" w:hAnsi="Times New Roman"/>
          <w:sz w:val="17"/>
          <w:szCs w:val="17"/>
          <w:i w:val="1"/>
          <w:iCs w:val="1"/>
          <w:color w:val="auto"/>
        </w:rPr>
        <w:t>Bürgerliches Gesetzbuch</w:t>
      </w:r>
      <w:r>
        <w:rPr>
          <w:rFonts w:ascii="Times New Roman" w:cs="Times New Roman" w:eastAsia="Times New Roman" w:hAnsi="Times New Roman"/>
          <w:sz w:val="17"/>
          <w:szCs w:val="17"/>
          <w:color w:val="auto"/>
        </w:rPr>
        <w:t>) and any similar restrictions applicable to it pursuant to any other applicable law, in each case to the extent legally possible to such Finance Party. A Finance Party which is barred by its constitutional documents, by- laws or otherwise from granting such exemption shall notify the Agent accordingly. Each Finance Party (other than the Agent) hereby authorises the Agent to delegate or sub-delegate any powers granted to it under this Clause 26.1 (and any other relevant provision in this Agreement and/or any other Finance Document) to any representative it may elect in its discretion and to grant powers of attorney to any such representative including the exemption from any restrictions on self-dealing (</w:t>
      </w:r>
      <w:r>
        <w:rPr>
          <w:rFonts w:ascii="Times New Roman" w:cs="Times New Roman" w:eastAsia="Times New Roman" w:hAnsi="Times New Roman"/>
          <w:sz w:val="17"/>
          <w:szCs w:val="17"/>
          <w:i w:val="1"/>
          <w:iCs w:val="1"/>
          <w:color w:val="auto"/>
        </w:rPr>
        <w:t>Insichgeschäft</w:t>
      </w:r>
      <w:r>
        <w:rPr>
          <w:rFonts w:ascii="Times New Roman" w:cs="Times New Roman" w:eastAsia="Times New Roman" w:hAnsi="Times New Roman"/>
          <w:sz w:val="17"/>
          <w:szCs w:val="17"/>
          <w:color w:val="auto"/>
        </w:rPr>
        <w:t>) and multi-representation (</w:t>
      </w:r>
      <w:r>
        <w:rPr>
          <w:rFonts w:ascii="Times New Roman" w:cs="Times New Roman" w:eastAsia="Times New Roman" w:hAnsi="Times New Roman"/>
          <w:sz w:val="17"/>
          <w:szCs w:val="17"/>
          <w:i w:val="1"/>
          <w:iCs w:val="1"/>
          <w:color w:val="auto"/>
        </w:rPr>
        <w:t>Mehrfachvertretung</w:t>
      </w:r>
      <w:r>
        <w:rPr>
          <w:rFonts w:ascii="Times New Roman" w:cs="Times New Roman" w:eastAsia="Times New Roman" w:hAnsi="Times New Roman"/>
          <w:sz w:val="17"/>
          <w:szCs w:val="17"/>
          <w:color w:val="auto"/>
        </w:rPr>
        <w:t>) pursuant to section 181 of the German Civil Code (</w:t>
      </w:r>
      <w:r>
        <w:rPr>
          <w:rFonts w:ascii="Times New Roman" w:cs="Times New Roman" w:eastAsia="Times New Roman" w:hAnsi="Times New Roman"/>
          <w:sz w:val="17"/>
          <w:szCs w:val="17"/>
          <w:i w:val="1"/>
          <w:iCs w:val="1"/>
          <w:color w:val="auto"/>
        </w:rPr>
        <w:t>Bürgerliches Gesetzbuch</w:t>
      </w:r>
      <w:r>
        <w:rPr>
          <w:rFonts w:ascii="Times New Roman" w:cs="Times New Roman" w:eastAsia="Times New Roman" w:hAnsi="Times New Roman"/>
          <w:sz w:val="17"/>
          <w:szCs w:val="17"/>
          <w:color w:val="auto"/>
        </w:rPr>
        <w:t>) and any similar restrictions applicable to it pursuant to any other applicable law (in each case to the extent legally possible to such Finance Party).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 Duties of the Agent</w:t>
      </w:r>
    </w:p>
    <w:p>
      <w:pPr>
        <w:spacing w:after="0" w:line="126" w:lineRule="exact"/>
        <w:rPr>
          <w:sz w:val="20"/>
          <w:szCs w:val="20"/>
          <w:color w:val="auto"/>
        </w:rPr>
      </w:pPr>
    </w:p>
    <w:p>
      <w:pPr>
        <w:ind w:left="430" w:right="360" w:hanging="430"/>
        <w:spacing w:after="0" w:line="270" w:lineRule="auto"/>
        <w:tabs>
          <w:tab w:leader="none" w:pos="43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the Agent shall promptly forward to a party to any Finance Document the original or a copy of any document which is delivered to the Agent for that party by any other party to any Finance Document.</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23.8 (Copy of Transfer Certificate or Assignment Agreement and Increase Confirmation to Borrower), paragraph</w:t>
      </w:r>
    </w:p>
    <w:p>
      <w:pPr>
        <w:spacing w:after="0" w:line="22" w:lineRule="exact"/>
        <w:rPr>
          <w:rFonts w:ascii="Times New Roman" w:cs="Times New Roman" w:eastAsia="Times New Roman" w:hAnsi="Times New Roman"/>
          <w:sz w:val="18"/>
          <w:szCs w:val="18"/>
          <w:color w:val="auto"/>
        </w:rPr>
      </w:pPr>
    </w:p>
    <w:p>
      <w:pPr>
        <w:ind w:left="43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above shall not apply to any Assignment Agreement or any Transfer Certificate or any notice or confirmation under paragraph (d)(i) of Clause 23.7 (Procedure for assignment).</w:t>
      </w:r>
    </w:p>
    <w:p>
      <w:pPr>
        <w:spacing w:after="0" w:line="93" w:lineRule="exact"/>
        <w:rPr>
          <w:rFonts w:ascii="Times New Roman" w:cs="Times New Roman" w:eastAsia="Times New Roman" w:hAnsi="Times New Roman"/>
          <w:sz w:val="18"/>
          <w:szCs w:val="18"/>
          <w:color w:val="auto"/>
        </w:rPr>
      </w:pPr>
    </w:p>
    <w:p>
      <w:pPr>
        <w:ind w:left="430" w:right="640" w:hanging="430"/>
        <w:spacing w:after="0" w:line="270" w:lineRule="auto"/>
        <w:tabs>
          <w:tab w:leader="none" w:pos="43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any party to any Finance Document.</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any party to any Finance Document referring to a Finance Document, describing a Default and stating that the circumstance described is a Default, it shall promptly notify the other Finance Parties.</w:t>
      </w:r>
    </w:p>
    <w:p>
      <w:pPr>
        <w:spacing w:after="0" w:line="76" w:lineRule="exact"/>
        <w:rPr>
          <w:rFonts w:ascii="Times New Roman" w:cs="Times New Roman" w:eastAsia="Times New Roman" w:hAnsi="Times New Roman"/>
          <w:sz w:val="18"/>
          <w:szCs w:val="18"/>
          <w:color w:val="auto"/>
        </w:rPr>
      </w:pPr>
    </w:p>
    <w:p>
      <w:pPr>
        <w:ind w:left="430" w:right="540" w:hanging="430"/>
        <w:spacing w:after="0" w:line="270" w:lineRule="auto"/>
        <w:tabs>
          <w:tab w:leader="none" w:pos="430"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any Administrative Party) under a Finance Document it shall promptly notify the other Finance Parties.</w:t>
      </w:r>
    </w:p>
    <w:p>
      <w:pPr>
        <w:spacing w:after="0" w:line="76" w:lineRule="exact"/>
        <w:rPr>
          <w:rFonts w:ascii="Times New Roman" w:cs="Times New Roman" w:eastAsia="Times New Roman" w:hAnsi="Times New Roman"/>
          <w:sz w:val="18"/>
          <w:szCs w:val="18"/>
          <w:color w:val="auto"/>
        </w:rPr>
      </w:pPr>
    </w:p>
    <w:p>
      <w:pPr>
        <w:ind w:left="430" w:right="260" w:hanging="430"/>
        <w:spacing w:after="0" w:line="300" w:lineRule="auto"/>
        <w:tabs>
          <w:tab w:leader="none" w:pos="430" w:val="left"/>
        </w:tabs>
        <w:numPr>
          <w:ilvl w:val="0"/>
          <w:numId w:val="5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Agent’s duties under the Finance Documents are solely mechanical and administrative in nature. The Agent shall have no other duties, obligations and responsibilities save as expressly provided for in the Finance Documents to which it is a party (and no others shall be implied).</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26.3 Role of the MLABUs and Arrangers</w:t>
      </w:r>
    </w:p>
    <w:p>
      <w:pPr>
        <w:spacing w:after="0" w:line="112"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Except as specifically provided in the Finance Documents to which it is a party, none of the MLABUs or Arrangers shall have any obligations of any kind to any other Party under or in connection with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26.4 No fiduciary duties</w:t>
      </w:r>
    </w:p>
    <w:p>
      <w:pPr>
        <w:spacing w:after="0" w:line="124" w:lineRule="exact"/>
        <w:rPr>
          <w:sz w:val="20"/>
          <w:szCs w:val="20"/>
          <w:color w:val="auto"/>
        </w:rPr>
      </w:pPr>
    </w:p>
    <w:p>
      <w:pPr>
        <w:ind w:left="430" w:right="340" w:hanging="430"/>
        <w:spacing w:after="0" w:line="273" w:lineRule="auto"/>
        <w:tabs>
          <w:tab w:leader="none" w:pos="430"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constitutes any Administrative Party as a trustee (</w:t>
      </w:r>
      <w:r>
        <w:rPr>
          <w:rFonts w:ascii="Times New Roman" w:cs="Times New Roman" w:eastAsia="Times New Roman" w:hAnsi="Times New Roman"/>
          <w:sz w:val="18"/>
          <w:szCs w:val="18"/>
          <w:i w:val="1"/>
          <w:iCs w:val="1"/>
          <w:color w:val="auto"/>
        </w:rPr>
        <w:t>Treuhänder</w:t>
      </w:r>
      <w:r>
        <w:rPr>
          <w:rFonts w:ascii="Times New Roman" w:cs="Times New Roman" w:eastAsia="Times New Roman" w:hAnsi="Times New Roman"/>
          <w:sz w:val="18"/>
          <w:szCs w:val="18"/>
          <w:color w:val="auto"/>
        </w:rPr>
        <w:t>) or fiduciary of any other person. No Administrative Party has any financial or commercial duty of care (</w:t>
      </w:r>
      <w:r>
        <w:rPr>
          <w:rFonts w:ascii="Times New Roman" w:cs="Times New Roman" w:eastAsia="Times New Roman" w:hAnsi="Times New Roman"/>
          <w:sz w:val="18"/>
          <w:szCs w:val="18"/>
          <w:i w:val="1"/>
          <w:iCs w:val="1"/>
          <w:color w:val="auto"/>
        </w:rPr>
        <w:t>Vermögensfürsorgepflicht</w:t>
      </w:r>
      <w:r>
        <w:rPr>
          <w:rFonts w:ascii="Times New Roman" w:cs="Times New Roman" w:eastAsia="Times New Roman" w:hAnsi="Times New Roman"/>
          <w:sz w:val="18"/>
          <w:szCs w:val="18"/>
          <w:color w:val="auto"/>
        </w:rPr>
        <w:t>) for any person.</w:t>
      </w:r>
    </w:p>
    <w:p>
      <w:pPr>
        <w:spacing w:after="0" w:line="7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Administrative Party shall be bound to account to any Lender for any sum or the profit element of any sum received by it for its own account.</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26.5 Business with the Group</w:t>
      </w:r>
    </w:p>
    <w:p>
      <w:pPr>
        <w:spacing w:after="0" w:line="112" w:lineRule="exact"/>
        <w:rPr>
          <w:sz w:val="20"/>
          <w:szCs w:val="20"/>
          <w:color w:val="auto"/>
        </w:rPr>
      </w:pPr>
    </w:p>
    <w:p>
      <w:pPr>
        <w:ind w:left="430" w:right="460"/>
        <w:spacing w:after="0" w:line="270" w:lineRule="auto"/>
        <w:rPr>
          <w:sz w:val="20"/>
          <w:szCs w:val="20"/>
          <w:color w:val="auto"/>
        </w:rPr>
      </w:pPr>
      <w:r>
        <w:rPr>
          <w:rFonts w:ascii="Times New Roman" w:cs="Times New Roman" w:eastAsia="Times New Roman" w:hAnsi="Times New Roman"/>
          <w:sz w:val="18"/>
          <w:szCs w:val="18"/>
          <w:color w:val="auto"/>
        </w:rPr>
        <w:t>Each Administrative Party may accept deposits from, lend money to and generally engage in any kind of banking or other business with the Obligors, any other Group Member or any Affiliate of any of the foregoing.</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26.6 Rights and discretions of the Agent</w:t>
      </w:r>
    </w:p>
    <w:p>
      <w:pPr>
        <w:spacing w:after="0" w:line="126" w:lineRule="exact"/>
        <w:rPr>
          <w:sz w:val="20"/>
          <w:szCs w:val="20"/>
          <w:color w:val="auto"/>
        </w:rPr>
      </w:pPr>
    </w:p>
    <w:p>
      <w:pPr>
        <w:ind w:left="430" w:hanging="430"/>
        <w:spacing w:after="0"/>
        <w:tabs>
          <w:tab w:leader="none" w:pos="430"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 and shall have no duty to verify any signature on any document;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123" w:lineRule="exact"/>
        <w:rPr>
          <w:rFonts w:ascii="Times New Roman" w:cs="Times New Roman" w:eastAsia="Times New Roman" w:hAnsi="Times New Roman"/>
          <w:sz w:val="18"/>
          <w:szCs w:val="18"/>
          <w:color w:val="auto"/>
        </w:rPr>
      </w:pPr>
    </w:p>
    <w:p>
      <w:pPr>
        <w:ind w:left="1710" w:right="300" w:hanging="639"/>
        <w:spacing w:after="0" w:line="270" w:lineRule="auto"/>
        <w:tabs>
          <w:tab w:leader="none" w:pos="1710" w:val="left"/>
        </w:tabs>
        <w:numPr>
          <w:ilvl w:val="2"/>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 or any group of Lenders are duly given in accordance with the terms of the Finance Documents; and</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those instructions have not been revoked; and</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750"/>
          </w:cols>
          <w:pgMar w:left="550" w:top="265" w:right="599" w:bottom="1440" w:gutter="0" w:footer="0" w:header="0"/>
        </w:sectPr>
      </w:pPr>
    </w:p>
    <w:bookmarkStart w:id="566" w:name="page567"/>
    <w:bookmarkEnd w:id="566"/>
    <w:p>
      <w:pPr>
        <w:ind w:left="1050" w:hanging="626"/>
        <w:spacing w:after="0"/>
        <w:tabs>
          <w:tab w:leader="none" w:pos="1050"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rely on a certificate from any person:</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110"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7"/>
          <w:szCs w:val="17"/>
          <w:color w:val="auto"/>
        </w:rPr>
        <w:t>as sufficient evidence that that is the case and, in the case of paragraph (A) above, may assume the truth and accuracy of that certificate.</w:t>
      </w:r>
    </w:p>
    <w:p>
      <w:pPr>
        <w:spacing w:after="0" w:line="135" w:lineRule="exact"/>
        <w:rPr>
          <w:sz w:val="20"/>
          <w:szCs w:val="20"/>
          <w:color w:val="auto"/>
        </w:rPr>
      </w:pPr>
    </w:p>
    <w:p>
      <w:pPr>
        <w:ind w:left="430" w:hanging="430"/>
        <w:spacing w:after="0"/>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Finance Parties) that: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22.1 (Non-payment)); and</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to any Finance Document, the Majority Lenders or the applicable Lenders has not been exercised.</w:t>
      </w:r>
    </w:p>
    <w:p>
      <w:pPr>
        <w:spacing w:after="0" w:line="76" w:lineRule="exact"/>
        <w:rPr>
          <w:rFonts w:ascii="Times New Roman" w:cs="Times New Roman" w:eastAsia="Times New Roman" w:hAnsi="Times New Roman"/>
          <w:sz w:val="18"/>
          <w:szCs w:val="18"/>
          <w:color w:val="auto"/>
        </w:rPr>
      </w:pPr>
    </w:p>
    <w:p>
      <w:pPr>
        <w:ind w:left="430" w:right="240" w:hanging="430"/>
        <w:spacing w:after="0" w:line="270" w:lineRule="auto"/>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and pay for and rely on the advice or services of any lawyers, accountants, tax advisers, surveyors or other professional advisers or experts.</w:t>
      </w:r>
    </w:p>
    <w:p>
      <w:pPr>
        <w:spacing w:after="0" w:line="76" w:lineRule="exact"/>
        <w:rPr>
          <w:rFonts w:ascii="Times New Roman" w:cs="Times New Roman" w:eastAsia="Times New Roman" w:hAnsi="Times New Roman"/>
          <w:sz w:val="18"/>
          <w:szCs w:val="18"/>
          <w:color w:val="auto"/>
        </w:rPr>
      </w:pPr>
    </w:p>
    <w:p>
      <w:pPr>
        <w:ind w:left="430" w:right="80" w:hanging="430"/>
        <w:spacing w:after="0" w:line="258" w:lineRule="auto"/>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85" w:lineRule="exact"/>
        <w:rPr>
          <w:rFonts w:ascii="Times New Roman" w:cs="Times New Roman" w:eastAsia="Times New Roman" w:hAnsi="Times New Roman"/>
          <w:sz w:val="18"/>
          <w:szCs w:val="18"/>
          <w:color w:val="auto"/>
        </w:rPr>
      </w:pPr>
    </w:p>
    <w:p>
      <w:pPr>
        <w:ind w:left="430" w:right="320" w:hanging="430"/>
        <w:spacing w:after="0" w:line="258" w:lineRule="auto"/>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w:t>
      </w:r>
    </w:p>
    <w:p>
      <w:pPr>
        <w:spacing w:after="0" w:line="123" w:lineRule="exact"/>
        <w:rPr>
          <w:rFonts w:ascii="Times New Roman" w:cs="Times New Roman" w:eastAsia="Times New Roman" w:hAnsi="Times New Roman"/>
          <w:sz w:val="18"/>
          <w:szCs w:val="18"/>
          <w:color w:val="auto"/>
        </w:rPr>
      </w:pPr>
    </w:p>
    <w:p>
      <w:pPr>
        <w:ind w:left="430" w:right="140" w:hanging="430"/>
        <w:spacing w:after="0" w:line="255" w:lineRule="auto"/>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any Finance Document.</w:t>
      </w:r>
    </w:p>
    <w:p>
      <w:pPr>
        <w:ind w:left="430" w:right="20" w:hanging="430"/>
        <w:spacing w:after="0" w:line="279" w:lineRule="auto"/>
        <w:tabs>
          <w:tab w:leader="none" w:pos="430" w:val="left"/>
        </w:tabs>
        <w:numPr>
          <w:ilvl w:val="0"/>
          <w:numId w:val="5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any Finance Document to the contrary, no Administrative Party is obliged to do or omit to do anything if it would or might in its reasonable opinion constitute a breach of any law or regulation or a breach of a fiduciary duty or duty of confidentiality.</w:t>
      </w:r>
    </w:p>
    <w:p>
      <w:pPr>
        <w:spacing w:after="0" w:line="70" w:lineRule="exact"/>
        <w:rPr>
          <w:rFonts w:ascii="Times New Roman" w:cs="Times New Roman" w:eastAsia="Times New Roman" w:hAnsi="Times New Roman"/>
          <w:sz w:val="17"/>
          <w:szCs w:val="17"/>
          <w:color w:val="auto"/>
        </w:rPr>
      </w:pPr>
    </w:p>
    <w:p>
      <w:pPr>
        <w:ind w:left="430" w:right="320" w:hanging="430"/>
        <w:spacing w:after="0" w:line="253" w:lineRule="auto"/>
        <w:tabs>
          <w:tab w:leader="none" w:pos="430" w:val="left"/>
        </w:tabs>
        <w:numPr>
          <w:ilvl w:val="0"/>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92" w:lineRule="exact"/>
        <w:rPr>
          <w:rFonts w:ascii="Times New Roman" w:cs="Times New Roman" w:eastAsia="Times New Roman" w:hAnsi="Times New Roman"/>
          <w:sz w:val="18"/>
          <w:szCs w:val="18"/>
          <w:color w:val="auto"/>
        </w:rPr>
      </w:pPr>
    </w:p>
    <w:p>
      <w:pPr>
        <w:ind w:left="430" w:hanging="430"/>
        <w:spacing w:after="0" w:line="280" w:lineRule="auto"/>
        <w:tabs>
          <w:tab w:leader="none" w:pos="430" w:val="left"/>
        </w:tabs>
        <w:numPr>
          <w:ilvl w:val="0"/>
          <w:numId w:val="5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paragraph (g) above, the Agent may disclose the identity of a Defaulting Lender (to the extent that the Agent is aware) to the other Finance Parties and the Obligors and shall, as soon as reasonably practicable, disclose the same upon the written request of the Obligors or the Majority Lenders. Each Lender hereby consents to any and all such disclosures by the Agent pursuant to this paragraph (j).</w:t>
      </w:r>
    </w:p>
    <w:p>
      <w:pPr>
        <w:spacing w:after="0" w:line="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26.7 Majority Lenders’ instructions</w:t>
      </w:r>
    </w:p>
    <w:p>
      <w:pPr>
        <w:spacing w:after="0" w:line="126" w:lineRule="exact"/>
        <w:rPr>
          <w:sz w:val="20"/>
          <w:szCs w:val="20"/>
          <w:color w:val="auto"/>
        </w:rPr>
      </w:pPr>
    </w:p>
    <w:p>
      <w:pPr>
        <w:ind w:left="430" w:hanging="430"/>
        <w:spacing w:after="0"/>
        <w:tabs>
          <w:tab w:leader="none" w:pos="43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the Agent shall:</w:t>
      </w:r>
    </w:p>
    <w:p>
      <w:pPr>
        <w:spacing w:after="0" w:line="123" w:lineRule="exact"/>
        <w:rPr>
          <w:rFonts w:ascii="Times New Roman" w:cs="Times New Roman" w:eastAsia="Times New Roman" w:hAnsi="Times New Roman"/>
          <w:sz w:val="18"/>
          <w:szCs w:val="18"/>
          <w:color w:val="auto"/>
        </w:rPr>
      </w:pPr>
    </w:p>
    <w:p>
      <w:pPr>
        <w:ind w:left="1050" w:right="420" w:hanging="626"/>
        <w:spacing w:after="0" w:line="270" w:lineRule="auto"/>
        <w:tabs>
          <w:tab w:leader="none" w:pos="105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refrain from exercising any right, power, authority or discretion vested in it as Agent in accordance with any instructions given to it by:</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if the relevant Finance Document stipulates the matter is an all Lender decision; and</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Majority Lenders; and</w:t>
      </w:r>
    </w:p>
    <w:p>
      <w:pPr>
        <w:spacing w:after="0" w:line="123" w:lineRule="exact"/>
        <w:rPr>
          <w:rFonts w:ascii="Times New Roman" w:cs="Times New Roman" w:eastAsia="Times New Roman" w:hAnsi="Times New Roman"/>
          <w:sz w:val="18"/>
          <w:szCs w:val="18"/>
          <w:color w:val="auto"/>
        </w:rPr>
      </w:pPr>
    </w:p>
    <w:p>
      <w:pPr>
        <w:jc w:val="both"/>
        <w:ind w:left="1050" w:right="360" w:hanging="626"/>
        <w:spacing w:after="0" w:line="258" w:lineRule="auto"/>
        <w:tabs>
          <w:tab w:leader="none" w:pos="1050"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taking any action) in accordance with paragraph (i) above (or, if this Agreement stipulates the matter is a decision for any other Finance Party or group of Finance Parties, in accordance with instructions given to it by that Finance Party or group of Finance Parties).</w:t>
      </w:r>
    </w:p>
    <w:p>
      <w:pPr>
        <w:spacing w:after="0" w:line="85" w:lineRule="exact"/>
        <w:rPr>
          <w:rFonts w:ascii="Times New Roman" w:cs="Times New Roman" w:eastAsia="Times New Roman" w:hAnsi="Times New Roman"/>
          <w:sz w:val="18"/>
          <w:szCs w:val="18"/>
          <w:color w:val="auto"/>
        </w:rPr>
      </w:pPr>
    </w:p>
    <w:p>
      <w:pPr>
        <w:ind w:left="430" w:right="120" w:hanging="430"/>
        <w:spacing w:after="0" w:line="253" w:lineRule="auto"/>
        <w:tabs>
          <w:tab w:leader="none" w:pos="43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Agent may refrain from acting unless and until it receives those instructions or that clarification.</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90"/>
          </w:cols>
          <w:pgMar w:left="550" w:top="266" w:right="559" w:bottom="1440" w:gutter="0" w:footer="0" w:header="0"/>
        </w:sectPr>
      </w:pPr>
    </w:p>
    <w:bookmarkStart w:id="567" w:name="page568"/>
    <w:bookmarkEnd w:id="567"/>
    <w:p>
      <w:pPr>
        <w:ind w:left="430" w:right="400" w:hanging="430"/>
        <w:spacing w:after="0" w:line="258" w:lineRule="auto"/>
        <w:tabs>
          <w:tab w:leader="none" w:pos="43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Save in the case of decisions stipulated to be a matter for any other Finance Party or group of Finance Parties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85" w:lineRule="exact"/>
        <w:rPr>
          <w:rFonts w:ascii="Times New Roman" w:cs="Times New Roman" w:eastAsia="Times New Roman" w:hAnsi="Times New Roman"/>
          <w:sz w:val="18"/>
          <w:szCs w:val="18"/>
          <w:color w:val="auto"/>
        </w:rPr>
      </w:pPr>
    </w:p>
    <w:p>
      <w:pPr>
        <w:ind w:left="430" w:right="40" w:hanging="430"/>
        <w:spacing w:after="0" w:line="258" w:lineRule="auto"/>
        <w:tabs>
          <w:tab w:leader="none" w:pos="43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the instructions of the Majority Lenders (or, if appropriate, the applicable Lenders) until it has received such security as it may require for any cost, loss or liability (together with any associated VAT) which it may incur in complying with such instructions.</w:t>
      </w:r>
    </w:p>
    <w:p>
      <w:pPr>
        <w:spacing w:after="0" w:line="85" w:lineRule="exact"/>
        <w:rPr>
          <w:rFonts w:ascii="Times New Roman" w:cs="Times New Roman" w:eastAsia="Times New Roman" w:hAnsi="Times New Roman"/>
          <w:sz w:val="18"/>
          <w:szCs w:val="18"/>
          <w:color w:val="auto"/>
        </w:rPr>
      </w:pPr>
    </w:p>
    <w:p>
      <w:pPr>
        <w:jc w:val="both"/>
        <w:ind w:left="430" w:right="340" w:hanging="430"/>
        <w:spacing w:after="0" w:line="258" w:lineRule="auto"/>
        <w:tabs>
          <w:tab w:leader="none" w:pos="43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instructions from the Majority Lenders, (or, if appropriate, the applicable Lenders) the Agent may act (or refrain from taking action) as it considers in its discretion to be appropriate (acting reasonably),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(for the avoidance of doubt) the Agent shall not be under any duty to take any action in the absence of such instructions.</w:t>
      </w:r>
    </w:p>
    <w:p>
      <w:pPr>
        <w:spacing w:after="0" w:line="85"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this Clause 26.7 (Majority Lenders’ instructions), the Agent may (but shall not be obliged to), in the absence of instructions to the contrary, take such action in the exercise of any of its powers and duties under the Finance Documents as it considers in its discretion to be appropriate (acting reasonably).</w:t>
      </w:r>
    </w:p>
    <w:p>
      <w:pPr>
        <w:spacing w:after="0" w:line="85" w:lineRule="exact"/>
        <w:rPr>
          <w:rFonts w:ascii="Times New Roman" w:cs="Times New Roman" w:eastAsia="Times New Roman" w:hAnsi="Times New Roman"/>
          <w:sz w:val="18"/>
          <w:szCs w:val="18"/>
          <w:color w:val="auto"/>
        </w:rPr>
      </w:pPr>
    </w:p>
    <w:p>
      <w:pPr>
        <w:ind w:left="430" w:right="140" w:hanging="430"/>
        <w:spacing w:after="0" w:line="258" w:lineRule="auto"/>
        <w:tabs>
          <w:tab w:leader="none" w:pos="43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is not authorised to act on behalf of and in the name of a Finance Party (without first obtaining that Finance Party’s prior written consent) in any legal or arbitration proceedings relating to any Finance Document,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nothing herein shall prejudice the ability of the Agent to bring, defend or conduct any proceedings in its capacity as Agent (in the name of the Agent).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26.8 Responsibility for documentation</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Administrative Party:</w:t>
      </w:r>
    </w:p>
    <w:p>
      <w:pPr>
        <w:spacing w:after="0" w:line="124" w:lineRule="exact"/>
        <w:rPr>
          <w:sz w:val="20"/>
          <w:szCs w:val="20"/>
          <w:color w:val="auto"/>
        </w:rPr>
      </w:pPr>
    </w:p>
    <w:p>
      <w:pPr>
        <w:ind w:left="1050" w:right="740" w:hanging="626"/>
        <w:spacing w:after="0" w:line="258" w:lineRule="auto"/>
        <w:tabs>
          <w:tab w:leader="none" w:pos="1050"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the adequacy, accuracy and/or completeness of any information (whether oral or written) supplied by any Administrative Party, any Obligor or any other person given in or in connection with any Finance Document or the transactions contemplated under any Finance Document;</w:t>
      </w:r>
    </w:p>
    <w:p>
      <w:pPr>
        <w:spacing w:after="0" w:line="85" w:lineRule="exact"/>
        <w:rPr>
          <w:rFonts w:ascii="Times New Roman" w:cs="Times New Roman" w:eastAsia="Times New Roman" w:hAnsi="Times New Roman"/>
          <w:sz w:val="18"/>
          <w:szCs w:val="18"/>
          <w:color w:val="auto"/>
        </w:rPr>
      </w:pPr>
    </w:p>
    <w:p>
      <w:pPr>
        <w:ind w:left="1050" w:right="520" w:hanging="626"/>
        <w:spacing w:after="0" w:line="300" w:lineRule="auto"/>
        <w:tabs>
          <w:tab w:leader="none" w:pos="1050"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legality, validity, effectiveness, adequacy or enforceability of any Finance Document or any other agreement, arrangement or document entered into, made or executed in anticipation of or in connection with any Finance Document; or</w:t>
      </w:r>
    </w:p>
    <w:p>
      <w:pPr>
        <w:spacing w:after="0" w:line="53" w:lineRule="exact"/>
        <w:rPr>
          <w:rFonts w:ascii="Times New Roman" w:cs="Times New Roman" w:eastAsia="Times New Roman" w:hAnsi="Times New Roman"/>
          <w:sz w:val="17"/>
          <w:szCs w:val="17"/>
          <w:color w:val="auto"/>
        </w:rPr>
      </w:pPr>
    </w:p>
    <w:p>
      <w:pPr>
        <w:ind w:left="1050" w:right="440" w:hanging="626"/>
        <w:spacing w:after="0" w:line="300" w:lineRule="auto"/>
        <w:tabs>
          <w:tab w:leader="none" w:pos="1050" w:val="left"/>
        </w:tabs>
        <w:numPr>
          <w:ilvl w:val="0"/>
          <w:numId w:val="5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26.9 No duty to monitor</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Agent shall not be bound to enquire:</w:t>
      </w:r>
    </w:p>
    <w:p>
      <w:pPr>
        <w:spacing w:after="0" w:line="124" w:lineRule="exact"/>
        <w:rPr>
          <w:sz w:val="20"/>
          <w:szCs w:val="20"/>
          <w:color w:val="auto"/>
        </w:rPr>
      </w:pPr>
    </w:p>
    <w:p>
      <w:pPr>
        <w:ind w:left="1050" w:hanging="626"/>
        <w:spacing w:after="0"/>
        <w:tabs>
          <w:tab w:leader="none" w:pos="105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26.10 Exclusion of liability</w:t>
      </w:r>
    </w:p>
    <w:p>
      <w:pPr>
        <w:spacing w:after="0" w:line="126" w:lineRule="exact"/>
        <w:rPr>
          <w:sz w:val="20"/>
          <w:szCs w:val="20"/>
          <w:color w:val="auto"/>
        </w:rPr>
      </w:pPr>
    </w:p>
    <w:p>
      <w:pPr>
        <w:ind w:left="430" w:right="40" w:hanging="430"/>
        <w:spacing w:after="0" w:line="300" w:lineRule="auto"/>
        <w:tabs>
          <w:tab w:leader="none" w:pos="430" w:val="left"/>
        </w:tabs>
        <w:numPr>
          <w:ilvl w:val="0"/>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53" w:lineRule="exact"/>
        <w:rPr>
          <w:rFonts w:ascii="Times New Roman" w:cs="Times New Roman" w:eastAsia="Times New Roman" w:hAnsi="Times New Roman"/>
          <w:sz w:val="17"/>
          <w:szCs w:val="17"/>
          <w:color w:val="auto"/>
        </w:rPr>
      </w:pPr>
    </w:p>
    <w:p>
      <w:pPr>
        <w:ind w:left="1050" w:right="100" w:hanging="626"/>
        <w:spacing w:after="0" w:line="300" w:lineRule="auto"/>
        <w:tabs>
          <w:tab w:leader="none" w:pos="1050" w:val="left"/>
        </w:tabs>
        <w:numPr>
          <w:ilvl w:val="1"/>
          <w:numId w:val="6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53" w:lineRule="exact"/>
        <w:rPr>
          <w:rFonts w:ascii="Times New Roman" w:cs="Times New Roman" w:eastAsia="Times New Roman" w:hAnsi="Times New Roman"/>
          <w:sz w:val="17"/>
          <w:szCs w:val="17"/>
          <w:color w:val="auto"/>
        </w:rPr>
      </w:pPr>
    </w:p>
    <w:p>
      <w:pPr>
        <w:ind w:left="1050" w:right="80" w:hanging="626"/>
        <w:spacing w:after="0" w:line="258" w:lineRule="auto"/>
        <w:tabs>
          <w:tab w:leader="none" w:pos="105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85"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(including for negligence or any other category of liability whatsoever but not including any claim based on the fraud of the Agent) arising as a result of:</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90"/>
          </w:cols>
          <w:pgMar w:left="550" w:top="266" w:right="559" w:bottom="1440" w:gutter="0" w:footer="0" w:header="0"/>
        </w:sectPr>
      </w:pPr>
    </w:p>
    <w:bookmarkStart w:id="568" w:name="page569"/>
    <w:bookmarkEnd w:id="568"/>
    <w:p>
      <w:pPr>
        <w:ind w:left="430" w:right="1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including (in each case)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94" w:lineRule="exact"/>
        <w:rPr>
          <w:sz w:val="20"/>
          <w:szCs w:val="20"/>
          <w:color w:val="auto"/>
        </w:rPr>
      </w:pPr>
    </w:p>
    <w:p>
      <w:pPr>
        <w:ind w:left="430" w:right="100" w:hanging="430"/>
        <w:spacing w:after="0" w:line="253" w:lineRule="auto"/>
        <w:tabs>
          <w:tab w:leader="none" w:pos="43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26.10 subject to Clause 1.4 (Third party rights) and the provisions of the Third Parties Act.</w:t>
      </w:r>
    </w:p>
    <w:p>
      <w:pPr>
        <w:spacing w:after="0" w:line="92" w:lineRule="exact"/>
        <w:rPr>
          <w:rFonts w:ascii="Times New Roman" w:cs="Times New Roman" w:eastAsia="Times New Roman" w:hAnsi="Times New Roman"/>
          <w:sz w:val="18"/>
          <w:szCs w:val="18"/>
          <w:color w:val="auto"/>
        </w:rPr>
      </w:pPr>
    </w:p>
    <w:p>
      <w:pPr>
        <w:ind w:left="430" w:right="120" w:hanging="430"/>
        <w:spacing w:after="0" w:line="258" w:lineRule="auto"/>
        <w:tabs>
          <w:tab w:leader="none" w:pos="43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shall oblige any Administrative Party to conduct: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anti-money laundering or other procedures in relation to any person; or</w:t>
      </w:r>
    </w:p>
    <w:p>
      <w:pPr>
        <w:spacing w:after="0" w:line="123" w:lineRule="exact"/>
        <w:rPr>
          <w:rFonts w:ascii="Times New Roman" w:cs="Times New Roman" w:eastAsia="Times New Roman" w:hAnsi="Times New Roman"/>
          <w:sz w:val="18"/>
          <w:szCs w:val="18"/>
          <w:color w:val="auto"/>
        </w:rPr>
      </w:pPr>
    </w:p>
    <w:p>
      <w:pPr>
        <w:ind w:left="1050" w:hanging="626"/>
        <w:spacing w:after="0" w:line="280" w:lineRule="auto"/>
        <w:tabs>
          <w:tab w:leader="none" w:pos="1050" w:val="left"/>
        </w:tabs>
        <w:numPr>
          <w:ilvl w:val="1"/>
          <w:numId w:val="6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check on the extent to which any transaction contemplated by any Finance Document might be unlawful for any Lender, on behalf of any Lender and each Lender confirms to each Administrative Party that it is solely responsible for any such procedures or check it is required to conduct and that it shall not rely on any statement in relation to such procedures or check made by any Administrative Party.</w:t>
      </w:r>
    </w:p>
    <w:p>
      <w:pPr>
        <w:spacing w:after="0" w:line="69" w:lineRule="exact"/>
        <w:rPr>
          <w:rFonts w:ascii="Times New Roman" w:cs="Times New Roman" w:eastAsia="Times New Roman" w:hAnsi="Times New Roman"/>
          <w:sz w:val="17"/>
          <w:szCs w:val="17"/>
          <w:color w:val="auto"/>
        </w:rPr>
      </w:pPr>
    </w:p>
    <w:p>
      <w:pPr>
        <w:ind w:left="430" w:right="20" w:hanging="430"/>
        <w:spacing w:after="0" w:line="250" w:lineRule="auto"/>
        <w:tabs>
          <w:tab w:leader="none" w:pos="430"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such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26.11 Lenders’ indemnity to the Agent</w:t>
      </w:r>
    </w:p>
    <w:p>
      <w:pPr>
        <w:spacing w:after="0" w:line="126" w:lineRule="exact"/>
        <w:rPr>
          <w:sz w:val="20"/>
          <w:szCs w:val="20"/>
          <w:color w:val="auto"/>
        </w:rPr>
      </w:pPr>
    </w:p>
    <w:p>
      <w:pPr>
        <w:ind w:left="430" w:right="20" w:hanging="430"/>
        <w:spacing w:after="0" w:line="249" w:lineRule="auto"/>
        <w:tabs>
          <w:tab w:leader="none" w:pos="43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the proportion determined in accordance with paragraph (b) below) indemnify the Agent, within three (3) Business Days of demand, against any cost, loss or liability (including, without limitation, for negligence, in relation to any FATCA-related liability or any other category of liability whatsoever) incurred by the Agent (otherwise than by reason of the Agent’s gross negligence or wilful misconduct) (or, in the case of any cost, loss or liability pursuant to Clause 28.11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 in respect of the same cost, loss or liability).</w:t>
      </w:r>
    </w:p>
    <w:p>
      <w:pPr>
        <w:spacing w:after="0" w:line="96" w:lineRule="exact"/>
        <w:rPr>
          <w:rFonts w:ascii="Times New Roman" w:cs="Times New Roman" w:eastAsia="Times New Roman" w:hAnsi="Times New Roman"/>
          <w:sz w:val="18"/>
          <w:szCs w:val="18"/>
          <w:color w:val="auto"/>
        </w:rPr>
      </w:pPr>
    </w:p>
    <w:p>
      <w:pPr>
        <w:ind w:left="430" w:hanging="430"/>
        <w:spacing w:after="0" w:line="253" w:lineRule="auto"/>
        <w:tabs>
          <w:tab w:leader="none" w:pos="430"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Lender’s proportion of such cost, loss or liability shall be equal to the proportion borne by (i) the aggregate of such Lender’s Commitment(s) to (ii) the Total Commitments (or, if the Total Commitments have been reduced to zero, the proportion borne by (A) the aggregate of such Lender’s Commitment(s) immediately before the reduction of the Total Commitments to zero to (B) the Total Commitments immediately before the reduction of the Total Commitments to zero).</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26.12 Resignation of the Agent</w:t>
      </w:r>
    </w:p>
    <w:p>
      <w:pPr>
        <w:spacing w:after="0" w:line="126" w:lineRule="exact"/>
        <w:rPr>
          <w:sz w:val="20"/>
          <w:szCs w:val="20"/>
          <w:color w:val="auto"/>
        </w:rPr>
      </w:pPr>
    </w:p>
    <w:p>
      <w:pPr>
        <w:ind w:left="430" w:hanging="430"/>
        <w:spacing w:after="0"/>
        <w:tabs>
          <w:tab w:leader="none" w:pos="43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and appoint one of its Affiliates as successor by giving notice to the Lenders and the Borrower.</w:t>
      </w:r>
    </w:p>
    <w:p>
      <w:pPr>
        <w:spacing w:after="0" w:line="123" w:lineRule="exact"/>
        <w:rPr>
          <w:rFonts w:ascii="Times New Roman" w:cs="Times New Roman" w:eastAsia="Times New Roman" w:hAnsi="Times New Roman"/>
          <w:sz w:val="18"/>
          <w:szCs w:val="18"/>
          <w:color w:val="auto"/>
        </w:rPr>
      </w:pPr>
    </w:p>
    <w:p>
      <w:pPr>
        <w:ind w:left="430" w:right="140" w:hanging="430"/>
        <w:spacing w:after="0" w:line="270" w:lineRule="auto"/>
        <w:tabs>
          <w:tab w:leader="none" w:pos="43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may resign by giving thirty (30) days’ notice to the Lenders and the Borrower, in which case the Majority Lenders (after consultation with the Borrower) may appoint a successor Agent.</w:t>
      </w:r>
    </w:p>
    <w:p>
      <w:pPr>
        <w:spacing w:after="0" w:line="76"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in accordance with paragraph (b) above within thirty (30) days after the applicable notice of resignation was given, the retiring Agent (after consultation with the Borrower) may appoint a successor Agent.</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50"/>
          </w:cols>
          <w:pgMar w:left="550" w:top="266" w:right="599" w:bottom="1440" w:gutter="0" w:footer="0" w:header="0"/>
        </w:sectPr>
      </w:pPr>
    </w:p>
    <w:bookmarkStart w:id="569" w:name="page570"/>
    <w:bookmarkEnd w:id="569"/>
    <w:p>
      <w:pPr>
        <w:ind w:left="430" w:right="60" w:hanging="430"/>
        <w:spacing w:after="0" w:line="248"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If the Agent wishes to resign because (acting reasonably) it has concluded that it is no longer appropriate for it to remain as agent and the Agent is entitled to appoint a successor Agent under paragraph (b) above, the Agent may (if it concludes (acting reasonably) that it is necessary to do so in order to persuade the proposed successor Agent to become a party to this Agreement as Agent) agree with the proposed successor Agent amendments to this Clause 26 (Role of the Administrative Parties) and any other term of this Agreement dealing with the rights or obligations of the Agent consistent with then current market practice for the appointment and protection of corporate trustees (provided that such amendments are not materially adverse to the interest of any Obligor or any Group Member) together with the introduction of, or any reasonable amendments to, the agency fee payable under this Agreement which are consistent with the successor Agent’s normal fee rates as agreed by the Borrower and those amendments will bind the Parties.</w:t>
      </w:r>
    </w:p>
    <w:p>
      <w:pPr>
        <w:spacing w:after="0" w:line="99" w:lineRule="exact"/>
        <w:rPr>
          <w:rFonts w:ascii="Times New Roman" w:cs="Times New Roman" w:eastAsia="Times New Roman" w:hAnsi="Times New Roman"/>
          <w:sz w:val="18"/>
          <w:szCs w:val="18"/>
          <w:color w:val="auto"/>
        </w:rPr>
      </w:pPr>
    </w:p>
    <w:p>
      <w:pPr>
        <w:ind w:left="430" w:right="260" w:hanging="430"/>
        <w:spacing w:after="0" w:line="270"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resignation notice shall only take effect upon the appointment of a successor to the Agent.</w:t>
      </w:r>
    </w:p>
    <w:p>
      <w:pPr>
        <w:spacing w:after="0" w:line="123" w:lineRule="exact"/>
        <w:rPr>
          <w:rFonts w:ascii="Times New Roman" w:cs="Times New Roman" w:eastAsia="Times New Roman" w:hAnsi="Times New Roman"/>
          <w:sz w:val="18"/>
          <w:szCs w:val="18"/>
          <w:color w:val="auto"/>
        </w:rPr>
      </w:pPr>
    </w:p>
    <w:p>
      <w:pPr>
        <w:ind w:left="430" w:right="160" w:hanging="430"/>
        <w:spacing w:after="0" w:line="253"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Agent, the retiring Agent shall be discharged from any further obligation in respect of the Finance Documents (other than its obligations under paragraph (d) above) but shall remain entitled to the benefit of Clause 15.3 (Indemnity to the Agent) and this Clause 26 (and any agency fees for the account of such retiring Agent shall cease to accrue from such date and shall instead accrue in favour of such successor Agent).</w:t>
      </w:r>
    </w:p>
    <w:p>
      <w:pPr>
        <w:spacing w:after="0" w:line="92" w:lineRule="exact"/>
        <w:rPr>
          <w:rFonts w:ascii="Times New Roman" w:cs="Times New Roman" w:eastAsia="Times New Roman" w:hAnsi="Times New Roman"/>
          <w:sz w:val="18"/>
          <w:szCs w:val="18"/>
          <w:color w:val="auto"/>
        </w:rPr>
      </w:pPr>
    </w:p>
    <w:p>
      <w:pPr>
        <w:jc w:val="both"/>
        <w:ind w:left="430" w:right="180" w:hanging="430"/>
        <w:spacing w:after="0" w:line="270" w:lineRule="auto"/>
        <w:tabs>
          <w:tab w:leader="none" w:pos="430" w:val="left"/>
        </w:tabs>
        <w:numPr>
          <w:ilvl w:val="0"/>
          <w:numId w:val="6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consultation with the Borrower, the Majority Lenders may, by giving not less than thirty (30) days’ notice to the Agent (or, at any time the Agent is an Impaired Agent, by giving any shorter notice determined by the Majority Lenders), require it to resign in accordance with paragraph</w:t>
      </w:r>
    </w:p>
    <w:p>
      <w:pPr>
        <w:ind w:left="430" w:right="20" w:hanging="6"/>
        <w:spacing w:after="0" w:line="250" w:lineRule="auto"/>
        <w:tabs>
          <w:tab w:leader="none" w:pos="679" w:val="left"/>
        </w:tabs>
        <w:numPr>
          <w:ilvl w:val="1"/>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this event, the Agent shall resign in accordance with paragraph (b) above but the cost of complying with paragraph (d) above shall be for the account of the Borrower.</w:t>
      </w:r>
    </w:p>
    <w:p>
      <w:pPr>
        <w:spacing w:after="0" w:line="93"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 themselves as they would have had had such successor Agent been originally party hereto as the Agent.</w:t>
      </w:r>
    </w:p>
    <w:p>
      <w:pPr>
        <w:spacing w:after="0" w:line="76" w:lineRule="exact"/>
        <w:rPr>
          <w:rFonts w:ascii="Times New Roman" w:cs="Times New Roman" w:eastAsia="Times New Roman" w:hAnsi="Times New Roman"/>
          <w:sz w:val="18"/>
          <w:szCs w:val="18"/>
          <w:color w:val="auto"/>
        </w:rPr>
      </w:pPr>
    </w:p>
    <w:p>
      <w:pPr>
        <w:ind w:left="430" w:right="460" w:hanging="430"/>
        <w:spacing w:after="0" w:line="270"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15 (Other Indemnities) and 16 (Costs and Expenses) shall survive and remain in full force and effect in favour of any Agent that has resigned or been replaced.</w:t>
      </w:r>
    </w:p>
    <w:p>
      <w:pPr>
        <w:spacing w:after="0" w:line="76" w:lineRule="exact"/>
        <w:rPr>
          <w:rFonts w:ascii="Times New Roman" w:cs="Times New Roman" w:eastAsia="Times New Roman" w:hAnsi="Times New Roman"/>
          <w:sz w:val="18"/>
          <w:szCs w:val="18"/>
          <w:color w:val="auto"/>
        </w:rPr>
      </w:pPr>
    </w:p>
    <w:p>
      <w:pPr>
        <w:ind w:left="430" w:right="360" w:hanging="430"/>
        <w:spacing w:after="0" w:line="258" w:lineRule="auto"/>
        <w:tabs>
          <w:tab w:leader="none" w:pos="430"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(c) above) if on or after the date which is three (3) months before the earliest FATCA Application Date relating to any payment to the Agent under the Finance Documents:</w:t>
      </w:r>
    </w:p>
    <w:p>
      <w:pPr>
        <w:spacing w:after="0" w:line="85" w:lineRule="exact"/>
        <w:rPr>
          <w:rFonts w:ascii="Times New Roman" w:cs="Times New Roman" w:eastAsia="Times New Roman" w:hAnsi="Times New Roman"/>
          <w:sz w:val="18"/>
          <w:szCs w:val="18"/>
          <w:color w:val="auto"/>
        </w:rPr>
      </w:pPr>
    </w:p>
    <w:p>
      <w:pPr>
        <w:ind w:left="1050" w:right="140" w:hanging="626"/>
        <w:spacing w:after="0" w:line="270" w:lineRule="auto"/>
        <w:tabs>
          <w:tab w:leader="none" w:pos="1050" w:val="left"/>
        </w:tabs>
        <w:numPr>
          <w:ilvl w:val="1"/>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fails to respond to a request under Clause 12.7 (FATCA information) and a Lender reasonably believes that the Agent will not be (or will have ceased to be) a FATCA Exempt Party on or after that FATCA Application Date;</w:t>
      </w:r>
    </w:p>
    <w:p>
      <w:pPr>
        <w:spacing w:after="0" w:line="76" w:lineRule="exact"/>
        <w:rPr>
          <w:sz w:val="20"/>
          <w:szCs w:val="20"/>
          <w:color w:val="auto"/>
        </w:rPr>
      </w:pPr>
    </w:p>
    <w:p>
      <w:pPr>
        <w:ind w:left="1050" w:right="300" w:hanging="626"/>
        <w:spacing w:after="0" w:line="270" w:lineRule="auto"/>
        <w:tabs>
          <w:tab w:leader="none" w:pos="105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12.7 (FATCA information) indicates that the Agent will not be (or will have ceased to be) a FATCA Exempt Party on or after that FATCA Application Date; or</w:t>
      </w:r>
    </w:p>
    <w:p>
      <w:pPr>
        <w:spacing w:after="0" w:line="76" w:lineRule="exact"/>
        <w:rPr>
          <w:rFonts w:ascii="Times New Roman" w:cs="Times New Roman" w:eastAsia="Times New Roman" w:hAnsi="Times New Roman"/>
          <w:sz w:val="18"/>
          <w:szCs w:val="18"/>
          <w:color w:val="auto"/>
        </w:rPr>
      </w:pPr>
    </w:p>
    <w:p>
      <w:pPr>
        <w:ind w:left="1050" w:right="80" w:hanging="626"/>
        <w:spacing w:after="0" w:line="270" w:lineRule="auto"/>
        <w:tabs>
          <w:tab w:leader="none" w:pos="1050"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Borrower and the Lenders that the Agent will not be (or will have ceased to be) a FATCA Exempt Party on or after that FATCA Application Dates,</w:t>
      </w:r>
    </w:p>
    <w:p>
      <w:pPr>
        <w:spacing w:after="0" w:line="63"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26.13 Confidentiality</w:t>
      </w:r>
    </w:p>
    <w:p>
      <w:pPr>
        <w:spacing w:after="0" w:line="126" w:lineRule="exact"/>
        <w:rPr>
          <w:sz w:val="20"/>
          <w:szCs w:val="20"/>
          <w:color w:val="auto"/>
        </w:rPr>
      </w:pPr>
    </w:p>
    <w:p>
      <w:pPr>
        <w:ind w:left="430" w:right="320" w:hanging="430"/>
        <w:spacing w:after="0" w:line="270" w:lineRule="auto"/>
        <w:tabs>
          <w:tab w:leader="none" w:pos="43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6" w:lineRule="exact"/>
        <w:rPr>
          <w:rFonts w:ascii="Times New Roman" w:cs="Times New Roman" w:eastAsia="Times New Roman" w:hAnsi="Times New Roman"/>
          <w:sz w:val="18"/>
          <w:szCs w:val="18"/>
          <w:color w:val="auto"/>
        </w:rPr>
      </w:pPr>
    </w:p>
    <w:p>
      <w:pPr>
        <w:jc w:val="both"/>
        <w:ind w:left="430" w:hanging="430"/>
        <w:spacing w:after="0" w:line="258" w:lineRule="auto"/>
        <w:tabs>
          <w:tab w:leader="none" w:pos="430"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disclose to any Finance Party any information supplied to it by the Obligors or any Affiliate of the Obligors on a confidential basis and for the purpose of evaluating whether any waiver or amendment is or may be required or desirable in relation to any Finance Document.</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90"/>
          </w:cols>
          <w:pgMar w:left="550" w:top="266" w:right="559" w:bottom="1440" w:gutter="0" w:footer="0" w:header="0"/>
        </w:sectPr>
      </w:pPr>
    </w:p>
    <w:bookmarkStart w:id="570" w:name="page571"/>
    <w:bookmarkEnd w:id="570"/>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26.14 Relationship with the Lenders</w:t>
      </w:r>
    </w:p>
    <w:p>
      <w:pPr>
        <w:spacing w:after="0" w:line="126" w:lineRule="exact"/>
        <w:rPr>
          <w:sz w:val="20"/>
          <w:szCs w:val="20"/>
          <w:color w:val="auto"/>
        </w:rPr>
      </w:pPr>
    </w:p>
    <w:p>
      <w:pPr>
        <w:jc w:val="both"/>
        <w:ind w:left="430" w:right="20" w:hanging="430"/>
        <w:spacing w:after="0" w:line="252" w:lineRule="auto"/>
        <w:tabs>
          <w:tab w:leader="none" w:pos="430"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28.2 (Distributions by the Agent), the Agent may treat each person shown in the records of the Agent as a Lender at the opening of business (in the place of the Agent’s principal office as notified to the Finance Parties from time to time) as a Lender acting through its Facility Office:</w:t>
      </w:r>
    </w:p>
    <w:p>
      <w:pPr>
        <w:ind w:left="1050" w:hanging="626"/>
        <w:spacing w:after="0"/>
        <w:tabs>
          <w:tab w:leader="none" w:pos="1050"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 payment due under any Finance Document on that day as a Lender; and</w:t>
      </w:r>
    </w:p>
    <w:p>
      <w:pPr>
        <w:spacing w:after="0" w:line="106" w:lineRule="exact"/>
        <w:rPr>
          <w:rFonts w:ascii="Times New Roman" w:cs="Times New Roman" w:eastAsia="Times New Roman" w:hAnsi="Times New Roman"/>
          <w:sz w:val="18"/>
          <w:szCs w:val="18"/>
          <w:color w:val="auto"/>
        </w:rPr>
      </w:pPr>
    </w:p>
    <w:p>
      <w:pPr>
        <w:ind w:left="1050" w:right="500" w:hanging="626"/>
        <w:spacing w:after="0" w:line="270" w:lineRule="auto"/>
        <w:tabs>
          <w:tab w:leader="none" w:pos="1050" w:val="left"/>
        </w:tabs>
        <w:numPr>
          <w:ilvl w:val="1"/>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as a Lender on that day,</w:t>
      </w:r>
    </w:p>
    <w:p>
      <w:pPr>
        <w:spacing w:after="0" w:line="63" w:lineRule="exact"/>
        <w:rPr>
          <w:sz w:val="20"/>
          <w:szCs w:val="20"/>
          <w:color w:val="auto"/>
        </w:rPr>
      </w:pPr>
    </w:p>
    <w:p>
      <w:pPr>
        <w:ind w:left="430" w:right="460"/>
        <w:spacing w:after="0" w:line="270" w:lineRule="auto"/>
        <w:rPr>
          <w:sz w:val="20"/>
          <w:szCs w:val="20"/>
          <w:color w:val="auto"/>
        </w:rPr>
      </w:pPr>
      <w:r>
        <w:rPr>
          <w:rFonts w:ascii="Times New Roman" w:cs="Times New Roman" w:eastAsia="Times New Roman" w:hAnsi="Times New Roman"/>
          <w:sz w:val="18"/>
          <w:szCs w:val="18"/>
          <w:color w:val="auto"/>
        </w:rPr>
        <w:t>unless it has received not less than five (5) Business Days’ prior notice from that Lender to the contrary in accordance with the terms of this Agreement.</w:t>
      </w:r>
    </w:p>
    <w:p>
      <w:pPr>
        <w:spacing w:after="0" w:line="76" w:lineRule="exact"/>
        <w:rPr>
          <w:sz w:val="20"/>
          <w:szCs w:val="20"/>
          <w:color w:val="auto"/>
        </w:rPr>
      </w:pPr>
    </w:p>
    <w:p>
      <w:pPr>
        <w:ind w:left="430" w:right="60" w:hanging="430"/>
        <w:spacing w:after="0" w:line="250" w:lineRule="auto"/>
        <w:tabs>
          <w:tab w:leader="none" w:pos="430"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email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email address, department and officer by that Lender for the purposes of Clause 30.2 (Addresses) and the Agent shall be entitled to treat such person as the person entitled to receive all such notices, communications, information and documents as though that person were that Lender.</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26.15 Credit appraisal by the Lenders</w:t>
      </w:r>
    </w:p>
    <w:p>
      <w:pPr>
        <w:spacing w:after="0" w:line="112" w:lineRule="exact"/>
        <w:rPr>
          <w:sz w:val="20"/>
          <w:szCs w:val="20"/>
          <w:color w:val="auto"/>
        </w:rPr>
      </w:pPr>
    </w:p>
    <w:p>
      <w:pPr>
        <w:jc w:val="both"/>
        <w:ind w:left="430" w:right="120"/>
        <w:spacing w:after="0" w:line="258" w:lineRule="auto"/>
        <w:rPr>
          <w:sz w:val="20"/>
          <w:szCs w:val="20"/>
          <w:color w:val="auto"/>
        </w:rPr>
      </w:pPr>
      <w:r>
        <w:rPr>
          <w:rFonts w:ascii="Times New Roman" w:cs="Times New Roman" w:eastAsia="Times New Roman" w:hAnsi="Times New Roman"/>
          <w:sz w:val="18"/>
          <w:szCs w:val="18"/>
          <w:color w:val="auto"/>
        </w:rPr>
        <w:t>Without affecting the responsibility of an Obligor for information supplied by it or on its behalf in connection with any Finance Document, each of the Lenders confirms to each Administrative Party that it has been, and will continue to be, solely responsible for making its own independent appraisal and investigation of all risks arising under or in connection with any Finance Document including but not limited to:</w:t>
      </w:r>
    </w:p>
    <w:p>
      <w:pPr>
        <w:spacing w:after="0" w:line="86" w:lineRule="exact"/>
        <w:rPr>
          <w:sz w:val="20"/>
          <w:szCs w:val="20"/>
          <w:color w:val="auto"/>
        </w:rPr>
      </w:pPr>
    </w:p>
    <w:p>
      <w:pPr>
        <w:ind w:left="1050" w:hanging="626"/>
        <w:spacing w:after="0"/>
        <w:tabs>
          <w:tab w:leader="none" w:pos="105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the Obligors, the Group Members and their respective Affiliates;</w:t>
      </w:r>
    </w:p>
    <w:p>
      <w:pPr>
        <w:spacing w:after="0" w:line="123" w:lineRule="exact"/>
        <w:rPr>
          <w:rFonts w:ascii="Times New Roman" w:cs="Times New Roman" w:eastAsia="Times New Roman" w:hAnsi="Times New Roman"/>
          <w:sz w:val="18"/>
          <w:szCs w:val="18"/>
          <w:color w:val="auto"/>
        </w:rPr>
      </w:pPr>
    </w:p>
    <w:p>
      <w:pPr>
        <w:ind w:left="1050" w:right="320" w:hanging="626"/>
        <w:spacing w:after="0" w:line="270" w:lineRule="auto"/>
        <w:tabs>
          <w:tab w:leader="none" w:pos="105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and/or any other agreement, arrangement or document entered into, made or executed in anticipation of, under or in connection with any Finance Document;</w:t>
      </w:r>
    </w:p>
    <w:p>
      <w:pPr>
        <w:spacing w:after="0" w:line="76" w:lineRule="exact"/>
        <w:rPr>
          <w:rFonts w:ascii="Times New Roman" w:cs="Times New Roman" w:eastAsia="Times New Roman" w:hAnsi="Times New Roman"/>
          <w:sz w:val="18"/>
          <w:szCs w:val="18"/>
          <w:color w:val="auto"/>
        </w:rPr>
      </w:pPr>
    </w:p>
    <w:p>
      <w:pPr>
        <w:jc w:val="both"/>
        <w:ind w:left="1050" w:right="260" w:hanging="626"/>
        <w:spacing w:after="0" w:line="253" w:lineRule="auto"/>
        <w:tabs>
          <w:tab w:leader="none" w:pos="105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Lender has recourse, and the nature and extent of that recourse, against any party to any Finance Document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92" w:lineRule="exact"/>
        <w:rPr>
          <w:rFonts w:ascii="Times New Roman" w:cs="Times New Roman" w:eastAsia="Times New Roman" w:hAnsi="Times New Roman"/>
          <w:sz w:val="18"/>
          <w:szCs w:val="18"/>
          <w:color w:val="auto"/>
        </w:rPr>
      </w:pPr>
    </w:p>
    <w:p>
      <w:pPr>
        <w:ind w:left="1050" w:right="140" w:hanging="626"/>
        <w:spacing w:after="0" w:line="253" w:lineRule="auto"/>
        <w:tabs>
          <w:tab w:leader="none" w:pos="105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and/or completeness of any information provided by the Agent, any party to any Finance Document or by any other person under or in connection with any Finance Document, the transactions contemplated by the Finance Documents or any other agreement, arrangement or document entered into, made or executed in anticipation of, under or in connection with any Finance Document.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26.16 Deduction from amounts payable by the Agent</w:t>
      </w:r>
    </w:p>
    <w:p>
      <w:pPr>
        <w:spacing w:after="0" w:line="112" w:lineRule="exact"/>
        <w:rPr>
          <w:sz w:val="20"/>
          <w:szCs w:val="20"/>
          <w:color w:val="auto"/>
        </w:rPr>
      </w:pPr>
    </w:p>
    <w:p>
      <w:pPr>
        <w:ind w:left="430" w:right="320"/>
        <w:spacing w:after="0" w:line="253" w:lineRule="auto"/>
        <w:rPr>
          <w:sz w:val="20"/>
          <w:szCs w:val="20"/>
          <w:color w:val="auto"/>
        </w:rPr>
      </w:pPr>
      <w:r>
        <w:rPr>
          <w:rFonts w:ascii="Times New Roman" w:cs="Times New Roman" w:eastAsia="Times New Roman" w:hAnsi="Times New Roman"/>
          <w:sz w:val="18"/>
          <w:szCs w:val="18"/>
          <w:color w:val="auto"/>
        </w:rPr>
        <w:t>If any Party owes an amount to the Agent under any of the Finance Documents, the Agent may, after giving notice to such Party, deduct an amount not exceeding that amount from any payment to such Party which the Agent would otherwise be obliged to make under the Finance Documents and apply the amount deducted in or towards satisfaction of that amount owed by such Party to the Agent. For the purposes of the Finance Documents such Party shall be regarded as having received any amount so deducted.</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26.17 Money laundering</w:t>
      </w:r>
    </w:p>
    <w:p>
      <w:pPr>
        <w:spacing w:after="0" w:line="112" w:lineRule="exact"/>
        <w:rPr>
          <w:sz w:val="20"/>
          <w:szCs w:val="20"/>
          <w:color w:val="auto"/>
        </w:rPr>
      </w:pPr>
    </w:p>
    <w:p>
      <w:pPr>
        <w:jc w:val="both"/>
        <w:ind w:left="430" w:right="220"/>
        <w:spacing w:after="0" w:line="253" w:lineRule="auto"/>
        <w:rPr>
          <w:sz w:val="20"/>
          <w:szCs w:val="20"/>
          <w:color w:val="auto"/>
        </w:rPr>
      </w:pPr>
      <w:r>
        <w:rPr>
          <w:rFonts w:ascii="Times New Roman" w:cs="Times New Roman" w:eastAsia="Times New Roman" w:hAnsi="Times New Roman"/>
          <w:sz w:val="18"/>
          <w:szCs w:val="18"/>
          <w:color w:val="auto"/>
        </w:rPr>
        <w:t xml:space="preserve">Unless mandatorily required by applicable laws or regulations to which the Agent is subject, the Agent shall not be responsible to any Party for providing any certification or documents with respect to any information (except for any information in respect of itself) required for any anti-money laundering due diligence purpose. Such certificates and related documents shall be provided directly by the Obligors,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request for such information may be made through the Agent.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26.18 Agent’s Management Time</w:t>
      </w:r>
    </w:p>
    <w:p>
      <w:pPr>
        <w:spacing w:after="0" w:line="126" w:lineRule="exact"/>
        <w:rPr>
          <w:sz w:val="20"/>
          <w:szCs w:val="20"/>
          <w:color w:val="auto"/>
        </w:rPr>
      </w:pPr>
    </w:p>
    <w:p>
      <w:pPr>
        <w:ind w:left="430" w:hanging="430"/>
        <w:spacing w:after="0" w:line="253" w:lineRule="auto"/>
        <w:tabs>
          <w:tab w:leader="none" w:pos="430"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under Clause 15.3 (Indemnity to the Agent) and Clause 26.11 (Lenders’ Indemnity to the Agent) shall include the cost of utilising the management time or other resources of the Agent and will be calculated on the basis of such reasonable daily or hourly rates as the Agent may notify to the Obligors and the other Finance Parties, and is in addition to any fee paid or payable to the Agent under Clause 11 (Fees).</w:t>
      </w:r>
    </w:p>
    <w:p>
      <w:pPr>
        <w:spacing w:after="0" w:line="119"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50"/>
          </w:cols>
          <w:pgMar w:left="550" w:top="265" w:right="599" w:bottom="1440" w:gutter="0" w:footer="0" w:header="0"/>
        </w:sectPr>
      </w:pPr>
    </w:p>
    <w:bookmarkStart w:id="571" w:name="page572"/>
    <w:bookmarkEnd w:id="571"/>
    <w:p>
      <w:pPr>
        <w:ind w:left="430" w:hanging="430"/>
        <w:spacing w:after="0"/>
        <w:tabs>
          <w:tab w:leader="none" w:pos="430"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Without prejudice to paragraph (a) above, in the event of: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w:t>
      </w:r>
    </w:p>
    <w:p>
      <w:pPr>
        <w:spacing w:after="0" w:line="123" w:lineRule="exact"/>
        <w:rPr>
          <w:rFonts w:ascii="Times New Roman" w:cs="Times New Roman" w:eastAsia="Times New Roman" w:hAnsi="Times New Roman"/>
          <w:sz w:val="18"/>
          <w:szCs w:val="18"/>
          <w:color w:val="auto"/>
        </w:rPr>
      </w:pPr>
    </w:p>
    <w:p>
      <w:pPr>
        <w:ind w:left="1050" w:right="60" w:hanging="626"/>
        <w:spacing w:after="0" w:line="270" w:lineRule="auto"/>
        <w:tabs>
          <w:tab w:leader="none" w:pos="1050"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being requested by an Obligor or the Majority Lenders to undertake duties which the Agent and the Borrower agree to be of an exceptional nature or outside the scope of the normal duties of the Agent, as applicable under the Finance Documents;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 agreeing that it is otherwise appropriate in the circumstances,</w:t>
      </w:r>
    </w:p>
    <w:p>
      <w:pPr>
        <w:spacing w:after="0" w:line="110" w:lineRule="exact"/>
        <w:rPr>
          <w:sz w:val="20"/>
          <w:szCs w:val="20"/>
          <w:color w:val="auto"/>
        </w:rPr>
      </w:pPr>
    </w:p>
    <w:p>
      <w:pPr>
        <w:ind w:left="430" w:right="240"/>
        <w:spacing w:after="0" w:line="270" w:lineRule="auto"/>
        <w:rPr>
          <w:sz w:val="20"/>
          <w:szCs w:val="20"/>
          <w:color w:val="auto"/>
        </w:rPr>
      </w:pPr>
      <w:r>
        <w:rPr>
          <w:rFonts w:ascii="Times New Roman" w:cs="Times New Roman" w:eastAsia="Times New Roman" w:hAnsi="Times New Roman"/>
          <w:sz w:val="18"/>
          <w:szCs w:val="18"/>
          <w:color w:val="auto"/>
        </w:rPr>
        <w:t>the Borrower shall pay to the Agent any additional remuneration (together with any applicable VAT) that may be agreed between the Agent and the Borrower or determined pursuant to paragraph (c) below.</w:t>
      </w:r>
    </w:p>
    <w:p>
      <w:pPr>
        <w:spacing w:after="0" w:line="76" w:lineRule="exact"/>
        <w:rPr>
          <w:sz w:val="20"/>
          <w:szCs w:val="20"/>
          <w:color w:val="auto"/>
        </w:rPr>
      </w:pPr>
    </w:p>
    <w:p>
      <w:pPr>
        <w:ind w:left="430" w:right="160" w:hanging="430"/>
        <w:spacing w:after="0" w:line="250" w:lineRule="auto"/>
        <w:tabs>
          <w:tab w:leader="none" w:pos="430"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and the Borrower fail to agree upon whether such duties are of an exceptional nature or otherwise outside the scope of the normal duties of the Agent, or upon the amount of any additional remuneration referred to in paragraph (b) above or whether additional remuneration is appropriate in the circumstances, any dispute shall be determined by an investment bank (acting as an expert and not as an arbitrator) selected by the Agent and approved by the Borrower or, failing approval, nominated (on the application of the Agent) by the President for the time being of the Law Society of Hong Kong (the costs of the nomination and the fees of the investment bank being payable by the Borrower) and the determination of any investment bank shall be final and binding upon the Parties.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26.19 Reliance and Engagement Letters</w:t>
      </w:r>
    </w:p>
    <w:p>
      <w:pPr>
        <w:spacing w:after="0" w:line="112" w:lineRule="exact"/>
        <w:rPr>
          <w:sz w:val="20"/>
          <w:szCs w:val="20"/>
          <w:color w:val="auto"/>
        </w:rPr>
      </w:pPr>
    </w:p>
    <w:p>
      <w:pPr>
        <w:ind w:left="430" w:right="140"/>
        <w:spacing w:after="0" w:line="251" w:lineRule="auto"/>
        <w:rPr>
          <w:sz w:val="20"/>
          <w:szCs w:val="20"/>
          <w:color w:val="auto"/>
        </w:rPr>
      </w:pPr>
      <w:r>
        <w:rPr>
          <w:rFonts w:ascii="Times New Roman" w:cs="Times New Roman" w:eastAsia="Times New Roman" w:hAnsi="Times New Roman"/>
          <w:sz w:val="18"/>
          <w:szCs w:val="18"/>
          <w:color w:val="auto"/>
        </w:rPr>
        <w:t>Each Finance Party confirms that the Agent has authority to accept on its behalf (and ratifies the acceptance on its behalf of any letters or reports already accepted by any Administrative Party) the terms of any reliance letter or engagement letters relating to any reports or letters provided by auditors or providers of due diligence reports in connection with the Finance Documents or the transactions contemplated in the Finance Documents and to bind it in respect of the reports or letters and to sign such letters on its behalf and further confirms that it accepts the terms and qualifications set out in such letters.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26.20 SFO</w:t>
      </w:r>
    </w:p>
    <w:p>
      <w:pPr>
        <w:spacing w:after="0" w:line="112" w:lineRule="exact"/>
        <w:rPr>
          <w:sz w:val="20"/>
          <w:szCs w:val="20"/>
          <w:color w:val="auto"/>
        </w:rPr>
      </w:pPr>
    </w:p>
    <w:p>
      <w:pPr>
        <w:ind w:left="430"/>
        <w:spacing w:after="0" w:line="270" w:lineRule="auto"/>
        <w:rPr>
          <w:sz w:val="20"/>
          <w:szCs w:val="20"/>
          <w:color w:val="auto"/>
        </w:rPr>
      </w:pPr>
      <w:r>
        <w:rPr>
          <w:rFonts w:ascii="Times New Roman" w:cs="Times New Roman" w:eastAsia="Times New Roman" w:hAnsi="Times New Roman"/>
          <w:sz w:val="18"/>
          <w:szCs w:val="18"/>
          <w:color w:val="auto"/>
        </w:rPr>
        <w:t>Nothing in this Agreement shall require the Agent to carry on an activity of the kind specified by any provision of part 1 of schedule 5 of the Hong Kong Securities and Futures Ordinance (Cap 571), or to lend money to the Borrower in its capacity as the Agent.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26.21 Money held as banker</w:t>
      </w:r>
    </w:p>
    <w:p>
      <w:pPr>
        <w:spacing w:after="0" w:line="112" w:lineRule="exact"/>
        <w:rPr>
          <w:sz w:val="20"/>
          <w:szCs w:val="20"/>
          <w:color w:val="auto"/>
        </w:rPr>
      </w:pPr>
    </w:p>
    <w:p>
      <w:pPr>
        <w:ind w:left="430" w:right="320"/>
        <w:spacing w:after="0" w:line="258" w:lineRule="auto"/>
        <w:rPr>
          <w:sz w:val="20"/>
          <w:szCs w:val="20"/>
          <w:color w:val="auto"/>
        </w:rPr>
      </w:pPr>
      <w:r>
        <w:rPr>
          <w:rFonts w:ascii="Times New Roman" w:cs="Times New Roman" w:eastAsia="Times New Roman" w:hAnsi="Times New Roman"/>
          <w:sz w:val="18"/>
          <w:szCs w:val="18"/>
          <w:color w:val="auto"/>
        </w:rPr>
        <w:t>The Agent shall be entitled to deal with money paid to it by any person for the purposes of this Agreement in the same manner as other money paid to a banker by its customers except that it shall not be liable to account to any person for any interest or other amounts in respect of the money.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26.22 Abatement of fees</w:t>
      </w:r>
    </w:p>
    <w:p>
      <w:pPr>
        <w:spacing w:after="0" w:line="112" w:lineRule="exact"/>
        <w:rPr>
          <w:sz w:val="20"/>
          <w:szCs w:val="20"/>
          <w:color w:val="auto"/>
        </w:rPr>
      </w:pPr>
    </w:p>
    <w:p>
      <w:pPr>
        <w:ind w:left="430" w:right="140"/>
        <w:spacing w:after="0" w:line="258" w:lineRule="auto"/>
        <w:rPr>
          <w:sz w:val="20"/>
          <w:szCs w:val="20"/>
          <w:color w:val="auto"/>
        </w:rPr>
      </w:pPr>
      <w:r>
        <w:rPr>
          <w:rFonts w:ascii="Times New Roman" w:cs="Times New Roman" w:eastAsia="Times New Roman" w:hAnsi="Times New Roman"/>
          <w:sz w:val="18"/>
          <w:szCs w:val="18"/>
          <w:color w:val="auto"/>
        </w:rPr>
        <w:t>The fees, commissions and expenses payable to the Agent for services rendered and the performance of their obligations under this Agreement shall not be abated by any remuneration or other amounts or profits receivable by the Agent (or by any of their Affiliates) in connection with any transaction effected by the Agent with or for the Lenders or the Obligors to this Agreement.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26.23 Amounts paid in error</w:t>
      </w:r>
    </w:p>
    <w:p>
      <w:pPr>
        <w:spacing w:after="0" w:line="126" w:lineRule="exact"/>
        <w:rPr>
          <w:sz w:val="20"/>
          <w:szCs w:val="20"/>
          <w:color w:val="auto"/>
        </w:rPr>
      </w:pPr>
    </w:p>
    <w:p>
      <w:pPr>
        <w:ind w:left="430" w:right="380" w:hanging="430"/>
        <w:spacing w:after="0" w:line="280" w:lineRule="auto"/>
        <w:tabs>
          <w:tab w:leader="none" w:pos="430" w:val="left"/>
        </w:tabs>
        <w:numPr>
          <w:ilvl w:val="0"/>
          <w:numId w:val="6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pays an amount to another Party and the Agent notifies that Party that such payment was an Erroneous Payment then the Party to whom that amount was paid by the Agent shall as soon as reasonably practicable following demand refund the same to the Agent. For the avoidance of doubt, no such other Party shall be liable to the Agent for any amount of interest in respect of that Erroneous Payment.</w:t>
      </w:r>
    </w:p>
    <w:p>
      <w:pPr>
        <w:spacing w:after="0" w:line="69"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Party to the Agent; nor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 (whether arising under this Clause 26.18 or otherwise) which relate to an Erroneous Payment,</w:t>
      </w:r>
    </w:p>
    <w:p>
      <w:pPr>
        <w:spacing w:after="0" w:line="110" w:lineRule="exact"/>
        <w:rPr>
          <w:sz w:val="20"/>
          <w:szCs w:val="20"/>
          <w:color w:val="auto"/>
        </w:rPr>
      </w:pPr>
    </w:p>
    <w:p>
      <w:pPr>
        <w:ind w:left="430" w:right="180"/>
        <w:spacing w:after="0" w:line="270" w:lineRule="auto"/>
        <w:rPr>
          <w:sz w:val="20"/>
          <w:szCs w:val="20"/>
          <w:color w:val="auto"/>
        </w:rPr>
      </w:pPr>
      <w:r>
        <w:rPr>
          <w:rFonts w:ascii="Times New Roman" w:cs="Times New Roman" w:eastAsia="Times New Roman" w:hAnsi="Times New Roman"/>
          <w:sz w:val="18"/>
          <w:szCs w:val="18"/>
          <w:color w:val="auto"/>
        </w:rPr>
        <w:t>will be affected by any act, omission, matter or thing which, but for this paragraph (ii), would reduce, release or prejudice any such obligation or remedy (whether or not known by the Agent or any other Party).</w:t>
      </w:r>
    </w:p>
    <w:p>
      <w:pPr>
        <w:spacing w:after="0" w:line="76" w:lineRule="exact"/>
        <w:rPr>
          <w:sz w:val="20"/>
          <w:szCs w:val="20"/>
          <w:color w:val="auto"/>
        </w:rPr>
      </w:pPr>
    </w:p>
    <w:p>
      <w:pPr>
        <w:ind w:left="430" w:right="40" w:hanging="430"/>
        <w:spacing w:after="0" w:line="270" w:lineRule="auto"/>
        <w:tabs>
          <w:tab w:leader="none" w:pos="43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Party to the Agent (whether made pursuant to this Clause 26.18 or otherwise) which relate to an Erroneous Payment shall be calculated and be made without (and free and clear of any deduction for) set-off or counterclaim.</w:t>
      </w:r>
    </w:p>
    <w:p>
      <w:pPr>
        <w:spacing w:after="0" w:line="74" w:lineRule="exact"/>
        <w:rPr>
          <w:rFonts w:ascii="Times New Roman" w:cs="Times New Roman" w:eastAsia="Times New Roman" w:hAnsi="Times New Roman"/>
          <w:sz w:val="18"/>
          <w:szCs w:val="18"/>
          <w:color w:val="auto"/>
        </w:rPr>
      </w:pPr>
    </w:p>
    <w:p>
      <w:pPr>
        <w:ind w:left="430" w:right="340" w:hanging="430"/>
        <w:spacing w:after="0" w:line="273" w:lineRule="auto"/>
        <w:tabs>
          <w:tab w:leader="none" w:pos="430"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Agreement,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means a payment of an amount by the Agent to another Party which the Agent determines (in its sole discretion) was made in error.</w:t>
      </w:r>
    </w:p>
    <w:p>
      <w:pPr>
        <w:spacing w:after="0" w:line="1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90"/>
          </w:cols>
          <w:pgMar w:left="550" w:top="266" w:right="559" w:bottom="1440" w:gutter="0" w:footer="0" w:header="0"/>
        </w:sectPr>
      </w:pPr>
    </w:p>
    <w:bookmarkStart w:id="572" w:name="page573"/>
    <w:bookmarkEnd w:id="572"/>
    <w:p>
      <w:pPr>
        <w:ind w:left="10" w:right="6740" w:hanging="10"/>
        <w:spacing w:after="0" w:line="375" w:lineRule="auto"/>
        <w:tabs>
          <w:tab w:leader="none" w:pos="433" w:val="left"/>
        </w:tabs>
        <w:numPr>
          <w:ilvl w:val="0"/>
          <w:numId w:val="6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SHARING AMONG THE FINANCE PARTIES 27.1 Payments to Finance Parties</w:t>
      </w:r>
    </w:p>
    <w:p>
      <w:pPr>
        <w:spacing w:after="0" w:line="1" w:lineRule="exact"/>
        <w:rPr>
          <w:sz w:val="20"/>
          <w:szCs w:val="20"/>
          <w:color w:val="auto"/>
        </w:rPr>
      </w:pPr>
    </w:p>
    <w:p>
      <w:pPr>
        <w:ind w:left="430" w:right="220"/>
        <w:spacing w:after="0" w:line="259" w:lineRule="auto"/>
        <w:rPr>
          <w:sz w:val="20"/>
          <w:szCs w:val="20"/>
          <w:color w:val="auto"/>
        </w:rPr>
      </w:pPr>
      <w:r>
        <w:rPr>
          <w:rFonts w:ascii="Times New Roman" w:cs="Times New Roman" w:eastAsia="Times New Roman" w:hAnsi="Times New Roman"/>
          <w:sz w:val="18"/>
          <w:szCs w:val="18"/>
          <w:color w:val="auto"/>
        </w:rPr>
        <w:t xml:space="preserve">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xml:space="preserve">) receives or recovers (whether by set-off or otherwise) any amount from or in respect of an Obligor, other than through the Agent and in accordance with Clause 28 (Payment Mechanics), (such amount being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any of the Finance Documents then:</w:t>
      </w:r>
    </w:p>
    <w:p>
      <w:pPr>
        <w:spacing w:after="0" w:line="85" w:lineRule="exact"/>
        <w:rPr>
          <w:sz w:val="20"/>
          <w:szCs w:val="20"/>
          <w:color w:val="auto"/>
        </w:rPr>
      </w:pPr>
    </w:p>
    <w:p>
      <w:pPr>
        <w:ind w:left="1050" w:hanging="626"/>
        <w:spacing w:after="0"/>
        <w:tabs>
          <w:tab w:leader="none" w:pos="105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notify details of such receipt or recovery, to the Agent;</w:t>
      </w:r>
    </w:p>
    <w:p>
      <w:pPr>
        <w:spacing w:after="0" w:line="123" w:lineRule="exact"/>
        <w:rPr>
          <w:rFonts w:ascii="Times New Roman" w:cs="Times New Roman" w:eastAsia="Times New Roman" w:hAnsi="Times New Roman"/>
          <w:sz w:val="18"/>
          <w:szCs w:val="18"/>
          <w:color w:val="auto"/>
        </w:rPr>
      </w:pPr>
    </w:p>
    <w:p>
      <w:pPr>
        <w:ind w:left="1050" w:hanging="626"/>
        <w:spacing w:after="0" w:line="253" w:lineRule="auto"/>
        <w:tabs>
          <w:tab w:leader="none" w:pos="105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such receipt or recovery is in excess of the amount that the Recovering Finance Party would have been paid had such receipt or recovery been received or made by the Agent and distributed in accordance with Clause 28 (Payment Mechanics), without taking account of any Tax which would be imposed on the Agent in relation to such receipt, recovery or distribution; and</w:t>
      </w:r>
    </w:p>
    <w:p>
      <w:pPr>
        <w:spacing w:after="0" w:line="90" w:lineRule="exact"/>
        <w:rPr>
          <w:rFonts w:ascii="Times New Roman" w:cs="Times New Roman" w:eastAsia="Times New Roman" w:hAnsi="Times New Roman"/>
          <w:sz w:val="18"/>
          <w:szCs w:val="18"/>
          <w:color w:val="auto"/>
        </w:rPr>
      </w:pPr>
    </w:p>
    <w:p>
      <w:pPr>
        <w:ind w:left="1050" w:right="240" w:hanging="626"/>
        <w:spacing w:after="0" w:line="254" w:lineRule="auto"/>
        <w:tabs>
          <w:tab w:leader="none" w:pos="1050"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Recovering Finance Party shall, within three (3)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(by reference to such receipt or recovery) in accordance with Clause 28.6 (Partial payments).</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27.2 Redistribution of payments</w:t>
      </w:r>
    </w:p>
    <w:p>
      <w:pPr>
        <w:spacing w:after="0" w:line="112" w:lineRule="exact"/>
        <w:rPr>
          <w:sz w:val="20"/>
          <w:szCs w:val="20"/>
          <w:color w:val="auto"/>
        </w:rPr>
      </w:pPr>
    </w:p>
    <w:p>
      <w:pPr>
        <w:ind w:left="430" w:right="20"/>
        <w:spacing w:after="0" w:line="258" w:lineRule="auto"/>
        <w:rPr>
          <w:sz w:val="20"/>
          <w:szCs w:val="20"/>
          <w:color w:val="auto"/>
        </w:rPr>
      </w:pPr>
      <w:r>
        <w:rPr>
          <w:rFonts w:ascii="Times New Roman" w:cs="Times New Roman" w:eastAsia="Times New Roman" w:hAnsi="Times New Roman"/>
          <w:sz w:val="18"/>
          <w:szCs w:val="18"/>
          <w:color w:val="auto"/>
        </w:rPr>
        <w:t xml:space="preserve">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28.6 (Partial payments) towards the obligations owing to such Sharing Finance Parties.</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27.3 Recovering Finance Party’s rights</w:t>
      </w:r>
    </w:p>
    <w:p>
      <w:pPr>
        <w:spacing w:after="0" w:line="112" w:lineRule="exact"/>
        <w:rPr>
          <w:sz w:val="20"/>
          <w:szCs w:val="20"/>
          <w:color w:val="auto"/>
        </w:rPr>
      </w:pPr>
    </w:p>
    <w:p>
      <w:pPr>
        <w:ind w:left="430" w:right="40"/>
        <w:spacing w:after="0" w:line="258" w:lineRule="auto"/>
        <w:rPr>
          <w:sz w:val="20"/>
          <w:szCs w:val="20"/>
          <w:color w:val="auto"/>
        </w:rPr>
      </w:pPr>
      <w:r>
        <w:rPr>
          <w:rFonts w:ascii="Times New Roman" w:cs="Times New Roman" w:eastAsia="Times New Roman" w:hAnsi="Times New Roman"/>
          <w:sz w:val="18"/>
          <w:szCs w:val="18"/>
          <w:color w:val="auto"/>
        </w:rPr>
        <w:t>On a distribution by the Agent under Clause 27.2 (Redistribution of payments), as between an Obligor and the Recovering Finance Party, an amount of such Recovered Amount equal to such Sharing Payment shall be treated as not having been paid by that Obligor (and that Obligor shall be liable to the Recovering Finance Party for a debt equal to such Sharing Payment, which debt is immediately due and payable).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27.4 Reversal of redistribution</w:t>
      </w:r>
    </w:p>
    <w:p>
      <w:pPr>
        <w:spacing w:after="0" w:line="112" w:lineRule="exact"/>
        <w:rPr>
          <w:sz w:val="20"/>
          <w:szCs w:val="20"/>
          <w:color w:val="auto"/>
        </w:rPr>
      </w:pPr>
    </w:p>
    <w:p>
      <w:pPr>
        <w:ind w:left="430" w:right="60"/>
        <w:spacing w:after="0" w:line="270" w:lineRule="auto"/>
        <w:rPr>
          <w:sz w:val="20"/>
          <w:szCs w:val="20"/>
          <w:color w:val="auto"/>
        </w:rPr>
      </w:pPr>
      <w:r>
        <w:rPr>
          <w:rFonts w:ascii="Times New Roman" w:cs="Times New Roman" w:eastAsia="Times New Roman" w:hAnsi="Times New Roman"/>
          <w:sz w:val="18"/>
          <w:szCs w:val="18"/>
          <w:color w:val="auto"/>
        </w:rPr>
        <w:t>To the extent that any part of such Recovered Amount received or recovered by a Recovering Finance Party (which Recovered Amount gives rise to any Sharing Payment) becomes repayable and is repaid by that Recovering Finance Party, then:</w:t>
      </w:r>
    </w:p>
    <w:p>
      <w:pPr>
        <w:spacing w:after="0" w:line="76" w:lineRule="exact"/>
        <w:rPr>
          <w:sz w:val="20"/>
          <w:szCs w:val="20"/>
          <w:color w:val="auto"/>
        </w:rPr>
      </w:pPr>
    </w:p>
    <w:p>
      <w:pPr>
        <w:ind w:left="1050" w:right="80" w:hanging="626"/>
        <w:spacing w:after="0" w:line="250" w:lineRule="auto"/>
        <w:tabs>
          <w:tab w:leader="none" w:pos="105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Sharing Finance Party shall, upon request of the Agent, pay to the Agent for account of that Recovering Finance Party an amount equal to (i) the appropriate part of its share of such Sharing Payment (that is attributable to such Recovered Amount so repayable and repaid by such Recovering Finance Party) together with (ii) an amount as is necessary to reimburse that Recovering Finance Party for its proportion of any interest on such part of such Sharing Payment (or on such part of such Recovered Amount to which such Sharing Payment is attributable) which that Recovering Finance Party is required to pay ((i) and (ii) being collectively the </w:t>
      </w:r>
      <w:r>
        <w:rPr>
          <w:rFonts w:ascii="Times New Roman" w:cs="Times New Roman" w:eastAsia="Times New Roman" w:hAnsi="Times New Roman"/>
          <w:sz w:val="18"/>
          <w:szCs w:val="18"/>
          <w:b w:val="1"/>
          <w:bCs w:val="1"/>
          <w:color w:val="auto"/>
        </w:rPr>
        <w:t>Redistributed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jc w:val="both"/>
        <w:ind w:left="1050" w:right="260" w:hanging="626"/>
        <w:spacing w:after="0" w:line="258" w:lineRule="auto"/>
        <w:tabs>
          <w:tab w:leader="none" w:pos="1050"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an Obligor and each relevant Sharing Finance Party, an amount equal to such Redistributed Amount shall be treated as not having been paid by that Obligor (and that Obligor shall be liable to such Sharing Finance Party for a debt equal to such Redistributed Amount, which debt is immediately due and payable).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27.5 Exceptions</w:t>
      </w:r>
    </w:p>
    <w:p>
      <w:pPr>
        <w:spacing w:after="0" w:line="126" w:lineRule="exact"/>
        <w:rPr>
          <w:sz w:val="20"/>
          <w:szCs w:val="20"/>
          <w:color w:val="auto"/>
        </w:rPr>
      </w:pPr>
    </w:p>
    <w:p>
      <w:pPr>
        <w:ind w:left="430" w:right="100" w:hanging="430"/>
        <w:spacing w:after="0" w:line="270" w:lineRule="auto"/>
        <w:tabs>
          <w:tab w:leader="none" w:pos="43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27 shall not apply to the extent that the Recovering Finance Party would not, after making any payment pursuant to this Clause, have a valid and enforceable claim against an Obligor.</w:t>
      </w:r>
    </w:p>
    <w:p>
      <w:pPr>
        <w:spacing w:after="0" w:line="76"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that Recovering Finance Party has received or recovered as a result of taking legal or arbitration proceedings, if: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that other Finance Party of those legal or arbitration proceedings; and</w:t>
      </w:r>
    </w:p>
    <w:p>
      <w:pPr>
        <w:spacing w:after="0" w:line="123"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70"/>
          </w:cols>
          <w:pgMar w:left="550" w:top="264" w:right="579" w:bottom="1440" w:gutter="0" w:footer="0" w:header="0"/>
        </w:sectPr>
      </w:pPr>
    </w:p>
    <w:bookmarkStart w:id="573" w:name="page574"/>
    <w:bookmarkEnd w:id="573"/>
    <w:p>
      <w:pPr>
        <w:ind w:left="10" w:right="8340" w:hanging="10"/>
        <w:spacing w:after="0" w:line="406" w:lineRule="auto"/>
        <w:tabs>
          <w:tab w:leader="none" w:pos="433" w:val="left"/>
        </w:tabs>
        <w:numPr>
          <w:ilvl w:val="0"/>
          <w:numId w:val="6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PAYMENT MECHANICS 28.1 Payments to the Agent</w:t>
      </w:r>
    </w:p>
    <w:p>
      <w:pPr>
        <w:spacing w:after="0" w:line="2" w:lineRule="exact"/>
        <w:rPr>
          <w:sz w:val="20"/>
          <w:szCs w:val="20"/>
          <w:color w:val="auto"/>
        </w:rPr>
      </w:pPr>
    </w:p>
    <w:p>
      <w:pPr>
        <w:jc w:val="both"/>
        <w:ind w:left="430" w:right="100" w:hanging="430"/>
        <w:spacing w:after="0" w:line="253" w:lineRule="auto"/>
        <w:tabs>
          <w:tab w:leader="none" w:pos="43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or that Lender (as the case may be) shall make the same available to the Agent (unless a contrary indication appears in a Finance Document) for value on the due date at the time and in such funds specified by the Agent as being customary at the time for settlement (in place of settlement) of transactions in the relevant currency in the place of payment.</w:t>
      </w:r>
    </w:p>
    <w:p>
      <w:pPr>
        <w:spacing w:after="0" w:line="92" w:lineRule="exact"/>
        <w:rPr>
          <w:rFonts w:ascii="Times New Roman" w:cs="Times New Roman" w:eastAsia="Times New Roman" w:hAnsi="Times New Roman"/>
          <w:sz w:val="18"/>
          <w:szCs w:val="18"/>
          <w:color w:val="auto"/>
        </w:rPr>
      </w:pPr>
    </w:p>
    <w:p>
      <w:pPr>
        <w:ind w:left="430" w:right="420" w:hanging="430"/>
        <w:spacing w:after="0" w:line="270" w:lineRule="auto"/>
        <w:tabs>
          <w:tab w:leader="none" w:pos="430"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the currency of such payment with such bank as the Agent specifies.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of any amount made by an Obligor to the Agent in accordance with any Finance Document (including without limitation paragraph</w:t>
      </w:r>
    </w:p>
    <w:p>
      <w:pPr>
        <w:spacing w:after="0" w:line="33" w:lineRule="exact"/>
        <w:rPr>
          <w:rFonts w:ascii="Times New Roman" w:cs="Times New Roman" w:eastAsia="Times New Roman" w:hAnsi="Times New Roman"/>
          <w:sz w:val="17"/>
          <w:szCs w:val="17"/>
          <w:color w:val="auto"/>
        </w:rPr>
      </w:pPr>
    </w:p>
    <w:p>
      <w:pPr>
        <w:ind w:left="430" w:right="16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above) is made to the Agent for and on behalf of each Finance Party to whom such amount is owing. The payment of any such amount to the Agent shall not in any way affect or prejudice the separate and independent nature of the debt owing to each such Finance Party, which may be enforced individually by each such Finance Party in the event that all or part of such debt remains unpaid when due.</w:t>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28.2 Distributions by the Agent</w:t>
      </w:r>
    </w:p>
    <w:p>
      <w:pPr>
        <w:spacing w:after="0" w:line="126" w:lineRule="exact"/>
        <w:rPr>
          <w:sz w:val="20"/>
          <w:szCs w:val="20"/>
          <w:color w:val="auto"/>
        </w:rPr>
      </w:pPr>
    </w:p>
    <w:p>
      <w:pPr>
        <w:ind w:left="430" w:right="120" w:hanging="430"/>
        <w:spacing w:after="0" w:line="265" w:lineRule="auto"/>
        <w:tabs>
          <w:tab w:leader="none" w:pos="430" w:val="left"/>
        </w:tabs>
        <w:numPr>
          <w:ilvl w:val="0"/>
          <w:numId w:val="6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received or recovered by the Agent under any Finance Documents for another Party shall, subject to Clause 28.3 (Distributions to the ), Clause 28.4 (Clawback), Clause 28.6 (Partial payments) and Clause 26.16 (Deduction from amounts payable by the Agent), be made available by the Agent as soon as practicable after receipt or recovery to the Party entitled to receive payment in accordance with this Agreement (in the case of a Lender, for the account of its Facility Office), to such account as that Party may notify to the Agent by not less than five</w:t>
      </w: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Business Days’ notice with a bank in the principal financial centre of the country of the currency of such payment.</w:t>
      </w:r>
    </w:p>
    <w:p>
      <w:pPr>
        <w:spacing w:after="0" w:line="106" w:lineRule="exact"/>
        <w:rPr>
          <w:rFonts w:ascii="Times New Roman" w:cs="Times New Roman" w:eastAsia="Times New Roman" w:hAnsi="Times New Roman"/>
          <w:sz w:val="17"/>
          <w:szCs w:val="17"/>
          <w:color w:val="auto"/>
        </w:rPr>
      </w:pPr>
    </w:p>
    <w:p>
      <w:pPr>
        <w:ind w:left="430" w:right="20" w:hanging="430"/>
        <w:spacing w:after="0" w:line="253" w:lineRule="auto"/>
        <w:tabs>
          <w:tab w:leader="none" w:pos="430"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distribute payments received or recovered by it in relation to all or any part of a Loan to the applicable Lender(s) indicated in the records of the Agent as being so entitled on the applicable date,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Agent is authorised to distribute payments to be made on the date on which any assignment or transfer becomes effective pursuant to Clause 23 (Changes to the Lenders) to the applicable Lender(s) so entitled immediately before such assignment or transfer took place regardless of the period to which such payments relate.</w:t>
      </w:r>
    </w:p>
    <w:p>
      <w:pPr>
        <w:spacing w:after="0" w:line="92"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under any obligation to make payment to any Finance Party on account of any amount owing by an Obligor to such Finance Party in the same currency as that in which such latter-mentioned amount is denominated.</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28.3 Distributions to the Obligors</w:t>
      </w:r>
    </w:p>
    <w:p>
      <w:pPr>
        <w:spacing w:after="0" w:line="112" w:lineRule="exact"/>
        <w:rPr>
          <w:sz w:val="20"/>
          <w:szCs w:val="20"/>
          <w:color w:val="auto"/>
        </w:rPr>
      </w:pPr>
    </w:p>
    <w:p>
      <w:pPr>
        <w:ind w:left="430" w:right="140"/>
        <w:spacing w:after="0" w:line="258" w:lineRule="auto"/>
        <w:rPr>
          <w:sz w:val="20"/>
          <w:szCs w:val="20"/>
          <w:color w:val="auto"/>
        </w:rPr>
      </w:pPr>
      <w:r>
        <w:rPr>
          <w:rFonts w:ascii="Times New Roman" w:cs="Times New Roman" w:eastAsia="Times New Roman" w:hAnsi="Times New Roman"/>
          <w:sz w:val="18"/>
          <w:szCs w:val="18"/>
          <w:color w:val="auto"/>
        </w:rPr>
        <w:t>The Agent may (with the consent of the relevant Obligor or in accordance with Clause 29 (Set-Off)) apply any amount received by it for the an Obligor in or towards payment (on the date and in the currency and funds of receipt) of any amount due from that Obligor under any or all of the Finance Documents or in or towards purchase of any amount of any currency to be so applied.</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28.4 Clawback</w:t>
      </w:r>
    </w:p>
    <w:p>
      <w:pPr>
        <w:spacing w:after="0" w:line="126" w:lineRule="exact"/>
        <w:rPr>
          <w:sz w:val="20"/>
          <w:szCs w:val="20"/>
          <w:color w:val="auto"/>
        </w:rPr>
      </w:pPr>
    </w:p>
    <w:p>
      <w:pPr>
        <w:jc w:val="both"/>
        <w:ind w:left="430" w:hanging="430"/>
        <w:spacing w:after="0" w:line="300" w:lineRule="auto"/>
        <w:tabs>
          <w:tab w:leader="none" w:pos="430" w:val="left"/>
        </w:tabs>
        <w:numPr>
          <w:ilvl w:val="0"/>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53" w:lineRule="exact"/>
        <w:rPr>
          <w:rFonts w:ascii="Times New Roman" w:cs="Times New Roman" w:eastAsia="Times New Roman" w:hAnsi="Times New Roman"/>
          <w:sz w:val="17"/>
          <w:szCs w:val="17"/>
          <w:color w:val="auto"/>
        </w:rPr>
      </w:pPr>
    </w:p>
    <w:p>
      <w:pPr>
        <w:ind w:left="430" w:hanging="430"/>
        <w:spacing w:after="0" w:line="253" w:lineRule="auto"/>
        <w:tabs>
          <w:tab w:leader="none" w:pos="43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28.5 Impaired Agent</w:t>
      </w:r>
    </w:p>
    <w:p>
      <w:pPr>
        <w:spacing w:after="0" w:line="126" w:lineRule="exact"/>
        <w:rPr>
          <w:sz w:val="20"/>
          <w:szCs w:val="20"/>
          <w:color w:val="auto"/>
        </w:rPr>
      </w:pPr>
    </w:p>
    <w:p>
      <w:pPr>
        <w:ind w:left="430" w:right="400" w:hanging="430"/>
        <w:spacing w:after="0" w:line="300" w:lineRule="auto"/>
        <w:tabs>
          <w:tab w:leader="none" w:pos="430" w:val="left"/>
        </w:tabs>
        <w:numPr>
          <w:ilvl w:val="0"/>
          <w:numId w:val="6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Agent becomes an Impaired Agent, an Obligor or a Lender which is required to make a payment under any of the Finance Documents to the Agent for the account of any person in accordance with Clause 28.1 (Payments to the Agent) may instead either:</w:t>
      </w:r>
    </w:p>
    <w:p>
      <w:pPr>
        <w:spacing w:after="0" w:line="53"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such person; or</w:t>
      </w:r>
    </w:p>
    <w:p>
      <w:pPr>
        <w:spacing w:after="0" w:line="123" w:lineRule="exact"/>
        <w:rPr>
          <w:rFonts w:ascii="Times New Roman" w:cs="Times New Roman" w:eastAsia="Times New Roman" w:hAnsi="Times New Roman"/>
          <w:sz w:val="18"/>
          <w:szCs w:val="18"/>
          <w:color w:val="auto"/>
        </w:rPr>
      </w:pPr>
    </w:p>
    <w:p>
      <w:pPr>
        <w:ind w:left="1050" w:right="40" w:hanging="626"/>
        <w:spacing w:after="0" w:line="251" w:lineRule="auto"/>
        <w:tabs>
          <w:tab w:leader="none" w:pos="1050" w:val="left"/>
        </w:tabs>
        <w:numPr>
          <w:ilvl w:val="1"/>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its absolute discretion it considers that it is not reasonably practicable to pay that amount direct to such person) pay that amount (or the applicable part thereof payable to such person) to an interest-bearing account held with an Acceptable Bank and in relation to which no Insolvency Event has occurred and is continuing, in the name of the Borrower or the Lender making that payment (the </w:t>
      </w:r>
      <w:r>
        <w:rPr>
          <w:rFonts w:ascii="Times New Roman" w:cs="Times New Roman" w:eastAsia="Times New Roman" w:hAnsi="Times New Roman"/>
          <w:sz w:val="18"/>
          <w:szCs w:val="18"/>
          <w:b w:val="1"/>
          <w:bCs w:val="1"/>
          <w:color w:val="auto"/>
        </w:rPr>
        <w:t>Paying Party</w:t>
      </w:r>
      <w:r>
        <w:rPr>
          <w:rFonts w:ascii="Times New Roman" w:cs="Times New Roman" w:eastAsia="Times New Roman" w:hAnsi="Times New Roman"/>
          <w:sz w:val="18"/>
          <w:szCs w:val="18"/>
          <w:color w:val="auto"/>
        </w:rPr>
        <w:t xml:space="preserve">) and designated as a trust account for the benefit of the Party or Parties beneficially entitled to that payment under the Finance Documents (the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70"/>
          </w:cols>
          <w:pgMar w:left="550" w:top="264" w:right="579" w:bottom="1440" w:gutter="0" w:footer="0" w:header="0"/>
        </w:sectPr>
      </w:pPr>
    </w:p>
    <w:bookmarkStart w:id="574" w:name="page575"/>
    <w:bookmarkEnd w:id="574"/>
    <w:p>
      <w:pPr>
        <w:ind w:left="430" w:right="3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and in each case such payments must be made on the due date for payment under the Finance Documents. </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xml:space="preserve"> means a bank or financial institution which has a rating for its long-term unsecured and non credit-enhanced debt obligations of BBB or higher by Standard &amp; Poor’s Rating Services or Fitch Ratings Ltd or Baa2 or higher by Moody’s Investor Services Limited or a comparable rating from an internationally recognised credit rating agency.</w:t>
      </w:r>
    </w:p>
    <w:p>
      <w:pPr>
        <w:spacing w:after="0" w:line="91" w:lineRule="exact"/>
        <w:rPr>
          <w:sz w:val="20"/>
          <w:szCs w:val="20"/>
          <w:color w:val="auto"/>
        </w:rPr>
      </w:pPr>
    </w:p>
    <w:p>
      <w:pPr>
        <w:ind w:left="430" w:right="260" w:hanging="430"/>
        <w:spacing w:after="0" w:line="270" w:lineRule="auto"/>
        <w:tabs>
          <w:tab w:leader="none" w:pos="43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any amount standing to the credit of that trust account shall be for the benefit of the Recipient Party or Recipient Parties pro rata to their respective entitlements to such amount.</w:t>
      </w:r>
    </w:p>
    <w:p>
      <w:pPr>
        <w:spacing w:after="0" w:line="76" w:lineRule="exact"/>
        <w:rPr>
          <w:rFonts w:ascii="Times New Roman" w:cs="Times New Roman" w:eastAsia="Times New Roman" w:hAnsi="Times New Roman"/>
          <w:sz w:val="18"/>
          <w:szCs w:val="18"/>
          <w:color w:val="auto"/>
        </w:rPr>
      </w:pPr>
    </w:p>
    <w:p>
      <w:pPr>
        <w:ind w:left="430" w:right="240" w:hanging="430"/>
        <w:spacing w:after="0" w:line="300" w:lineRule="auto"/>
        <w:tabs>
          <w:tab w:leader="none" w:pos="430" w:val="left"/>
        </w:tabs>
        <w:numPr>
          <w:ilvl w:val="0"/>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Party which has made a payment in accordance with this Clause 28.5 shall be discharged of the applicable obligations to make such payment under the Finance Documents and shall not take any credit risk with respect to the amounts standing to the credit of that trust account.</w:t>
      </w:r>
    </w:p>
    <w:p>
      <w:pPr>
        <w:spacing w:after="0" w:line="53" w:lineRule="exact"/>
        <w:rPr>
          <w:rFonts w:ascii="Times New Roman" w:cs="Times New Roman" w:eastAsia="Times New Roman" w:hAnsi="Times New Roman"/>
          <w:sz w:val="17"/>
          <w:szCs w:val="17"/>
          <w:color w:val="auto"/>
        </w:rPr>
      </w:pPr>
    </w:p>
    <w:p>
      <w:pPr>
        <w:ind w:left="430" w:hanging="430"/>
        <w:spacing w:after="0" w:line="253" w:lineRule="auto"/>
        <w:tabs>
          <w:tab w:leader="none" w:pos="43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each Paying Party which has made a payment to a trust account in accordance with this Clause 28.5 (other than to the extent that such Paying Party has given an instruction pursuant to paragraph (e) below with respect to such trust account) shall give all requisite instructions to the bank with whom that trust account is held to transfer the amount of such payment (together with any accrued interest thereon) to the successor Agent for distribution in accordance with Clause 28.2 (Distributions by the Agent).</w:t>
      </w:r>
    </w:p>
    <w:p>
      <w:pPr>
        <w:spacing w:after="0" w:line="92" w:lineRule="exact"/>
        <w:rPr>
          <w:rFonts w:ascii="Times New Roman" w:cs="Times New Roman" w:eastAsia="Times New Roman" w:hAnsi="Times New Roman"/>
          <w:sz w:val="18"/>
          <w:szCs w:val="18"/>
          <w:color w:val="auto"/>
        </w:rPr>
      </w:pPr>
    </w:p>
    <w:p>
      <w:pPr>
        <w:ind w:left="430" w:right="320" w:hanging="430"/>
        <w:spacing w:after="0" w:line="270" w:lineRule="auto"/>
        <w:tabs>
          <w:tab w:leader="none" w:pos="430" w:val="left"/>
        </w:tabs>
        <w:numPr>
          <w:ilvl w:val="0"/>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Paying Party which has made a payment to a trust account (on account of any amount payable by such Paying Party to a Recipient Party) in accordance with this Clause 28.5 shall, promptly upon request by that Recipient Party and to the extent:</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(with respect to such trust account);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w:t>
      </w:r>
    </w:p>
    <w:p>
      <w:pPr>
        <w:spacing w:after="0" w:line="110" w:lineRule="exact"/>
        <w:rPr>
          <w:sz w:val="20"/>
          <w:szCs w:val="20"/>
          <w:color w:val="auto"/>
        </w:rPr>
      </w:pPr>
    </w:p>
    <w:p>
      <w:pPr>
        <w:ind w:left="430" w:right="340"/>
        <w:spacing w:after="0" w:line="270" w:lineRule="auto"/>
        <w:rPr>
          <w:sz w:val="20"/>
          <w:szCs w:val="20"/>
          <w:color w:val="auto"/>
        </w:rPr>
      </w:pPr>
      <w:r>
        <w:rPr>
          <w:rFonts w:ascii="Times New Roman" w:cs="Times New Roman" w:eastAsia="Times New Roman" w:hAnsi="Times New Roman"/>
          <w:sz w:val="18"/>
          <w:szCs w:val="18"/>
          <w:color w:val="auto"/>
        </w:rPr>
        <w:t>give all requisite instructions to the bank with whom such trust account is held to transfer such amount (so paid into and held in such account) together with any accrued interest thereon to that Recipient Party.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28.6 Partial payments</w:t>
      </w:r>
    </w:p>
    <w:p>
      <w:pPr>
        <w:spacing w:after="0" w:line="126" w:lineRule="exact"/>
        <w:rPr>
          <w:sz w:val="20"/>
          <w:szCs w:val="20"/>
          <w:color w:val="auto"/>
        </w:rPr>
      </w:pPr>
    </w:p>
    <w:p>
      <w:pPr>
        <w:ind w:left="430" w:right="80" w:hanging="430"/>
        <w:spacing w:after="0" w:line="258" w:lineRule="auto"/>
        <w:tabs>
          <w:tab w:leader="none" w:pos="43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or recovers an amount from or in respect of an Obligor under or in connection with any Finance Document which amount is insufficient to, or is not applied to, discharge all the amounts then due and payable by the Borrower under the Finance Documents, such amount shall be applied towards the obligations of that Obligor under the Finance Documents, in the following order:</w:t>
      </w:r>
    </w:p>
    <w:p>
      <w:pPr>
        <w:spacing w:after="0" w:line="85" w:lineRule="exact"/>
        <w:rPr>
          <w:rFonts w:ascii="Times New Roman" w:cs="Times New Roman" w:eastAsia="Times New Roman" w:hAnsi="Times New Roman"/>
          <w:sz w:val="18"/>
          <w:szCs w:val="18"/>
          <w:color w:val="auto"/>
        </w:rPr>
      </w:pPr>
    </w:p>
    <w:p>
      <w:pPr>
        <w:ind w:left="1050" w:right="60" w:hanging="626"/>
        <w:spacing w:after="0" w:line="270" w:lineRule="auto"/>
        <w:tabs>
          <w:tab w:leader="none" w:pos="105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pro rata of any unpaid fees, costs and expenses of, and other amounts owing to, any Administrative Party (in each case for its own account) under the Finance Documents;</w:t>
      </w:r>
    </w:p>
    <w:p>
      <w:pPr>
        <w:spacing w:after="0" w:line="76" w:lineRule="exact"/>
        <w:rPr>
          <w:rFonts w:ascii="Times New Roman" w:cs="Times New Roman" w:eastAsia="Times New Roman" w:hAnsi="Times New Roman"/>
          <w:sz w:val="18"/>
          <w:szCs w:val="18"/>
          <w:color w:val="auto"/>
        </w:rPr>
      </w:pPr>
    </w:p>
    <w:p>
      <w:pPr>
        <w:ind w:left="1050" w:right="280" w:hanging="626"/>
        <w:spacing w:after="0" w:line="270" w:lineRule="auto"/>
        <w:tabs>
          <w:tab w:leader="none" w:pos="105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pro rata of any accrued interest, fee (other than as provided in paragraph (a)(i) above) or commission due to any or all of the Finance Parties but unpaid under the Finance Documents;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pro rata of any principal due but unpaid under this Agreement; and</w:t>
      </w:r>
    </w:p>
    <w:p>
      <w:pPr>
        <w:spacing w:after="0" w:line="123" w:lineRule="exact"/>
        <w:rPr>
          <w:rFonts w:ascii="Times New Roman" w:cs="Times New Roman" w:eastAsia="Times New Roman" w:hAnsi="Times New Roman"/>
          <w:sz w:val="18"/>
          <w:szCs w:val="18"/>
          <w:color w:val="auto"/>
        </w:rPr>
      </w:pPr>
    </w:p>
    <w:p>
      <w:pPr>
        <w:ind w:left="1050" w:right="800" w:hanging="626"/>
        <w:spacing w:after="0" w:line="270" w:lineRule="auto"/>
        <w:tabs>
          <w:tab w:leader="none" w:pos="1050"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pro rata of any other sum due to any or all of the Finance Parties but unpaid under the Finance Documents.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Majority Lenders, vary the order set out in paragraphs (a)(ii) to (iv) above.</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Paragraphs (a) and (b) above will override any appropriation made by any Obligor.</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28.7 No set-off by the Obligors</w:t>
      </w:r>
    </w:p>
    <w:p>
      <w:pPr>
        <w:spacing w:after="0" w:line="112" w:lineRule="exact"/>
        <w:rPr>
          <w:sz w:val="20"/>
          <w:szCs w:val="20"/>
          <w:color w:val="auto"/>
        </w:rPr>
      </w:pPr>
    </w:p>
    <w:p>
      <w:pPr>
        <w:ind w:left="430" w:right="80"/>
        <w:spacing w:after="0" w:line="270" w:lineRule="auto"/>
        <w:rPr>
          <w:sz w:val="20"/>
          <w:szCs w:val="20"/>
          <w:color w:val="auto"/>
        </w:rPr>
      </w:pPr>
      <w:r>
        <w:rPr>
          <w:rFonts w:ascii="Times New Roman" w:cs="Times New Roman" w:eastAsia="Times New Roman" w:hAnsi="Times New Roman"/>
          <w:sz w:val="18"/>
          <w:szCs w:val="18"/>
          <w:color w:val="auto"/>
        </w:rPr>
        <w:t>All payments to be made by an Obligor under any or all of the Finance Documents shall be calculated and be made without (and free and clear of any deduction for) set-off or counterclaim.</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28.8 Business Days</w:t>
      </w:r>
    </w:p>
    <w:p>
      <w:pPr>
        <w:spacing w:after="0" w:line="126" w:lineRule="exact"/>
        <w:rPr>
          <w:sz w:val="20"/>
          <w:szCs w:val="20"/>
          <w:color w:val="auto"/>
        </w:rPr>
      </w:pPr>
    </w:p>
    <w:p>
      <w:pPr>
        <w:ind w:left="430" w:right="160" w:hanging="430"/>
        <w:spacing w:after="0" w:line="270" w:lineRule="auto"/>
        <w:tabs>
          <w:tab w:leader="none" w:pos="43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due to be made under a Finance Document on a day that is not a Business Day shall be made on the next Business Day in the same calendar month (if there is one) or the preceding Business Day (if there is not).</w:t>
      </w:r>
    </w:p>
    <w:p>
      <w:pPr>
        <w:spacing w:after="0" w:line="76" w:lineRule="exact"/>
        <w:rPr>
          <w:rFonts w:ascii="Times New Roman" w:cs="Times New Roman" w:eastAsia="Times New Roman" w:hAnsi="Times New Roman"/>
          <w:sz w:val="18"/>
          <w:szCs w:val="18"/>
          <w:color w:val="auto"/>
        </w:rPr>
      </w:pPr>
    </w:p>
    <w:p>
      <w:pPr>
        <w:ind w:left="430" w:right="340" w:hanging="430"/>
        <w:spacing w:after="0" w:line="270" w:lineRule="auto"/>
        <w:tabs>
          <w:tab w:leader="none" w:pos="430"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pursuant to paragraph (a) above, interest is payable on such principal or Unpaid Sum at the rate applicable on the original due date.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28.9 Currency of account</w:t>
      </w:r>
    </w:p>
    <w:p>
      <w:pPr>
        <w:spacing w:after="0" w:line="126" w:lineRule="exact"/>
        <w:rPr>
          <w:sz w:val="20"/>
          <w:szCs w:val="20"/>
          <w:color w:val="auto"/>
        </w:rPr>
      </w:pPr>
    </w:p>
    <w:p>
      <w:pPr>
        <w:ind w:left="430" w:hanging="430"/>
        <w:spacing w:after="0"/>
        <w:tabs>
          <w:tab w:leader="none" w:pos="430" w:val="left"/>
        </w:tabs>
        <w:numPr>
          <w:ilvl w:val="0"/>
          <w:numId w:val="6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paragraphs (b) to (c) below, euro is the currency of account and payment for any sum from an Obligor under any Finance Document.</w:t>
      </w:r>
    </w:p>
    <w:p>
      <w:pPr>
        <w:spacing w:after="0" w:line="161" w:lineRule="exact"/>
        <w:rPr>
          <w:rFonts w:ascii="Times New Roman" w:cs="Times New Roman" w:eastAsia="Times New Roman" w:hAnsi="Times New Roman"/>
          <w:sz w:val="17"/>
          <w:szCs w:val="17"/>
          <w:color w:val="auto"/>
        </w:rPr>
      </w:pPr>
    </w:p>
    <w:p>
      <w:pPr>
        <w:ind w:left="531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52</w:t>
      </w:r>
    </w:p>
    <w:p>
      <w:pPr>
        <w:sectPr>
          <w:pgSz w:w="11900" w:h="16838" w:orient="portrait"/>
          <w:cols w:equalWidth="0" w:num="1">
            <w:col w:w="10770"/>
          </w:cols>
          <w:pgMar w:left="550" w:top="264" w:right="579" w:bottom="1440" w:gutter="0" w:footer="0" w:header="0"/>
        </w:sectPr>
      </w:pPr>
    </w:p>
    <w:bookmarkStart w:id="575" w:name="page576"/>
    <w:bookmarkEnd w:id="575"/>
    <w:p>
      <w:pPr>
        <w:ind w:left="430" w:hanging="430"/>
        <w:spacing w:after="0"/>
        <w:tabs>
          <w:tab w:leader="none" w:pos="43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683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6">
                      <a:extLst>
                        <a:ext uri="{28A0092B-C50C-407E-A947-70E740481C1C}"/>
                      </a:extLst>
                    </a:blip>
                    <a:srcRect/>
                    <a:stretch>
                      <a:fillRect/>
                    </a:stretch>
                  </pic:blipFill>
                  <pic:spPr bwMode="auto">
                    <a:xfrm>
                      <a:off x="0" y="0"/>
                      <a:ext cx="7177405" cy="36830"/>
                    </a:xfrm>
                    <a:prstGeom prst="rect">
                      <a:avLst/>
                    </a:prstGeom>
                    <a:noFill/>
                  </pic:spPr>
                </pic:pic>
              </a:graphicData>
            </a:graphic>
          </wp:anchor>
        </w:drawing>
        <w:t>Each payment in respect of costs, expenses or Taxes shall be made in the currency in which such costs, expenses or Taxes are incurred.</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euro shall be paid in that other currency.</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28.10 Change of currency</w:t>
      </w:r>
    </w:p>
    <w:p>
      <w:pPr>
        <w:spacing w:after="0" w:line="126" w:lineRule="exact"/>
        <w:rPr>
          <w:sz w:val="20"/>
          <w:szCs w:val="20"/>
          <w:color w:val="auto"/>
        </w:rPr>
      </w:pPr>
    </w:p>
    <w:p>
      <w:pPr>
        <w:ind w:left="430" w:right="60" w:hanging="430"/>
        <w:spacing w:after="0" w:line="270" w:lineRule="auto"/>
        <w:tabs>
          <w:tab w:leader="none" w:pos="43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76" w:lineRule="exact"/>
        <w:rPr>
          <w:rFonts w:ascii="Times New Roman" w:cs="Times New Roman" w:eastAsia="Times New Roman" w:hAnsi="Times New Roman"/>
          <w:sz w:val="18"/>
          <w:szCs w:val="18"/>
          <w:color w:val="auto"/>
        </w:rPr>
      </w:pPr>
    </w:p>
    <w:p>
      <w:pPr>
        <w:ind w:left="1050" w:right="320" w:hanging="626"/>
        <w:spacing w:after="0" w:line="258" w:lineRule="auto"/>
        <w:tabs>
          <w:tab w:leader="none" w:pos="1050"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5"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1"/>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76" w:lineRule="exact"/>
        <w:rPr>
          <w:rFonts w:ascii="Times New Roman" w:cs="Times New Roman" w:eastAsia="Times New Roman" w:hAnsi="Times New Roman"/>
          <w:sz w:val="18"/>
          <w:szCs w:val="18"/>
          <w:color w:val="auto"/>
        </w:rPr>
      </w:pPr>
    </w:p>
    <w:p>
      <w:pPr>
        <w:ind w:left="430" w:right="140" w:hanging="430"/>
        <w:spacing w:after="0" w:line="258" w:lineRule="auto"/>
        <w:tabs>
          <w:tab w:leader="none" w:pos="430"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28.11 Disruption to payment systems etc.</w:t>
      </w:r>
    </w:p>
    <w:p>
      <w:pPr>
        <w:spacing w:after="0" w:line="112" w:lineRule="exact"/>
        <w:rPr>
          <w:sz w:val="20"/>
          <w:szCs w:val="20"/>
          <w:color w:val="auto"/>
        </w:rPr>
      </w:pPr>
    </w:p>
    <w:p>
      <w:pPr>
        <w:ind w:left="430" w:right="240"/>
        <w:spacing w:after="0" w:line="270"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Borrower that a Disruption Event has occurred:</w:t>
      </w:r>
    </w:p>
    <w:p>
      <w:pPr>
        <w:spacing w:after="0" w:line="76" w:lineRule="exact"/>
        <w:rPr>
          <w:sz w:val="20"/>
          <w:szCs w:val="20"/>
          <w:color w:val="auto"/>
        </w:rPr>
      </w:pPr>
    </w:p>
    <w:p>
      <w:pPr>
        <w:ind w:left="1050" w:right="340" w:hanging="626"/>
        <w:spacing w:after="0" w:line="270" w:lineRule="auto"/>
        <w:tabs>
          <w:tab w:leader="none" w:pos="105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76"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76"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76" w:lineRule="exact"/>
        <w:rPr>
          <w:rFonts w:ascii="Times New Roman" w:cs="Times New Roman" w:eastAsia="Times New Roman" w:hAnsi="Times New Roman"/>
          <w:sz w:val="18"/>
          <w:szCs w:val="18"/>
          <w:color w:val="auto"/>
        </w:rPr>
      </w:pPr>
    </w:p>
    <w:p>
      <w:pPr>
        <w:ind w:left="1050" w:right="220" w:hanging="626"/>
        <w:spacing w:after="0" w:line="258" w:lineRule="auto"/>
        <w:tabs>
          <w:tab w:leader="none" w:pos="105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34 (Amendments and Waivers);</w:t>
      </w:r>
    </w:p>
    <w:p>
      <w:pPr>
        <w:spacing w:after="0" w:line="85" w:lineRule="exact"/>
        <w:rPr>
          <w:rFonts w:ascii="Times New Roman" w:cs="Times New Roman" w:eastAsia="Times New Roman" w:hAnsi="Times New Roman"/>
          <w:sz w:val="18"/>
          <w:szCs w:val="18"/>
          <w:color w:val="auto"/>
        </w:rPr>
      </w:pPr>
    </w:p>
    <w:p>
      <w:pPr>
        <w:ind w:left="1050" w:right="160" w:hanging="626"/>
        <w:spacing w:after="0" w:line="280" w:lineRule="auto"/>
        <w:tabs>
          <w:tab w:leader="none" w:pos="1050" w:val="left"/>
        </w:tabs>
        <w:numPr>
          <w:ilvl w:val="1"/>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arising as a result of its taking, or failing to take, any actions pursuant to or in connection with this Clause 28.11; and</w:t>
      </w:r>
    </w:p>
    <w:p>
      <w:pPr>
        <w:spacing w:after="0" w:line="69"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359"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SET-OFF</w:t>
      </w:r>
    </w:p>
    <w:p>
      <w:pPr>
        <w:spacing w:after="0" w:line="112" w:lineRule="exact"/>
        <w:rPr>
          <w:rFonts w:ascii="Times New Roman" w:cs="Times New Roman" w:eastAsia="Times New Roman" w:hAnsi="Times New Roman"/>
          <w:sz w:val="18"/>
          <w:szCs w:val="18"/>
          <w:b w:val="1"/>
          <w:bCs w:val="1"/>
          <w:color w:val="auto"/>
        </w:rPr>
      </w:pPr>
    </w:p>
    <w:p>
      <w:pPr>
        <w:ind w:left="430" w:right="16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so long as an Event of Default is continuing, a Finance Party may set off any matured obligation due from an Obligor under any or all of the Finance Documents (to the extent beneficially owned by that Finance Party) against any matured obligation owed by that Finance Party to that Obligor, regardless of the place of payment, booking branch or currency of either obligation. If such obligations are in different currencies, that Finance Party may convert either obligation at a market rate of exchange in its usual course of business for the purpose of such set-off.</w:t>
      </w:r>
    </w:p>
    <w:p>
      <w:pPr>
        <w:spacing w:after="0" w:line="31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30.1 Communications in writing</w:t>
      </w:r>
    </w:p>
    <w:p>
      <w:pPr>
        <w:spacing w:after="0" w:line="112" w:lineRule="exact"/>
        <w:rPr>
          <w:sz w:val="20"/>
          <w:szCs w:val="20"/>
          <w:color w:val="auto"/>
        </w:rPr>
      </w:pPr>
    </w:p>
    <w:p>
      <w:pPr>
        <w:ind w:left="430" w:right="100"/>
        <w:spacing w:after="0" w:line="258" w:lineRule="auto"/>
        <w:rPr>
          <w:sz w:val="20"/>
          <w:szCs w:val="20"/>
          <w:color w:val="auto"/>
        </w:rPr>
      </w:pPr>
      <w:r>
        <w:rPr>
          <w:rFonts w:ascii="Times New Roman" w:cs="Times New Roman" w:eastAsia="Times New Roman" w:hAnsi="Times New Roman"/>
          <w:sz w:val="18"/>
          <w:szCs w:val="18"/>
          <w:color w:val="auto"/>
        </w:rPr>
        <w:t>Any communication to be made by a Party to another Party under or in connection with the Finance Documents shall be made in writing and, unless otherwise stated, may be made by electronic mail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(including scanned copies of executed documents and other attachments), fax or letter.</w:t>
      </w:r>
    </w:p>
    <w:p>
      <w:pPr>
        <w:spacing w:after="0" w:line="1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70"/>
          </w:cols>
          <w:pgMar w:left="550" w:top="265" w:right="579" w:bottom="1440" w:gutter="0" w:footer="0" w:header="0"/>
        </w:sectPr>
      </w:pPr>
    </w:p>
    <w:bookmarkStart w:id="576" w:name="page577"/>
    <w:bookmarkEnd w:id="576"/>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30.2 Addresses</w:t>
      </w:r>
    </w:p>
    <w:p>
      <w:pPr>
        <w:spacing w:after="0" w:line="112" w:lineRule="exact"/>
        <w:rPr>
          <w:sz w:val="20"/>
          <w:szCs w:val="20"/>
          <w:color w:val="auto"/>
        </w:rPr>
      </w:pPr>
    </w:p>
    <w:p>
      <w:pPr>
        <w:ind w:left="430" w:right="260"/>
        <w:spacing w:after="0" w:line="300" w:lineRule="auto"/>
        <w:rPr>
          <w:sz w:val="20"/>
          <w:szCs w:val="20"/>
          <w:color w:val="auto"/>
        </w:rPr>
      </w:pPr>
      <w:r>
        <w:rPr>
          <w:rFonts w:ascii="Times New Roman" w:cs="Times New Roman" w:eastAsia="Times New Roman" w:hAnsi="Times New Roman"/>
          <w:sz w:val="17"/>
          <w:szCs w:val="17"/>
          <w:color w:val="auto"/>
        </w:rPr>
        <w:t>The email address, address and if applicable, fax number (and the department or officer, if any, for whose attention the communication is to be made) of each Party for any communication or document to be made or delivered under or in connection with the Finance Documents is:</w:t>
      </w:r>
    </w:p>
    <w:p>
      <w:pPr>
        <w:spacing w:after="0" w:line="53" w:lineRule="exact"/>
        <w:rPr>
          <w:sz w:val="20"/>
          <w:szCs w:val="20"/>
          <w:color w:val="auto"/>
        </w:rPr>
      </w:pPr>
    </w:p>
    <w:p>
      <w:pPr>
        <w:ind w:left="1050" w:hanging="626"/>
        <w:spacing w:after="0"/>
        <w:tabs>
          <w:tab w:leader="none" w:pos="105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Obligor, that identified with its name below;</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that notified in writing to the Agent on or prior to the date on which it becomes a Party;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that identified with its name below;</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MLABU, that identified with its name below;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Arranger, that notified in writing to the Agent on or prior to the date on which it becomes a Party,</w:t>
      </w:r>
    </w:p>
    <w:p>
      <w:pPr>
        <w:spacing w:after="0" w:line="110" w:lineRule="exact"/>
        <w:rPr>
          <w:sz w:val="20"/>
          <w:szCs w:val="20"/>
          <w:color w:val="auto"/>
        </w:rPr>
      </w:pPr>
    </w:p>
    <w:p>
      <w:pPr>
        <w:ind w:left="430" w:right="120"/>
        <w:spacing w:after="0" w:line="270" w:lineRule="auto"/>
        <w:rPr>
          <w:sz w:val="20"/>
          <w:szCs w:val="20"/>
          <w:color w:val="auto"/>
        </w:rPr>
      </w:pPr>
      <w:r>
        <w:rPr>
          <w:rFonts w:ascii="Times New Roman" w:cs="Times New Roman" w:eastAsia="Times New Roman" w:hAnsi="Times New Roman"/>
          <w:sz w:val="18"/>
          <w:szCs w:val="18"/>
          <w:color w:val="auto"/>
        </w:rPr>
        <w:t>or any substitute email address, address or fax number or department or officer as that Party may notify to the Agent (or the Agent may notify to the other Parties, if a change is made by the Agent) by not less than five (5) Business Days’ notice.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30.3 Delivery</w:t>
      </w:r>
    </w:p>
    <w:p>
      <w:pPr>
        <w:spacing w:after="0" w:line="126" w:lineRule="exact"/>
        <w:rPr>
          <w:sz w:val="20"/>
          <w:szCs w:val="20"/>
          <w:color w:val="auto"/>
        </w:rPr>
      </w:pPr>
    </w:p>
    <w:p>
      <w:pPr>
        <w:ind w:left="430" w:right="240" w:hanging="430"/>
        <w:spacing w:after="0" w:line="270" w:lineRule="auto"/>
        <w:tabs>
          <w:tab w:leader="none" w:pos="430"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Party to another Party under or in connection with any Finance Documents will be effective:</w:t>
      </w:r>
    </w:p>
    <w:p>
      <w:pPr>
        <w:spacing w:after="0" w:line="76" w:lineRule="exact"/>
        <w:rPr>
          <w:rFonts w:ascii="Times New Roman" w:cs="Times New Roman" w:eastAsia="Times New Roman" w:hAnsi="Times New Roman"/>
          <w:sz w:val="18"/>
          <w:szCs w:val="18"/>
          <w:color w:val="auto"/>
        </w:rPr>
      </w:pPr>
    </w:p>
    <w:p>
      <w:pPr>
        <w:ind w:left="1050" w:right="640" w:hanging="626"/>
        <w:spacing w:after="0" w:line="270" w:lineRule="auto"/>
        <w:tabs>
          <w:tab w:leader="none" w:pos="105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email, only when received in legible form by at least one of the relevant email addresses of the Party to whom such communication or document is to be made or delivered;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 or</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1"/>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only when it has been left at the relevant address or five (5) Business Days after being deposited in the post postage prepaid in an envelope addressed to it at that address,</w:t>
      </w:r>
    </w:p>
    <w:p>
      <w:pPr>
        <w:spacing w:after="0" w:line="63" w:lineRule="exact"/>
        <w:rPr>
          <w:sz w:val="20"/>
          <w:szCs w:val="20"/>
          <w:color w:val="auto"/>
        </w:rPr>
      </w:pPr>
    </w:p>
    <w:p>
      <w:pPr>
        <w:ind w:left="1070"/>
        <w:spacing w:after="0" w:line="270"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30.2 (Addresses), if addressed to that department or officer.</w:t>
      </w:r>
    </w:p>
    <w:p>
      <w:pPr>
        <w:spacing w:after="0" w:line="76" w:lineRule="exact"/>
        <w:rPr>
          <w:sz w:val="20"/>
          <w:szCs w:val="20"/>
          <w:color w:val="auto"/>
        </w:rPr>
      </w:pPr>
    </w:p>
    <w:p>
      <w:pPr>
        <w:ind w:left="430" w:hanging="430"/>
        <w:spacing w:after="0" w:line="253" w:lineRule="auto"/>
        <w:tabs>
          <w:tab w:leader="none" w:pos="43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under or in connection with any Finance Document will be effective only when actually received by the Agent and then only if it is sent to the correct email address(es) or, in the case of a fax or a letter, expressly marked for the attention of the department or officer identified with the Agent’s signature below (or any substitute department or officer as the Agent shall specify for this purpose).</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under or in connection with any Finance Document shall be sent through the Agent.</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from or to an Obligor shall not be made by fax.</w:t>
      </w:r>
    </w:p>
    <w:p>
      <w:pPr>
        <w:spacing w:after="0" w:line="123" w:lineRule="exact"/>
        <w:rPr>
          <w:rFonts w:ascii="Times New Roman" w:cs="Times New Roman" w:eastAsia="Times New Roman" w:hAnsi="Times New Roman"/>
          <w:sz w:val="18"/>
          <w:szCs w:val="18"/>
          <w:color w:val="auto"/>
        </w:rPr>
      </w:pPr>
    </w:p>
    <w:p>
      <w:pPr>
        <w:ind w:left="430" w:right="60" w:hanging="430"/>
        <w:spacing w:after="0" w:line="270" w:lineRule="auto"/>
        <w:tabs>
          <w:tab w:leader="none" w:pos="43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(c) above, after 5pm in the place of receipt shall be deemed only to become effective on the following Business Day.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30.4 Notification of address and fax number</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Promptly upon changing its own email address, address or fax number, the Agent shall notify the other Parties.</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30.5 Communication when Agent is an Impaired Agent</w:t>
      </w:r>
    </w:p>
    <w:p>
      <w:pPr>
        <w:spacing w:after="0" w:line="112" w:lineRule="exact"/>
        <w:rPr>
          <w:sz w:val="20"/>
          <w:szCs w:val="20"/>
          <w:color w:val="auto"/>
        </w:rPr>
      </w:pPr>
    </w:p>
    <w:p>
      <w:pPr>
        <w:ind w:left="430"/>
        <w:spacing w:after="0" w:line="253"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 to replace such Impaired Agent.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30.6 English language</w:t>
      </w:r>
    </w:p>
    <w:p>
      <w:pPr>
        <w:spacing w:after="0" w:line="126" w:lineRule="exact"/>
        <w:rPr>
          <w:sz w:val="20"/>
          <w:szCs w:val="20"/>
          <w:color w:val="auto"/>
        </w:rPr>
      </w:pPr>
    </w:p>
    <w:p>
      <w:pPr>
        <w:ind w:left="430" w:hanging="430"/>
        <w:spacing w:after="0"/>
        <w:tabs>
          <w:tab w:leader="none" w:pos="43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123"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1"/>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0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30"/>
          </w:cols>
          <w:pgMar w:left="550" w:top="264" w:right="619" w:bottom="1440" w:gutter="0" w:footer="0" w:header="0"/>
        </w:sectPr>
      </w:pPr>
    </w:p>
    <w:bookmarkStart w:id="577" w:name="page578"/>
    <w:bookmarkEnd w:id="577"/>
    <w:p>
      <w:pPr>
        <w:ind w:left="10" w:right="7160" w:hanging="10"/>
        <w:spacing w:after="0" w:line="376" w:lineRule="auto"/>
        <w:tabs>
          <w:tab w:leader="none" w:pos="433" w:val="left"/>
        </w:tabs>
        <w:numPr>
          <w:ilvl w:val="0"/>
          <w:numId w:val="6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CALCULATIONS AND CERTIFICATES 31.1 Accounts</w:t>
      </w:r>
    </w:p>
    <w:p>
      <w:pPr>
        <w:spacing w:after="0" w:line="1" w:lineRule="exact"/>
        <w:rPr>
          <w:sz w:val="20"/>
          <w:szCs w:val="20"/>
          <w:color w:val="auto"/>
        </w:rPr>
      </w:pPr>
    </w:p>
    <w:p>
      <w:pPr>
        <w:ind w:left="430" w:right="140"/>
        <w:spacing w:after="0" w:line="270"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31.2 Certificates and determinations</w:t>
      </w:r>
    </w:p>
    <w:p>
      <w:pPr>
        <w:spacing w:after="0" w:line="112" w:lineRule="exact"/>
        <w:rPr>
          <w:sz w:val="20"/>
          <w:szCs w:val="20"/>
          <w:color w:val="auto"/>
        </w:rPr>
      </w:pPr>
    </w:p>
    <w:p>
      <w:pPr>
        <w:ind w:left="430" w:right="540"/>
        <w:spacing w:after="0" w:line="270"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31.3 Day count convention</w:t>
      </w:r>
    </w:p>
    <w:p>
      <w:pPr>
        <w:spacing w:after="0" w:line="112" w:lineRule="exact"/>
        <w:rPr>
          <w:sz w:val="20"/>
          <w:szCs w:val="20"/>
          <w:color w:val="auto"/>
        </w:rPr>
      </w:pPr>
    </w:p>
    <w:p>
      <w:pPr>
        <w:jc w:val="both"/>
        <w:ind w:left="430" w:right="440"/>
        <w:spacing w:after="0" w:line="258"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three hundred and sixty (360) days or, in any case where the practice in the Relevant Market differs, in accordance with that market practice.</w:t>
      </w:r>
    </w:p>
    <w:p>
      <w:pPr>
        <w:spacing w:after="0" w:line="322" w:lineRule="exact"/>
        <w:rPr>
          <w:sz w:val="20"/>
          <w:szCs w:val="20"/>
          <w:color w:val="auto"/>
        </w:rPr>
      </w:pPr>
    </w:p>
    <w:p>
      <w:pPr>
        <w:ind w:left="430" w:hanging="430"/>
        <w:spacing w:after="0"/>
        <w:tabs>
          <w:tab w:leader="none" w:pos="430"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12" w:lineRule="exact"/>
        <w:rPr>
          <w:rFonts w:ascii="Times New Roman" w:cs="Times New Roman" w:eastAsia="Times New Roman" w:hAnsi="Times New Roman"/>
          <w:sz w:val="18"/>
          <w:szCs w:val="18"/>
          <w:b w:val="1"/>
          <w:bCs w:val="1"/>
          <w:color w:val="auto"/>
        </w:rPr>
      </w:pPr>
    </w:p>
    <w:p>
      <w:pPr>
        <w:ind w:left="43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12" w:lineRule="exact"/>
        <w:rPr>
          <w:rFonts w:ascii="Times New Roman" w:cs="Times New Roman" w:eastAsia="Times New Roman" w:hAnsi="Times New Roman"/>
          <w:sz w:val="18"/>
          <w:szCs w:val="18"/>
          <w:b w:val="1"/>
          <w:bCs w:val="1"/>
          <w:color w:val="auto"/>
        </w:rPr>
      </w:pPr>
    </w:p>
    <w:p>
      <w:pPr>
        <w:ind w:left="43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any right or remedy under the Finance Documents shall operate as a waiver or constitute an election to affirm any Finance Document. No election by a Finance Party to affirm any Finance Document shall be effective unless it is in writing. No single or partial exercise of any right or remedy by any Finance Party shall prevent any further or other exercise or the exercise of any other right or remedy. The rights and remedies provided in each Finance Document are cumulative and not exclusive of any rights or remedies provided by law.</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34.1 Required consents</w:t>
      </w:r>
    </w:p>
    <w:p>
      <w:pPr>
        <w:spacing w:after="0" w:line="126" w:lineRule="exact"/>
        <w:rPr>
          <w:sz w:val="20"/>
          <w:szCs w:val="20"/>
          <w:color w:val="auto"/>
        </w:rPr>
      </w:pPr>
    </w:p>
    <w:p>
      <w:pPr>
        <w:ind w:left="430" w:right="80" w:hanging="430"/>
        <w:spacing w:after="0" w:line="252" w:lineRule="auto"/>
        <w:tabs>
          <w:tab w:leader="none" w:pos="43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34.2 (Exceptions), any term of any Finance Document (other than any Fee Letter) may be amended or waived only in writing and with the consent of the Majority Lenders and the Borrower. Any such amendment or waiver so made with such consent will be binding on all Parties.</w:t>
      </w:r>
    </w:p>
    <w:p>
      <w:pPr>
        <w:ind w:left="430" w:hanging="430"/>
        <w:spacing w:after="0"/>
        <w:tabs>
          <w:tab w:leader="none" w:pos="43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 any amendment or waiver permitted by this Clause 34.</w:t>
      </w:r>
    </w:p>
    <w:p>
      <w:pPr>
        <w:spacing w:after="0" w:line="1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34.2 Exceptions</w:t>
      </w:r>
    </w:p>
    <w:p>
      <w:pPr>
        <w:spacing w:after="0" w:line="126" w:lineRule="exact"/>
        <w:rPr>
          <w:sz w:val="20"/>
          <w:szCs w:val="20"/>
          <w:color w:val="auto"/>
        </w:rPr>
      </w:pPr>
    </w:p>
    <w:p>
      <w:pPr>
        <w:ind w:left="430" w:right="160" w:hanging="430"/>
        <w:spacing w:after="0" w:line="270" w:lineRule="auto"/>
        <w:tabs>
          <w:tab w:leader="none" w:pos="43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and Clause 34.5 (Replacement of Screen Rate), an amendment or waiver that has the effect of changing or which relates to:</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“Majority Lenders” or “Super Majority Lenders” in Clause 1.1 (Definitions);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or any change in the currency of, any payment of principal, interest, fees or commission payable;</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or any change in the currency of, any Commitment or the Total Commitments;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Availability Period;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 cancellation of Commitments reduces the Commitments of the Lenders rateably;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an Obligor; or</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70"/>
          </w:cols>
          <w:pgMar w:left="550" w:top="264" w:right="579" w:bottom="1440" w:gutter="0" w:footer="0" w:header="0"/>
        </w:sectPr>
      </w:pPr>
    </w:p>
    <w:bookmarkStart w:id="578" w:name="page579"/>
    <w:bookmarkEnd w:id="578"/>
    <w:p>
      <w:pPr>
        <w:ind w:left="1050" w:right="140" w:hanging="626"/>
        <w:spacing w:after="0" w:line="258" w:lineRule="auto"/>
        <w:tabs>
          <w:tab w:leader="none" w:pos="105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Clause 1.6 (Sanctions), Clause 2.2 (Finance Parties’ rights and obligations), Clause 7.1 (Illegality), Clause 7.5 (Change of Control), Clause 17 (Guarantee and indemnity), Clause 23 (Changes to the Lenders), Clause 27 (Sharing among the Finance Parties), Clause 28.6 (Partial payments), this Clause 34, Clause 41 (Governing Law) or Clause 42.1 (Jurisdiction of English Courts),</w:t>
      </w:r>
    </w:p>
    <w:p>
      <w:pPr>
        <w:spacing w:after="0" w:line="7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124" w:lineRule="exact"/>
        <w:rPr>
          <w:sz w:val="20"/>
          <w:szCs w:val="20"/>
          <w:color w:val="auto"/>
        </w:rPr>
      </w:pPr>
    </w:p>
    <w:p>
      <w:pPr>
        <w:ind w:left="430" w:right="20" w:hanging="430"/>
        <w:spacing w:after="0" w:line="270" w:lineRule="auto"/>
        <w:tabs>
          <w:tab w:leader="none" w:pos="43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 has the effect of changing or which relates to any shorter period as the Majority Lenders may agree as contemplated in Clause 7.2 (Voluntary cancellation) shall not be made without the agreement of the Majority Lenders.</w:t>
      </w:r>
    </w:p>
    <w:p>
      <w:pPr>
        <w:spacing w:after="0" w:line="76" w:lineRule="exact"/>
        <w:rPr>
          <w:rFonts w:ascii="Times New Roman" w:cs="Times New Roman" w:eastAsia="Times New Roman" w:hAnsi="Times New Roman"/>
          <w:sz w:val="18"/>
          <w:szCs w:val="18"/>
          <w:color w:val="auto"/>
        </w:rPr>
      </w:pPr>
    </w:p>
    <w:p>
      <w:pPr>
        <w:ind w:left="430" w:right="400" w:hanging="430"/>
        <w:spacing w:after="0" w:line="270" w:lineRule="auto"/>
        <w:tabs>
          <w:tab w:leader="none" w:pos="43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relates to the rights or obligations of an Administrative Party may not be effected without the consent of that Administrative Party.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34.3 Excluded commitment</w:t>
      </w:r>
    </w:p>
    <w:p>
      <w:pPr>
        <w:spacing w:after="0" w:line="112"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If any Lender fails to respond to a request in writing for any consent, waiver, amendment of or in relation to any term of any Finance Document or any instruction or vote relating to any other matter under any Finance Document within twenty (20) Business Days of that request being made, then (unless the Borrower and the Agent agree to a longer time period in relation to such request):</w:t>
      </w:r>
    </w:p>
    <w:p>
      <w:pPr>
        <w:spacing w:after="0" w:line="86" w:lineRule="exact"/>
        <w:rPr>
          <w:sz w:val="20"/>
          <w:szCs w:val="20"/>
          <w:color w:val="auto"/>
        </w:rPr>
      </w:pPr>
    </w:p>
    <w:p>
      <w:pPr>
        <w:ind w:left="1050" w:right="100" w:hanging="626"/>
        <w:spacing w:after="0" w:line="253" w:lineRule="auto"/>
        <w:tabs>
          <w:tab w:leader="none" w:pos="105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Commitment and such Lender’s participation in any Loan shall not be included for the purpose of calculating the Commitments of the Lenders, or participations of the Lenders in any or all of the Loans when ascertaining whether the consent, instruction or vote of Lenders holding any applicable percentage (including, for the avoidance of doubt, unanimity) of the Commitments and/or participations in any or all of the Loans has been obtained to approve that request; and</w:t>
      </w:r>
    </w:p>
    <w:p>
      <w:pPr>
        <w:spacing w:after="0" w:line="92"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all of the Lenders or any specified group of Lenders has been obtained to approve that request.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34.4 Disenfranchisement of Defaulting Lenders</w:t>
      </w:r>
    </w:p>
    <w:p>
      <w:pPr>
        <w:spacing w:after="0" w:line="126" w:lineRule="exact"/>
        <w:rPr>
          <w:sz w:val="20"/>
          <w:szCs w:val="20"/>
          <w:color w:val="auto"/>
        </w:rPr>
      </w:pPr>
    </w:p>
    <w:p>
      <w:pPr>
        <w:ind w:left="430" w:hanging="430"/>
        <w:spacing w:after="0"/>
        <w:tabs>
          <w:tab w:leader="none" w:pos="43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Defaulting Lender has any Available Commitment, in ascertaining:</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 the Super Majority Lenders;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110" w:lineRule="exact"/>
        <w:rPr>
          <w:sz w:val="20"/>
          <w:szCs w:val="20"/>
          <w:color w:val="auto"/>
        </w:rPr>
      </w:pPr>
    </w:p>
    <w:p>
      <w:pPr>
        <w:ind w:left="430" w:right="260"/>
        <w:spacing w:after="0" w:line="266" w:lineRule="auto"/>
        <w:rPr>
          <w:sz w:val="20"/>
          <w:szCs w:val="20"/>
          <w:color w:val="auto"/>
        </w:rPr>
      </w:pPr>
      <w:r>
        <w:rPr>
          <w:rFonts w:ascii="Times New Roman" w:cs="Times New Roman" w:eastAsia="Times New Roman" w:hAnsi="Times New Roman"/>
          <w:sz w:val="17"/>
          <w:szCs w:val="17"/>
          <w:color w:val="auto"/>
        </w:rPr>
        <w:t>has been obtained to approve any request for a consent, waiver, amendment or other vote of Lenders under the Finance Documents, that Defaulting Lender’s Commitments will be reduced by the amount of its Available Commitments and, to the extent that that reduction results in that Defaulting Lender’s Commitments being zero, that Defaulting Lender shall be deemed not to be a Lender for the purposes of paragraphs</w:t>
      </w:r>
    </w:p>
    <w:p>
      <w:pPr>
        <w:spacing w:after="0" w:line="2" w:lineRule="exact"/>
        <w:rPr>
          <w:sz w:val="20"/>
          <w:szCs w:val="20"/>
          <w:color w:val="auto"/>
        </w:rPr>
      </w:pPr>
    </w:p>
    <w:p>
      <w:pPr>
        <w:ind w:left="650" w:hanging="218"/>
        <w:spacing w:after="0"/>
        <w:tabs>
          <w:tab w:leader="none" w:pos="650" w:val="left"/>
        </w:tabs>
        <w:numPr>
          <w:ilvl w:val="1"/>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w:t>
      </w:r>
    </w:p>
    <w:p>
      <w:pPr>
        <w:spacing w:after="0" w:line="10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34.4, the Agent may assume that the following Lenders are Defaulting Lenders: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w:t>
      </w:r>
    </w:p>
    <w:p>
      <w:pPr>
        <w:spacing w:after="0" w:line="124" w:lineRule="exact"/>
        <w:rPr>
          <w:sz w:val="20"/>
          <w:szCs w:val="20"/>
          <w:color w:val="auto"/>
        </w:rPr>
      </w:pPr>
    </w:p>
    <w:p>
      <w:pPr>
        <w:ind w:left="1050" w:right="20" w:hanging="626"/>
        <w:spacing w:after="0" w:line="270" w:lineRule="auto"/>
        <w:tabs>
          <w:tab w:leader="none" w:pos="105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in relation to which it is aware that any of the events or circumstances referred to in paragraphs (a), (b) or (c) of the definition of “Defaulting Lender” has occurred,</w:t>
      </w:r>
    </w:p>
    <w:p>
      <w:pPr>
        <w:spacing w:after="0" w:line="63" w:lineRule="exact"/>
        <w:rPr>
          <w:sz w:val="20"/>
          <w:szCs w:val="20"/>
          <w:color w:val="auto"/>
        </w:rPr>
      </w:pPr>
    </w:p>
    <w:p>
      <w:pPr>
        <w:ind w:left="430"/>
        <w:spacing w:after="0" w:line="270"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34.5 Replacement of Screen Rate</w:t>
      </w:r>
    </w:p>
    <w:p>
      <w:pPr>
        <w:spacing w:after="0" w:line="126" w:lineRule="exact"/>
        <w:rPr>
          <w:sz w:val="20"/>
          <w:szCs w:val="20"/>
          <w:color w:val="auto"/>
        </w:rPr>
      </w:pPr>
    </w:p>
    <w:p>
      <w:pPr>
        <w:ind w:left="430" w:right="580" w:hanging="430"/>
        <w:spacing w:after="0" w:line="270" w:lineRule="auto"/>
        <w:tabs>
          <w:tab w:leader="none" w:pos="43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of Clause 34.2 (Exceptions), if a Screen Rate Replacement Event has occurred in relation to any Screen Rate, any amendment or waiver which relates to:</w:t>
      </w:r>
    </w:p>
    <w:p>
      <w:pPr>
        <w:spacing w:after="0" w:line="76" w:lineRule="exact"/>
        <w:rPr>
          <w:sz w:val="20"/>
          <w:szCs w:val="20"/>
          <w:color w:val="auto"/>
        </w:rPr>
      </w:pPr>
    </w:p>
    <w:p>
      <w:pPr>
        <w:ind w:left="1050" w:hanging="626"/>
        <w:spacing w:after="0"/>
        <w:tabs>
          <w:tab w:leader="none" w:pos="105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Benchmark; and</w:t>
      </w:r>
    </w:p>
    <w:p>
      <w:pPr>
        <w:spacing w:after="0" w:line="123" w:lineRule="exact"/>
        <w:rPr>
          <w:rFonts w:ascii="Times New Roman" w:cs="Times New Roman" w:eastAsia="Times New Roman" w:hAnsi="Times New Roman"/>
          <w:sz w:val="18"/>
          <w:szCs w:val="18"/>
          <w:color w:val="auto"/>
        </w:rPr>
      </w:pPr>
    </w:p>
    <w:p>
      <w:pPr>
        <w:spacing w:after="0"/>
        <w:tabs>
          <w:tab w:leader="none" w:pos="0" w:val="left"/>
        </w:tabs>
        <w:numPr>
          <w:ilvl w:val="0"/>
          <w:numId w:val="650"/>
        </w:numPr>
        <w:rPr>
          <w:rFonts w:ascii="Times New Roman" w:cs="Times New Roman" w:eastAsia="Times New Roman" w:hAnsi="Times New Roman"/>
          <w:sz w:val="18"/>
          <w:szCs w:val="18"/>
          <w:color w:val="auto"/>
        </w:rPr>
      </w:pP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Benchmark;</w:t>
      </w:r>
    </w:p>
    <w:p>
      <w:pPr>
        <w:spacing w:after="0" w:line="123" w:lineRule="exact"/>
        <w:rPr>
          <w:rFonts w:ascii="Times New Roman" w:cs="Times New Roman" w:eastAsia="Times New Roman" w:hAnsi="Times New Roman"/>
          <w:sz w:val="18"/>
          <w:szCs w:val="18"/>
          <w:color w:val="auto"/>
        </w:rPr>
      </w:pPr>
    </w:p>
    <w:p>
      <w:pPr>
        <w:jc w:val="both"/>
        <w:ind w:left="1710" w:right="520" w:hanging="639"/>
        <w:spacing w:after="0" w:line="258" w:lineRule="auto"/>
        <w:tabs>
          <w:tab w:leader="none" w:pos="171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70"/>
          </w:cols>
          <w:pgMar w:left="550" w:top="266" w:right="579" w:bottom="1440" w:gutter="0" w:footer="0" w:header="0"/>
        </w:sectPr>
      </w:pPr>
    </w:p>
    <w:bookmarkStart w:id="579" w:name="page580"/>
    <w:bookmarkEnd w:id="579"/>
    <w:p>
      <w:pPr>
        <w:ind w:left="1710" w:hanging="639"/>
        <w:spacing w:after="0"/>
        <w:tabs>
          <w:tab w:leader="none" w:pos="171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implementing market conventions applicable to that Replacement Benchmark;</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Benchmark; or</w:t>
      </w:r>
    </w:p>
    <w:p>
      <w:pPr>
        <w:spacing w:after="0" w:line="123" w:lineRule="exact"/>
        <w:rPr>
          <w:rFonts w:ascii="Times New Roman" w:cs="Times New Roman" w:eastAsia="Times New Roman" w:hAnsi="Times New Roman"/>
          <w:sz w:val="18"/>
          <w:szCs w:val="18"/>
          <w:color w:val="auto"/>
        </w:rPr>
      </w:pPr>
    </w:p>
    <w:p>
      <w:pPr>
        <w:ind w:left="1710" w:right="100" w:hanging="639"/>
        <w:spacing w:after="0" w:line="253" w:lineRule="auto"/>
        <w:tabs>
          <w:tab w:leader="none" w:pos="171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9"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and the Borrower.</w:t>
      </w:r>
    </w:p>
    <w:p>
      <w:pPr>
        <w:spacing w:after="0" w:line="124" w:lineRule="exact"/>
        <w:rPr>
          <w:sz w:val="20"/>
          <w:szCs w:val="20"/>
          <w:color w:val="auto"/>
        </w:rPr>
      </w:pPr>
    </w:p>
    <w:p>
      <w:pPr>
        <w:ind w:left="430" w:hanging="430"/>
        <w:spacing w:after="0"/>
        <w:tabs>
          <w:tab w:leader="none" w:pos="43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34.5:</w:t>
      </w:r>
    </w:p>
    <w:p>
      <w:pPr>
        <w:spacing w:after="0" w:line="108" w:lineRule="exact"/>
        <w:rPr>
          <w:rFonts w:ascii="Times New Roman" w:cs="Times New Roman" w:eastAsia="Times New Roman" w:hAnsi="Times New Roman"/>
          <w:sz w:val="18"/>
          <w:szCs w:val="18"/>
          <w:color w:val="auto"/>
        </w:rPr>
      </w:pPr>
    </w:p>
    <w:p>
      <w:pPr>
        <w:ind w:left="430" w:right="2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Quoted Tenor </w:t>
      </w:r>
      <w:r>
        <w:rPr>
          <w:rFonts w:ascii="Times New Roman" w:cs="Times New Roman" w:eastAsia="Times New Roman" w:hAnsi="Times New Roman"/>
          <w:sz w:val="17"/>
          <w:szCs w:val="17"/>
          <w:color w:val="auto"/>
        </w:rPr>
        <w:t>means, in relation to the Screen Rate, any period for which that Screen Rate is customarily displayed on the relevant page or screen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 information service and which may be selected as an Interest Period by the Borrower under Clause 9.1 (Selection of Interest Periods).</w:t>
      </w:r>
    </w:p>
    <w:p>
      <w:pPr>
        <w:spacing w:after="0" w:line="35" w:lineRule="exact"/>
        <w:rPr>
          <w:rFonts w:ascii="Times New Roman" w:cs="Times New Roman" w:eastAsia="Times New Roman" w:hAnsi="Times New Roman"/>
          <w:sz w:val="18"/>
          <w:szCs w:val="18"/>
          <w:color w:val="auto"/>
        </w:rPr>
      </w:pPr>
    </w:p>
    <w:p>
      <w:pPr>
        <w:ind w:left="43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Relevant Nominating Body </w:t>
      </w:r>
      <w:r>
        <w:rPr>
          <w:rFonts w:ascii="Times New Roman" w:cs="Times New Roman" w:eastAsia="Times New Roman" w:hAnsi="Times New Roman"/>
          <w:sz w:val="18"/>
          <w:szCs w:val="18"/>
          <w:color w:val="auto"/>
        </w:rPr>
        <w:t>means any applicable central bank, regulator or other supervisory authority or a group of them, or any working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 sponsored or chaired by, or constituted at the request of, any of them or the Financial Stability Board.</w:t>
      </w:r>
    </w:p>
    <w:p>
      <w:pPr>
        <w:spacing w:after="0" w:line="57"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Replacement Benchmark </w:t>
      </w:r>
      <w:r>
        <w:rPr>
          <w:rFonts w:ascii="Times New Roman" w:cs="Times New Roman" w:eastAsia="Times New Roman" w:hAnsi="Times New Roman"/>
          <w:sz w:val="18"/>
          <w:szCs w:val="18"/>
          <w:color w:val="auto"/>
        </w:rPr>
        <w:t>means a benchmark rate which is:</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Screen Rate by:</w:t>
      </w:r>
    </w:p>
    <w:p>
      <w:pPr>
        <w:spacing w:after="0" w:line="123" w:lineRule="exact"/>
        <w:rPr>
          <w:rFonts w:ascii="Times New Roman" w:cs="Times New Roman" w:eastAsia="Times New Roman" w:hAnsi="Times New Roman"/>
          <w:sz w:val="18"/>
          <w:szCs w:val="18"/>
          <w:color w:val="auto"/>
        </w:rPr>
      </w:pPr>
    </w:p>
    <w:p>
      <w:pPr>
        <w:ind w:left="1710" w:right="320" w:hanging="639"/>
        <w:spacing w:after="0" w:line="270" w:lineRule="auto"/>
        <w:tabs>
          <w:tab w:leader="none" w:pos="1710" w:val="left"/>
        </w:tabs>
        <w:numPr>
          <w:ilvl w:val="2"/>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(provided that the market or economic reality that such benchmark rate measures is the same as that measured by that Screen Rate);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0" w:lineRule="exact"/>
        <w:rPr>
          <w:sz w:val="20"/>
          <w:szCs w:val="20"/>
          <w:color w:val="auto"/>
        </w:rPr>
      </w:pPr>
    </w:p>
    <w:p>
      <w:pPr>
        <w:ind w:left="1070" w:right="660"/>
        <w:spacing w:after="0" w:line="270"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Benchmark” will be the replacement under paragraph (B) above;</w:t>
      </w:r>
    </w:p>
    <w:p>
      <w:pPr>
        <w:spacing w:after="0" w:line="76" w:lineRule="exact"/>
        <w:rPr>
          <w:sz w:val="20"/>
          <w:szCs w:val="20"/>
          <w:color w:val="auto"/>
        </w:rPr>
      </w:pPr>
    </w:p>
    <w:p>
      <w:pPr>
        <w:ind w:left="1050" w:right="60" w:hanging="626"/>
        <w:spacing w:after="0" w:line="270" w:lineRule="auto"/>
        <w:tabs>
          <w:tab w:leader="none" w:pos="105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generally accepted in the international or any relevant domestic syndicated loan markets as the appropriate successor to a Screen Rate;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an appropriate successor to a Screen Rate.</w:t>
      </w:r>
    </w:p>
    <w:p>
      <w:pPr>
        <w:spacing w:after="0" w:line="10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Screen Rate Replacement Event </w:t>
      </w:r>
      <w:r>
        <w:rPr>
          <w:rFonts w:ascii="Times New Roman" w:cs="Times New Roman" w:eastAsia="Times New Roman" w:hAnsi="Times New Roman"/>
          <w:sz w:val="18"/>
          <w:szCs w:val="18"/>
          <w:color w:val="auto"/>
        </w:rPr>
        <w:t>means, in relation to a Screen Rate:</w:t>
      </w:r>
    </w:p>
    <w:p>
      <w:pPr>
        <w:spacing w:after="0" w:line="126" w:lineRule="exact"/>
        <w:rPr>
          <w:sz w:val="20"/>
          <w:szCs w:val="20"/>
          <w:color w:val="auto"/>
        </w:rPr>
      </w:pPr>
    </w:p>
    <w:p>
      <w:pPr>
        <w:ind w:left="1050" w:right="160" w:hanging="626"/>
        <w:spacing w:after="0" w:line="270" w:lineRule="auto"/>
        <w:tabs>
          <w:tab w:leader="none" w:pos="105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Screen Rate has, in the opinion of the Majority Lenders and the Borrower, materially changed;</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w:t>
      </w:r>
    </w:p>
    <w:p>
      <w:pPr>
        <w:spacing w:after="0" w:line="124" w:lineRule="exact"/>
        <w:rPr>
          <w:sz w:val="20"/>
          <w:szCs w:val="20"/>
          <w:color w:val="auto"/>
        </w:rPr>
      </w:pPr>
    </w:p>
    <w:p>
      <w:pPr>
        <w:ind w:left="1930" w:hanging="528"/>
        <w:spacing w:after="0"/>
        <w:tabs>
          <w:tab w:leader="none" w:pos="193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publicly announces that such administrator is insolvent; or</w:t>
      </w:r>
    </w:p>
    <w:p>
      <w:pPr>
        <w:spacing w:after="0" w:line="123" w:lineRule="exact"/>
        <w:rPr>
          <w:rFonts w:ascii="Times New Roman" w:cs="Times New Roman" w:eastAsia="Times New Roman" w:hAnsi="Times New Roman"/>
          <w:sz w:val="18"/>
          <w:szCs w:val="18"/>
          <w:color w:val="auto"/>
        </w:rPr>
      </w:pPr>
    </w:p>
    <w:p>
      <w:pPr>
        <w:ind w:left="1930" w:right="160" w:hanging="528"/>
        <w:spacing w:after="0" w:line="258" w:lineRule="auto"/>
        <w:tabs>
          <w:tab w:leader="none" w:pos="1930"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86" w:lineRule="exact"/>
        <w:rPr>
          <w:sz w:val="20"/>
          <w:szCs w:val="20"/>
          <w:color w:val="auto"/>
        </w:rPr>
      </w:pPr>
    </w:p>
    <w:p>
      <w:pPr>
        <w:ind w:left="1930" w:hanging="528"/>
        <w:spacing w:after="0"/>
        <w:tabs>
          <w:tab w:leader="none" w:pos="1930"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in each case, at that time, there is no successor administrator to continue to provide that Screen Rate;</w:t>
      </w:r>
    </w:p>
    <w:p>
      <w:pPr>
        <w:spacing w:after="0" w:line="123" w:lineRule="exact"/>
        <w:rPr>
          <w:rFonts w:ascii="Times New Roman" w:cs="Times New Roman" w:eastAsia="Times New Roman" w:hAnsi="Times New Roman"/>
          <w:sz w:val="18"/>
          <w:szCs w:val="18"/>
          <w:color w:val="auto"/>
        </w:rPr>
      </w:pPr>
    </w:p>
    <w:p>
      <w:pPr>
        <w:ind w:left="1710" w:right="20" w:hanging="639"/>
        <w:spacing w:after="0" w:line="258" w:lineRule="auto"/>
        <w:tabs>
          <w:tab w:leader="none" w:pos="171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publicly announces that it has ceased or will cease to provide that Screen Rate for all of the Quoted Tenors permanently or indefinitely and, at that time, there is no successor administrator to continue to provide that Screen Rate for such Quoted Tenors;</w:t>
      </w:r>
    </w:p>
    <w:p>
      <w:pPr>
        <w:spacing w:after="0" w:line="85" w:lineRule="exact"/>
        <w:rPr>
          <w:rFonts w:ascii="Times New Roman" w:cs="Times New Roman" w:eastAsia="Times New Roman" w:hAnsi="Times New Roman"/>
          <w:sz w:val="18"/>
          <w:szCs w:val="18"/>
          <w:color w:val="auto"/>
        </w:rPr>
      </w:pPr>
    </w:p>
    <w:p>
      <w:pPr>
        <w:ind w:left="1710" w:right="920" w:hanging="639"/>
        <w:spacing w:after="0" w:line="270" w:lineRule="auto"/>
        <w:tabs>
          <w:tab w:leader="none" w:pos="171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publicly announces that such Screen Rate has been or will be permanently or indefinitely discontinued for all of the Quoted Tenors;</w:t>
      </w:r>
    </w:p>
    <w:p>
      <w:pPr>
        <w:spacing w:after="0" w:line="76" w:lineRule="exact"/>
        <w:rPr>
          <w:rFonts w:ascii="Times New Roman" w:cs="Times New Roman" w:eastAsia="Times New Roman" w:hAnsi="Times New Roman"/>
          <w:sz w:val="18"/>
          <w:szCs w:val="18"/>
          <w:color w:val="auto"/>
        </w:rPr>
      </w:pPr>
    </w:p>
    <w:p>
      <w:pPr>
        <w:ind w:left="1710" w:right="460" w:hanging="639"/>
        <w:spacing w:after="0" w:line="270" w:lineRule="auto"/>
        <w:tabs>
          <w:tab w:leader="none" w:pos="171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announces that that Screen Rate for all of the Quoted Tenors may no longer be used;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makes a public announcement or publishes information:</w:t>
      </w:r>
    </w:p>
    <w:p>
      <w:pPr>
        <w:spacing w:after="0" w:line="124" w:lineRule="exact"/>
        <w:rPr>
          <w:sz w:val="20"/>
          <w:szCs w:val="20"/>
          <w:color w:val="auto"/>
        </w:rPr>
      </w:pPr>
    </w:p>
    <w:p>
      <w:pPr>
        <w:ind w:left="1710" w:right="80" w:hanging="639"/>
        <w:spacing w:after="0" w:line="258" w:lineRule="auto"/>
        <w:tabs>
          <w:tab w:leader="none" w:pos="171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that Screen Rate for all of Quoted Tenors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90"/>
          </w:cols>
          <w:pgMar w:left="550" w:top="267" w:right="559" w:bottom="1440" w:gutter="0" w:footer="0" w:header="0"/>
        </w:sectPr>
      </w:pPr>
    </w:p>
    <w:bookmarkStart w:id="580" w:name="page581"/>
    <w:bookmarkEnd w:id="580"/>
    <w:p>
      <w:pPr>
        <w:ind w:left="1710" w:right="440" w:hanging="639"/>
        <w:spacing w:after="0" w:line="270" w:lineRule="auto"/>
        <w:tabs>
          <w:tab w:leader="none" w:pos="1710" w:val="left"/>
        </w:tabs>
        <w:numPr>
          <w:ilvl w:val="1"/>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with awareness that any such announcement or publication will engage certain triggers for fallback provisions in contracts which may be activated by any such pre-cessation announcement or publication;</w:t>
      </w:r>
    </w:p>
    <w:p>
      <w:pPr>
        <w:spacing w:after="0" w:line="76"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determines that that Screen Rate for all of the Quoted Tenors should be calculated in accordance with its reduced submissions or other contingency or fallback policies or arrangements and either:</w:t>
      </w:r>
    </w:p>
    <w:p>
      <w:pPr>
        <w:spacing w:after="0" w:line="76" w:lineRule="exact"/>
        <w:rPr>
          <w:sz w:val="20"/>
          <w:szCs w:val="20"/>
          <w:color w:val="auto"/>
        </w:rPr>
      </w:pPr>
    </w:p>
    <w:p>
      <w:pPr>
        <w:ind w:left="1710" w:right="80" w:hanging="639"/>
        <w:spacing w:after="0" w:line="270" w:lineRule="auto"/>
        <w:tabs>
          <w:tab w:leader="none" w:pos="1710" w:val="left"/>
        </w:tabs>
        <w:numPr>
          <w:ilvl w:val="2"/>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and the Borrower) temporary; or</w:t>
      </w:r>
    </w:p>
    <w:p>
      <w:pPr>
        <w:spacing w:after="0" w:line="76" w:lineRule="exact"/>
        <w:rPr>
          <w:rFonts w:ascii="Times New Roman" w:cs="Times New Roman" w:eastAsia="Times New Roman" w:hAnsi="Times New Roman"/>
          <w:sz w:val="18"/>
          <w:szCs w:val="18"/>
          <w:color w:val="auto"/>
        </w:rPr>
      </w:pPr>
    </w:p>
    <w:p>
      <w:pPr>
        <w:ind w:left="1710" w:right="120" w:hanging="639"/>
        <w:spacing w:after="0" w:line="270" w:lineRule="auto"/>
        <w:tabs>
          <w:tab w:leader="none" w:pos="1710" w:val="left"/>
        </w:tabs>
        <w:numPr>
          <w:ilvl w:val="2"/>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Screen Rate for the relevant Quoted Tenor is calculated in accordance with any such policy or arrangement for a period no less than one month; or</w:t>
      </w:r>
    </w:p>
    <w:p>
      <w:pPr>
        <w:spacing w:after="0" w:line="76"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 that Screen Rate for all of the Quoted Tenor is otherwise no longer appropriate for the purposes of calculating interest under this Agreement.</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DEBT PURCHASE TRANSACTIONS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35.1 Prohibition on Debt Purchase Transactions</w:t>
      </w:r>
    </w:p>
    <w:p>
      <w:pPr>
        <w:spacing w:after="0" w:line="112" w:lineRule="exact"/>
        <w:rPr>
          <w:sz w:val="20"/>
          <w:szCs w:val="20"/>
          <w:color w:val="auto"/>
        </w:rPr>
      </w:pPr>
    </w:p>
    <w:p>
      <w:pPr>
        <w:ind w:left="430" w:right="100"/>
        <w:spacing w:after="0" w:line="280" w:lineRule="auto"/>
        <w:rPr>
          <w:sz w:val="20"/>
          <w:szCs w:val="20"/>
          <w:color w:val="auto"/>
        </w:rPr>
      </w:pPr>
      <w:r>
        <w:rPr>
          <w:rFonts w:ascii="Times New Roman" w:cs="Times New Roman" w:eastAsia="Times New Roman" w:hAnsi="Times New Roman"/>
          <w:sz w:val="17"/>
          <w:szCs w:val="17"/>
          <w:color w:val="auto"/>
        </w:rPr>
        <w:t>No Obligor shall, and the Guarantor shall procure that (except with the prior written consent of the Agent (acting on the instructions of all of the Lenders)) no Group Member or any Affiliate of any Group Member shall (a) enter into any Debt Purchase Transaction or (b) be (i) a Lender or (ii) a party to a Debt Purchase Transaction of the type referred to in any of paragraphs (b) or (c) of the definition of “Debt Purchase Transaction”.</w:t>
      </w:r>
    </w:p>
    <w:p>
      <w:pPr>
        <w:spacing w:after="0" w:line="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35.2 Notification to other Lenders of Debt Purchase Transactions</w:t>
      </w:r>
    </w:p>
    <w:p>
      <w:pPr>
        <w:spacing w:after="0" w:line="112" w:lineRule="exact"/>
        <w:rPr>
          <w:sz w:val="20"/>
          <w:szCs w:val="20"/>
          <w:color w:val="auto"/>
        </w:rPr>
      </w:pPr>
    </w:p>
    <w:p>
      <w:pPr>
        <w:ind w:left="430"/>
        <w:spacing w:after="0" w:line="250" w:lineRule="auto"/>
        <w:rPr>
          <w:sz w:val="20"/>
          <w:szCs w:val="20"/>
          <w:color w:val="auto"/>
        </w:rPr>
      </w:pPr>
      <w:r>
        <w:rPr>
          <w:rFonts w:ascii="Times New Roman" w:cs="Times New Roman" w:eastAsia="Times New Roman" w:hAnsi="Times New Roman"/>
          <w:sz w:val="18"/>
          <w:szCs w:val="18"/>
          <w:color w:val="auto"/>
        </w:rPr>
        <w:t>Without prejudice to Clause 35.1 (Prohibition on Debt Purchase Transactions) and Clause 23.12 (Assignments and transfers to Group Members), any Group Member or any Affiliate of any Group Member which is or becomes a Lender or which enters into a Debt Purchase Transaction as a purchaser, an acquirer or a participant (or similar capacity) shall (or the Borrower shall, on its behalf), by 5pm on the Business Day following the day on which it entered into that Debt Purchase Transaction, notify the Agent of the extent of the Commitment(s) (or any commitment represented thereby), any Loan or any amount(s) outstanding to which that Debt Purchase Transaction relates. The Agent shall promptly disclose such information to the Lenders.</w:t>
      </w:r>
    </w:p>
    <w:p>
      <w:pPr>
        <w:spacing w:after="0" w:line="330" w:lineRule="exact"/>
        <w:rPr>
          <w:sz w:val="20"/>
          <w:szCs w:val="20"/>
          <w:color w:val="auto"/>
        </w:rPr>
      </w:pPr>
    </w:p>
    <w:p>
      <w:pPr>
        <w:ind w:left="430" w:hanging="430"/>
        <w:spacing w:after="0"/>
        <w:tabs>
          <w:tab w:leader="none" w:pos="430" w:val="left"/>
        </w:tabs>
        <w:numPr>
          <w:ilvl w:val="0"/>
          <w:numId w:val="6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12" w:lineRule="exact"/>
        <w:rPr>
          <w:rFonts w:ascii="Times New Roman" w:cs="Times New Roman" w:eastAsia="Times New Roman" w:hAnsi="Times New Roman"/>
          <w:sz w:val="18"/>
          <w:szCs w:val="18"/>
          <w:b w:val="1"/>
          <w:bCs w:val="1"/>
          <w:color w:val="auto"/>
        </w:rPr>
      </w:pPr>
    </w:p>
    <w:p>
      <w:pPr>
        <w:ind w:left="430" w:right="1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such counterparts were on a single copy of this Agreement.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 PATRIOT ACT</w:t>
      </w:r>
    </w:p>
    <w:p>
      <w:pPr>
        <w:spacing w:after="0" w:line="112" w:lineRule="exact"/>
        <w:rPr>
          <w:rFonts w:ascii="Times New Roman" w:cs="Times New Roman" w:eastAsia="Times New Roman" w:hAnsi="Times New Roman"/>
          <w:sz w:val="18"/>
          <w:szCs w:val="18"/>
          <w:b w:val="1"/>
          <w:bCs w:val="1"/>
          <w:color w:val="auto"/>
        </w:rPr>
      </w:pPr>
    </w:p>
    <w:p>
      <w:pPr>
        <w:ind w:left="430" w:right="1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Lender that is subject to the requirements of the U.S.A. Patriot Act hereby notifies the Borrower that pursuant to the requirements of the U.S.A. Patriot Act, such Lender is required to obtain, verify and record information that identifies the Borrower, which information includes the name and address of the Borrower and other information that will allow such Lender to identify the Borrower in accordance with the U.S.A. Patriot Act.</w:t>
      </w:r>
    </w:p>
    <w:p>
      <w:pPr>
        <w:spacing w:after="0" w:line="328"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BAIL-IN</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38.1 Contractual recognition of bail-in</w:t>
      </w:r>
    </w:p>
    <w:p>
      <w:pPr>
        <w:spacing w:after="0" w:line="112" w:lineRule="exact"/>
        <w:rPr>
          <w:sz w:val="20"/>
          <w:szCs w:val="20"/>
          <w:color w:val="auto"/>
        </w:rPr>
      </w:pPr>
    </w:p>
    <w:p>
      <w:pPr>
        <w:jc w:val="both"/>
        <w:ind w:left="430" w:right="100"/>
        <w:spacing w:after="0" w:line="258"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86" w:lineRule="exact"/>
        <w:rPr>
          <w:sz w:val="20"/>
          <w:szCs w:val="20"/>
          <w:color w:val="auto"/>
        </w:rPr>
      </w:pPr>
    </w:p>
    <w:p>
      <w:pPr>
        <w:ind w:left="1050" w:hanging="626"/>
        <w:spacing w:after="0"/>
        <w:tabs>
          <w:tab w:leader="none" w:pos="105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123" w:lineRule="exact"/>
        <w:rPr>
          <w:rFonts w:ascii="Times New Roman" w:cs="Times New Roman" w:eastAsia="Times New Roman" w:hAnsi="Times New Roman"/>
          <w:sz w:val="18"/>
          <w:szCs w:val="18"/>
          <w:color w:val="auto"/>
        </w:rPr>
      </w:pPr>
    </w:p>
    <w:p>
      <w:pPr>
        <w:ind w:left="1710" w:right="120" w:hanging="639"/>
        <w:spacing w:after="0" w:line="270" w:lineRule="auto"/>
        <w:tabs>
          <w:tab w:leader="none" w:pos="1710"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76" w:lineRule="exact"/>
        <w:rPr>
          <w:rFonts w:ascii="Times New Roman" w:cs="Times New Roman" w:eastAsia="Times New Roman" w:hAnsi="Times New Roman"/>
          <w:sz w:val="18"/>
          <w:szCs w:val="18"/>
          <w:color w:val="auto"/>
        </w:rPr>
      </w:pPr>
    </w:p>
    <w:p>
      <w:pPr>
        <w:ind w:left="1710" w:hanging="639"/>
        <w:spacing w:after="0" w:line="270" w:lineRule="auto"/>
        <w:tabs>
          <w:tab w:leader="none" w:pos="1710"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70"/>
          </w:cols>
          <w:pgMar w:left="550" w:top="265" w:right="579" w:bottom="1440" w:gutter="0" w:footer="0" w:header="0"/>
        </w:sectPr>
      </w:pPr>
    </w:p>
    <w:bookmarkStart w:id="581" w:name="page582"/>
    <w:bookmarkEnd w:id="581"/>
    <w:p>
      <w:pPr>
        <w:ind w:left="1050" w:right="480" w:hanging="626"/>
        <w:spacing w:after="0" w:line="270" w:lineRule="auto"/>
        <w:tabs>
          <w:tab w:leader="none" w:pos="1050"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 variation of any term of any Finance Document to the extent necessary to give effect to any Bail-In Action in relation to any such liability.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38.2 Bail-in definitions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In this Clause 38:</w:t>
      </w:r>
    </w:p>
    <w:p>
      <w:pPr>
        <w:spacing w:after="0" w:line="108" w:lineRule="exact"/>
        <w:rPr>
          <w:sz w:val="20"/>
          <w:szCs w:val="20"/>
          <w:color w:val="auto"/>
        </w:rPr>
      </w:pPr>
    </w:p>
    <w:p>
      <w:pPr>
        <w:ind w:left="430"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Article 55 BRRD </w:t>
      </w:r>
      <w:r>
        <w:rPr>
          <w:rFonts w:ascii="Times New Roman" w:cs="Times New Roman" w:eastAsia="Times New Roman" w:hAnsi="Times New Roman"/>
          <w:sz w:val="18"/>
          <w:szCs w:val="18"/>
          <w:color w:val="auto"/>
        </w:rPr>
        <w:t>means Article 55 of Directive 2014/59/EU establishing a framework for the recovery and resolution of credit institutions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firms.</w:t>
      </w:r>
    </w:p>
    <w:p>
      <w:pPr>
        <w:spacing w:after="0" w:line="5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Bail-In Action </w:t>
      </w:r>
      <w:r>
        <w:rPr>
          <w:rFonts w:ascii="Times New Roman" w:cs="Times New Roman" w:eastAsia="Times New Roman" w:hAnsi="Times New Roman"/>
          <w:sz w:val="18"/>
          <w:szCs w:val="18"/>
          <w:color w:val="auto"/>
        </w:rPr>
        <w:t>means the exercise of any Write-down and Conversion Powers.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Bail-In Legislation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620" w:hanging="626"/>
        <w:spacing w:after="0" w:line="270" w:lineRule="auto"/>
        <w:tabs>
          <w:tab w:leader="none" w:pos="105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6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EEA Member Country </w:t>
      </w:r>
      <w:r>
        <w:rPr>
          <w:rFonts w:ascii="Times New Roman" w:cs="Times New Roman" w:eastAsia="Times New Roman" w:hAnsi="Times New Roman"/>
          <w:sz w:val="18"/>
          <w:szCs w:val="18"/>
          <w:color w:val="auto"/>
        </w:rPr>
        <w:t>means any member state of the European Union, Iceland, Liechtenstein and Norway.</w:t>
      </w:r>
    </w:p>
    <w:p>
      <w:pPr>
        <w:spacing w:after="0" w:line="110" w:lineRule="exact"/>
        <w:rPr>
          <w:sz w:val="20"/>
          <w:szCs w:val="20"/>
          <w:color w:val="auto"/>
        </w:rPr>
      </w:pPr>
    </w:p>
    <w:p>
      <w:pPr>
        <w:ind w:left="430" w:right="5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EU Bail-In Legislation Schedule </w:t>
      </w:r>
      <w:r>
        <w:rPr>
          <w:rFonts w:ascii="Times New Roman" w:cs="Times New Roman" w:eastAsia="Times New Roman" w:hAnsi="Times New Roman"/>
          <w:sz w:val="18"/>
          <w:szCs w:val="18"/>
          <w:color w:val="auto"/>
        </w:rPr>
        <w:t>means the document described as such and published by the Loan Market Association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from time to time.</w:t>
      </w:r>
    </w:p>
    <w:p>
      <w:pPr>
        <w:spacing w:after="0" w:line="5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Resolution Authority </w:t>
      </w:r>
      <w:r>
        <w:rPr>
          <w:rFonts w:ascii="Times New Roman" w:cs="Times New Roman" w:eastAsia="Times New Roman" w:hAnsi="Times New Roman"/>
          <w:sz w:val="18"/>
          <w:szCs w:val="18"/>
          <w:color w:val="auto"/>
        </w:rPr>
        <w:t>means any body which has authority to exercise any Write-down and Conversion Powers.</w:t>
      </w:r>
    </w:p>
    <w:p>
      <w:pPr>
        <w:spacing w:after="0" w:line="110" w:lineRule="exact"/>
        <w:rPr>
          <w:sz w:val="20"/>
          <w:szCs w:val="20"/>
          <w:color w:val="auto"/>
        </w:rPr>
      </w:pPr>
    </w:p>
    <w:p>
      <w:pPr>
        <w:ind w:left="43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UK Bail-In Legislation </w:t>
      </w:r>
      <w:r>
        <w:rPr>
          <w:rFonts w:ascii="Times New Roman" w:cs="Times New Roman" w:eastAsia="Times New Roman" w:hAnsi="Times New Roman"/>
          <w:sz w:val="18"/>
          <w:szCs w:val="18"/>
          <w:color w:val="auto"/>
        </w:rPr>
        <w:t>means Part I of the United Kingdom Banking Act 2009 and any other law or regulation applicable in the United Kingdom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resolution of unsound or failing banks, investment firms or other financial institutions or their affiliates (otherwise than through liquidation, administration or other insolvency proceedings).</w:t>
      </w:r>
    </w:p>
    <w:p>
      <w:pPr>
        <w:spacing w:after="0" w:line="7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Write-down and Conversion Powers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 w:hanging="626"/>
        <w:spacing w:after="0" w:line="270" w:lineRule="auto"/>
        <w:tabs>
          <w:tab w:leader="none" w:pos="105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76" w:lineRule="exact"/>
        <w:rPr>
          <w:rFonts w:ascii="Times New Roman" w:cs="Times New Roman" w:eastAsia="Times New Roman" w:hAnsi="Times New Roman"/>
          <w:sz w:val="18"/>
          <w:szCs w:val="18"/>
          <w:color w:val="auto"/>
        </w:rPr>
      </w:pPr>
    </w:p>
    <w:p>
      <w:pPr>
        <w:ind w:left="1050" w:right="60" w:hanging="626"/>
        <w:spacing w:after="0" w:line="250" w:lineRule="auto"/>
        <w:tabs>
          <w:tab w:leader="none" w:pos="105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94"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other applicable Bail-In Legislation:</w:t>
      </w:r>
    </w:p>
    <w:p>
      <w:pPr>
        <w:spacing w:after="0" w:line="123" w:lineRule="exact"/>
        <w:rPr>
          <w:rFonts w:ascii="Times New Roman" w:cs="Times New Roman" w:eastAsia="Times New Roman" w:hAnsi="Times New Roman"/>
          <w:sz w:val="18"/>
          <w:szCs w:val="18"/>
          <w:color w:val="auto"/>
        </w:rPr>
      </w:pPr>
    </w:p>
    <w:p>
      <w:pPr>
        <w:ind w:left="1710" w:right="20" w:hanging="639"/>
        <w:spacing w:after="0" w:line="250" w:lineRule="auto"/>
        <w:tabs>
          <w:tab w:leader="none" w:pos="1710" w:val="left"/>
        </w:tabs>
        <w:numPr>
          <w:ilvl w:val="2"/>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94"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359"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6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HK STAY RULES</w:t>
      </w:r>
    </w:p>
    <w:p>
      <w:pPr>
        <w:spacing w:after="0" w:line="126" w:lineRule="exact"/>
        <w:rPr>
          <w:sz w:val="20"/>
          <w:szCs w:val="20"/>
          <w:color w:val="auto"/>
        </w:rPr>
      </w:pPr>
    </w:p>
    <w:p>
      <w:pPr>
        <w:ind w:left="430" w:right="180" w:hanging="430"/>
        <w:spacing w:after="0" w:line="250" w:lineRule="auto"/>
        <w:tabs>
          <w:tab w:leader="none" w:pos="43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any Finance Document is or becomes a “covered contract” (within the meaning of the Financial Institutions (Resolution) (Contractual Recognition of Suspension of Termination Rights – Banking Sector) Rules (Cap. 628C) of Hong Kong (the </w:t>
      </w:r>
      <w:r>
        <w:rPr>
          <w:rFonts w:ascii="Times New Roman" w:cs="Times New Roman" w:eastAsia="Times New Roman" w:hAnsi="Times New Roman"/>
          <w:sz w:val="18"/>
          <w:szCs w:val="18"/>
          <w:b w:val="1"/>
          <w:bCs w:val="1"/>
          <w:color w:val="auto"/>
        </w:rPr>
        <w:t>Stay Rules</w:t>
      </w:r>
      <w:r>
        <w:rPr>
          <w:rFonts w:ascii="Times New Roman" w:cs="Times New Roman" w:eastAsia="Times New Roman" w:hAnsi="Times New Roman"/>
          <w:sz w:val="18"/>
          <w:szCs w:val="18"/>
          <w:color w:val="auto"/>
        </w:rPr>
        <w:t>)), the Parties agree that, despite any other term or conditions of any Finance Document or any other agreement, arrangement or understanding, the parties (other than an excluded counterparty (within the meaning of the Stay Rules)) will be bound by a suspension of a “termination right” (within the meaning of the Stay Rules) in relation to this Agreement imposed by the Resolution Authority under section 90(2) of the Financial Institutions (Resolution) Ordinance (Cap. 628) of Hong Kong.</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90"/>
          </w:cols>
          <w:pgMar w:left="550" w:top="266" w:right="559" w:bottom="1440" w:gutter="0" w:footer="0" w:header="0"/>
        </w:sectPr>
      </w:pPr>
    </w:p>
    <w:bookmarkStart w:id="582" w:name="page583"/>
    <w:bookmarkEnd w:id="582"/>
    <w:p>
      <w:pPr>
        <w:ind w:left="430" w:hanging="430"/>
        <w:spacing w:after="0"/>
        <w:tabs>
          <w:tab w:leader="none" w:pos="43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For the purpose of this Clause 39:</w:t>
      </w:r>
    </w:p>
    <w:p>
      <w:pPr>
        <w:spacing w:after="0" w:line="108" w:lineRule="exact"/>
        <w:rPr>
          <w:rFonts w:ascii="Times New Roman" w:cs="Times New Roman" w:eastAsia="Times New Roman" w:hAnsi="Times New Roman"/>
          <w:sz w:val="18"/>
          <w:szCs w:val="18"/>
          <w:color w:val="auto"/>
        </w:rPr>
      </w:pPr>
    </w:p>
    <w:p>
      <w:pPr>
        <w:ind w:left="430" w:right="2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Resolution Authority </w:t>
      </w:r>
      <w:r>
        <w:rPr>
          <w:rFonts w:ascii="Times New Roman" w:cs="Times New Roman" w:eastAsia="Times New Roman" w:hAnsi="Times New Roman"/>
          <w:sz w:val="18"/>
          <w:szCs w:val="18"/>
          <w:color w:val="auto"/>
        </w:rPr>
        <w:t>means the resolution authority in relation to a banking sector entity from time to time, which is currently the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Monetary Authority.</w:t>
      </w:r>
    </w:p>
    <w:p>
      <w:pPr>
        <w:spacing w:after="0" w:line="309" w:lineRule="exact"/>
        <w:rPr>
          <w:sz w:val="20"/>
          <w:szCs w:val="20"/>
          <w:color w:val="auto"/>
        </w:rPr>
      </w:pPr>
    </w:p>
    <w:p>
      <w:pPr>
        <w:ind w:left="430" w:hanging="430"/>
        <w:spacing w:after="0"/>
        <w:tabs>
          <w:tab w:leader="none" w:pos="430" w:val="left"/>
        </w:tabs>
        <w:numPr>
          <w:ilvl w:val="0"/>
          <w:numId w:val="6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BANKING (EXPOSURE LIMITS) RULES</w:t>
      </w:r>
    </w:p>
    <w:p>
      <w:pPr>
        <w:spacing w:after="0" w:line="126" w:lineRule="exact"/>
        <w:rPr>
          <w:sz w:val="20"/>
          <w:szCs w:val="20"/>
          <w:color w:val="auto"/>
        </w:rPr>
      </w:pPr>
    </w:p>
    <w:p>
      <w:pPr>
        <w:ind w:left="430" w:right="380" w:hanging="430"/>
        <w:spacing w:after="0" w:line="258" w:lineRule="auto"/>
        <w:tabs>
          <w:tab w:leader="none" w:pos="43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that the Banking (Exposure Limits) Rules (Cap. 155S) and regulations in respect thereof in Hong Kong have imposed on each Lender incorporated in Hong Kong certain limitations on advances to persons related or connected to the applicable Finance Party Group. By entering into this Agreement, the Borrower agrees that:</w:t>
      </w:r>
    </w:p>
    <w:p>
      <w:pPr>
        <w:spacing w:after="0" w:line="85" w:lineRule="exact"/>
        <w:rPr>
          <w:rFonts w:ascii="Times New Roman" w:cs="Times New Roman" w:eastAsia="Times New Roman" w:hAnsi="Times New Roman"/>
          <w:sz w:val="18"/>
          <w:szCs w:val="18"/>
          <w:color w:val="auto"/>
        </w:rPr>
      </w:pPr>
    </w:p>
    <w:p>
      <w:pPr>
        <w:ind w:left="1050" w:right="140" w:hanging="626"/>
        <w:spacing w:after="0" w:line="270" w:lineRule="auto"/>
        <w:tabs>
          <w:tab w:leader="none" w:pos="105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to the best of its knowledge, advise the relevant Lender in writing if it is in any way related or connected to the relevant Finance Party Group; and</w:t>
      </w:r>
    </w:p>
    <w:p>
      <w:pPr>
        <w:spacing w:after="0" w:line="76" w:lineRule="exact"/>
        <w:rPr>
          <w:rFonts w:ascii="Times New Roman" w:cs="Times New Roman" w:eastAsia="Times New Roman" w:hAnsi="Times New Roman"/>
          <w:sz w:val="18"/>
          <w:szCs w:val="18"/>
          <w:color w:val="auto"/>
        </w:rPr>
      </w:pPr>
    </w:p>
    <w:p>
      <w:pPr>
        <w:ind w:left="1050" w:right="420" w:hanging="626"/>
        <w:spacing w:after="0" w:line="270" w:lineRule="auto"/>
        <w:tabs>
          <w:tab w:leader="none" w:pos="105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becomes aware that it is so related or connected at any time after the date of this Agreement, that it shall immediately advise the relevant Lender in writing,</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and, in each case, in the absence of such advice, each relevant Lender will assume that the Borrower is not so related or connected.</w:t>
      </w:r>
    </w:p>
    <w:p>
      <w:pPr>
        <w:spacing w:after="0" w:line="124" w:lineRule="exact"/>
        <w:rPr>
          <w:sz w:val="20"/>
          <w:szCs w:val="20"/>
          <w:color w:val="auto"/>
        </w:rPr>
      </w:pPr>
    </w:p>
    <w:p>
      <w:pPr>
        <w:ind w:left="430" w:hanging="430"/>
        <w:spacing w:after="0" w:line="270" w:lineRule="auto"/>
        <w:tabs>
          <w:tab w:leader="none" w:pos="43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refer to Schedule 8 (Banking (Exposure Limits) Rules) for an explanation of when it may be considered related or connected to a Finance Party Group for the purposes of this Agreement.</w:t>
      </w:r>
    </w:p>
    <w:p>
      <w:pPr>
        <w:spacing w:after="0" w:line="312" w:lineRule="exact"/>
        <w:rPr>
          <w:sz w:val="20"/>
          <w:szCs w:val="20"/>
          <w:color w:val="auto"/>
        </w:rPr>
      </w:pPr>
    </w:p>
    <w:p>
      <w:pPr>
        <w:ind w:left="430" w:hanging="430"/>
        <w:spacing w:after="0"/>
        <w:tabs>
          <w:tab w:leader="none" w:pos="430"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6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42.1 Jurisdiction of English Courts</w:t>
      </w:r>
    </w:p>
    <w:p>
      <w:pPr>
        <w:spacing w:after="0" w:line="126" w:lineRule="exact"/>
        <w:rPr>
          <w:sz w:val="20"/>
          <w:szCs w:val="20"/>
          <w:color w:val="auto"/>
        </w:rPr>
      </w:pPr>
    </w:p>
    <w:p>
      <w:pPr>
        <w:ind w:left="430" w:right="320" w:hanging="430"/>
        <w:spacing w:after="0" w:line="258" w:lineRule="auto"/>
        <w:tabs>
          <w:tab w:leader="none" w:pos="43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of England have 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42.2 Service of process</w:t>
      </w:r>
    </w:p>
    <w:p>
      <w:pPr>
        <w:spacing w:after="0" w:line="126" w:lineRule="exact"/>
        <w:rPr>
          <w:sz w:val="20"/>
          <w:szCs w:val="20"/>
          <w:color w:val="auto"/>
        </w:rPr>
      </w:pPr>
    </w:p>
    <w:p>
      <w:pPr>
        <w:ind w:left="430" w:hanging="430"/>
        <w:spacing w:after="0"/>
        <w:tabs>
          <w:tab w:leader="none" w:pos="43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each Obligor:</w:t>
      </w:r>
    </w:p>
    <w:p>
      <w:pPr>
        <w:spacing w:after="0" w:line="123" w:lineRule="exact"/>
        <w:rPr>
          <w:rFonts w:ascii="Times New Roman" w:cs="Times New Roman" w:eastAsia="Times New Roman" w:hAnsi="Times New Roman"/>
          <w:sz w:val="18"/>
          <w:szCs w:val="18"/>
          <w:color w:val="auto"/>
        </w:rPr>
      </w:pPr>
    </w:p>
    <w:p>
      <w:pPr>
        <w:ind w:left="1050" w:right="100" w:hanging="626"/>
        <w:spacing w:after="0" w:line="300" w:lineRule="auto"/>
        <w:tabs>
          <w:tab w:leader="none" w:pos="1050" w:val="left"/>
        </w:tabs>
        <w:numPr>
          <w:ilvl w:val="1"/>
          <w:numId w:val="6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appoints Jingdong Retail (UK) Limited, as at the date of this Agreement, at Floor 3, 20 King Street, London, SW1Y 6QY, as its agent for service of process in relation to any proceedings before the English courts in connection with this Agreement; and</w:t>
      </w:r>
    </w:p>
    <w:p>
      <w:pPr>
        <w:spacing w:after="0" w:line="53"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 process agent to notify the relevant Obligor of the process will not invalidate the proceedings concerned.</w:t>
      </w:r>
    </w:p>
    <w:p>
      <w:pPr>
        <w:spacing w:after="0" w:line="123" w:lineRule="exact"/>
        <w:rPr>
          <w:rFonts w:ascii="Times New Roman" w:cs="Times New Roman" w:eastAsia="Times New Roman" w:hAnsi="Times New Roman"/>
          <w:sz w:val="18"/>
          <w:szCs w:val="18"/>
          <w:color w:val="auto"/>
        </w:rPr>
      </w:pPr>
    </w:p>
    <w:p>
      <w:pPr>
        <w:ind w:left="430" w:right="40" w:hanging="430"/>
        <w:spacing w:after="0" w:line="258" w:lineRule="auto"/>
        <w:tabs>
          <w:tab w:leader="none" w:pos="43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Borrower (for itself and on behalf of the Guarantor) must immediately (and in any event within ten (10) days of the event taking place) appoint another agent on terms acceptable to the Agent. Failing this, the Agent may appoint another agent for this purpose.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42.3 Waiver of immunity</w:t>
      </w:r>
    </w:p>
    <w:p>
      <w:pPr>
        <w:spacing w:after="0" w:line="112" w:lineRule="exact"/>
        <w:rPr>
          <w:sz w:val="20"/>
          <w:szCs w:val="20"/>
          <w:color w:val="auto"/>
        </w:rPr>
      </w:pPr>
    </w:p>
    <w:p>
      <w:pPr>
        <w:ind w:left="430" w:right="140"/>
        <w:spacing w:after="0" w:line="270" w:lineRule="auto"/>
        <w:rPr>
          <w:sz w:val="20"/>
          <w:szCs w:val="20"/>
          <w:color w:val="auto"/>
        </w:rPr>
      </w:pPr>
      <w:r>
        <w:rPr>
          <w:rFonts w:ascii="Times New Roman" w:cs="Times New Roman" w:eastAsia="Times New Roman" w:hAnsi="Times New Roman"/>
          <w:sz w:val="18"/>
          <w:szCs w:val="18"/>
          <w:color w:val="auto"/>
        </w:rPr>
        <w:t>Each Obligor irrevocably waives, to the extent permitted by applicable law, with respect to itself and its revenues and assets (irrespective of their use or intended use), all immunity on the grounds of sovereignty or other similar grounds from:</w:t>
      </w:r>
    </w:p>
    <w:p>
      <w:pPr>
        <w:spacing w:after="0" w:line="76" w:lineRule="exact"/>
        <w:rPr>
          <w:sz w:val="20"/>
          <w:szCs w:val="20"/>
          <w:color w:val="auto"/>
        </w:rPr>
      </w:pPr>
    </w:p>
    <w:p>
      <w:pPr>
        <w:ind w:left="1050" w:hanging="626"/>
        <w:spacing w:after="0"/>
        <w:tabs>
          <w:tab w:leader="none" w:pos="105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of any court;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by way of injunction or order for specific performance or recovery of property;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of its assets (whether before or after judgment); and</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58" w:lineRule="auto"/>
        <w:tabs>
          <w:tab w:leader="none" w:pos="105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90"/>
          </w:cols>
          <w:pgMar w:left="550" w:top="266" w:right="5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THIS AGREEMENT </w:t>
      </w:r>
      <w:r>
        <w:rPr>
          <w:rFonts w:ascii="Times New Roman" w:cs="Times New Roman" w:eastAsia="Times New Roman" w:hAnsi="Times New Roman"/>
          <w:sz w:val="17"/>
          <w:szCs w:val="17"/>
          <w:color w:val="auto"/>
        </w:rPr>
        <w:t>has been entered into on the date stated at the beginning of this Agreement.</w:t>
      </w:r>
    </w:p>
    <w:p>
      <w:pPr>
        <w:sectPr>
          <w:pgSz w:w="11900" w:h="16838" w:orient="portrait"/>
          <w:cols w:equalWidth="0" w:num="1">
            <w:col w:w="9899"/>
          </w:cols>
          <w:pgMar w:left="560" w:top="264" w:right="1440" w:bottom="1440" w:gutter="0" w:footer="0" w:header="0"/>
        </w:sectPr>
      </w:pPr>
    </w:p>
    <w:p>
      <w:pPr>
        <w:spacing w:after="0" w:line="1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899"/>
          </w:cols>
          <w:pgMar w:left="560" w:top="264" w:right="1440" w:bottom="1440" w:gutter="0" w:footer="0" w:header="0"/>
          <w:type w:val="continuous"/>
        </w:sectPr>
      </w:pPr>
    </w:p>
    <w:bookmarkStart w:id="584" w:name="page585"/>
    <w:bookmarkEnd w:id="58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68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5">
                      <a:extLst>
                        <a:ext uri="{28A0092B-C50C-407E-A947-70E740481C1C}"/>
                      </a:extLst>
                    </a:blip>
                    <a:srcRect/>
                    <a:stretch>
                      <a:fillRect/>
                    </a:stretch>
                  </pic:blipFill>
                  <pic:spPr bwMode="auto">
                    <a:xfrm>
                      <a:off x="0" y="0"/>
                      <a:ext cx="7177405" cy="36830"/>
                    </a:xfrm>
                    <a:prstGeom prst="rect">
                      <a:avLst/>
                    </a:prstGeom>
                    <a:noFill/>
                  </pic:spPr>
                </pic:pic>
              </a:graphicData>
            </a:graphic>
          </wp:anchor>
        </w:drawing>
        <w:t>SCHEDULES AND SIGNATORIES</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[REDACTED]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019"/>
          </w:cols>
          <w:pgMar w:left="1440" w:top="263" w:right="1440" w:bottom="1440" w:gutter="0" w:footer="0" w:header="0"/>
          <w:type w:val="continuous"/>
        </w:sectPr>
      </w:pPr>
    </w:p>
    <w:bookmarkStart w:id="585" w:name="page586"/>
    <w:bookmarkEnd w:id="585"/>
    <w:p>
      <w:pPr>
        <w:ind w:left="9860"/>
        <w:spacing w:after="0"/>
        <w:rPr>
          <w:sz w:val="20"/>
          <w:szCs w:val="20"/>
          <w:color w:val="auto"/>
        </w:rPr>
      </w:pPr>
      <w:r>
        <w:rPr>
          <w:rFonts w:ascii="Times New Roman" w:cs="Times New Roman" w:eastAsia="Times New Roman" w:hAnsi="Times New Roman"/>
          <w:sz w:val="17"/>
          <w:szCs w:val="17"/>
          <w:b w:val="1"/>
          <w:bCs w:val="1"/>
          <w:color w:val="auto"/>
        </w:rPr>
        <w:t>Exhibit 4.38</w:t>
      </w:r>
    </w:p>
    <w:p>
      <w:pPr>
        <w:spacing w:after="0" w:line="228"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color w:val="auto"/>
        </w:rPr>
        <w:t>THE SYMBOL “[***]” OR “[REDACTED]” DENOTES PLACES WHERE CERTAIN IDENTIFIED INFORMATION HAS BEEN EXCLUDED FROM THE EXHIBIT BECAUSE IT IS BOTH (i) NOT MATERIAL, AND (ii) IS THE TYPE THAT THE REGISTRANT TREATS AS PRIVATE OR CONFIDENTIAL.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AGREEMENT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(FACILITY B)</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July 2025 (Germany time)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JINGDONG HOLDING GERMANY GMBH</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Guarantor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CHARTERED BANK (HONG KONG) LIMITED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 OF AMERICA, NATIONAL ASSOCIATION, HONG KONG BRANCH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Mandated Lead Arrangers, Bookrunners and Underwriters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HONGKONG AND SHANGHAI BANKING CORPORATION LIMITED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BANKS AND FINANCIAL INSTITUTIONS LISTED HEREIN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Original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154305</wp:posOffset>
            </wp:positionV>
            <wp:extent cx="2769870" cy="6883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6">
                      <a:extLst>
                        <a:ext uri="{28A0092B-C50C-407E-A947-70E740481C1C}"/>
                      </a:extLst>
                    </a:blip>
                    <a:srcRect/>
                    <a:stretch>
                      <a:fillRect/>
                    </a:stretch>
                  </pic:blipFill>
                  <pic:spPr bwMode="auto">
                    <a:xfrm>
                      <a:off x="0" y="0"/>
                      <a:ext cx="2769870" cy="688340"/>
                    </a:xfrm>
                    <a:prstGeom prst="rect">
                      <a:avLst/>
                    </a:prstGeom>
                    <a:noFill/>
                  </pic:spPr>
                </pic:pic>
              </a:graphicData>
            </a:graphic>
          </wp:anchor>
        </w:drawing>
      </w:r>
    </w:p>
    <w:p>
      <w:pPr>
        <w:sectPr>
          <w:pgSz w:w="11900" w:h="16838" w:orient="portrait"/>
          <w:cols w:equalWidth="0" w:num="1">
            <w:col w:w="10780"/>
          </w:cols>
          <w:pgMar w:left="560" w:top="118" w:right="559" w:bottom="1440" w:gutter="0" w:footer="0" w:header="0"/>
        </w:sectPr>
      </w:pPr>
    </w:p>
    <w:bookmarkStart w:id="586" w:name="page587"/>
    <w:bookmarkEnd w:id="586"/>
    <w:tbl>
      <w:tblPr>
        <w:tblLayout w:type="fixed"/>
        <w:tblInd w:w="0" w:type="dxa"/>
        <w:tblCellMar>
          <w:top w:w="0" w:type="dxa"/>
          <w:left w:w="0" w:type="dxa"/>
          <w:bottom w:w="0" w:type="dxa"/>
          <w:right w:w="0" w:type="dxa"/>
        </w:tblCellMar>
      </w:tblPr>
      <w:tr>
        <w:trPr>
          <w:trHeight w:val="231"/>
        </w:trPr>
        <w:tc>
          <w:tcPr>
            <w:tcW w:w="4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480" w:type="dxa"/>
            <w:vAlign w:val="bottom"/>
          </w:tcPr>
          <w:p>
            <w:pPr>
              <w:jc w:val="right"/>
              <w:ind w:right="4772"/>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366"/>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37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Facility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of Utilisation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Utilisation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 and Cancellation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Periods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Calculation of Interest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Gross Up and Indemnities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Increased Costs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Mitigation by the Lenders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Indemnities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and Indemnity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Representations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Information Undertakings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Undertakings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Lenders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to the Obligors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Role of the administrative parties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Sharing among the Finance Parties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Mechanics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Set-Off</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Calculations and Certificates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Partial Invalidity</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and Waivers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 on Debt Purchase Transactions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Bail-in</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HK Stay Rules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Banking (Exposure Limits) Rules</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jc w:val="right"/>
        <w:spacing w:after="0"/>
        <w:rPr>
          <w:sz w:val="20"/>
          <w:szCs w:val="20"/>
          <w:color w:val="auto"/>
        </w:rPr>
        <w:sectPr>
          <w:pgSz w:w="11900" w:h="16838" w:orient="portrait"/>
          <w:cols w:equalWidth="0" w:num="1">
            <w:col w:w="10720"/>
          </w:cols>
          <w:pgMar w:left="560" w:top="264"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7">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bookmarkStart w:id="587" w:name="page588"/>
    <w:bookmarkEnd w:id="587"/>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Original Lenders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Conditions Precedent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2"/>
        </w:trPr>
        <w:tc>
          <w:tcPr>
            <w:tcW w:w="3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Part 1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Precedent to Initial Utilisation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2"/>
        </w:trPr>
        <w:tc>
          <w:tcPr>
            <w:tcW w:w="3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Part 2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Precedent to be delivered by the Target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Requests</w:t>
            </w:r>
          </w:p>
        </w:tc>
        <w:tc>
          <w:tcPr>
            <w:tcW w:w="1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2"/>
        </w:trPr>
        <w:tc>
          <w:tcPr>
            <w:tcW w:w="3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Part 1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Utilisation Request</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2"/>
        </w:trPr>
        <w:tc>
          <w:tcPr>
            <w:tcW w:w="3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5"/>
              </w:rPr>
              <w:t>Part 2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Selection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Transfer Certificate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7"/>
              </w:rPr>
              <w:t>Timetables</w:t>
            </w:r>
          </w:p>
        </w:tc>
        <w:tc>
          <w:tcPr>
            <w:tcW w:w="636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Increase Confirmation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Banking (Exposure Limits) Rules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Accession Deed</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42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Signatories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jc w:val="right"/>
        <w:spacing w:after="0"/>
        <w:rPr>
          <w:sz w:val="20"/>
          <w:szCs w:val="20"/>
          <w:color w:val="auto"/>
        </w:rPr>
        <w:sectPr>
          <w:pgSz w:w="11900" w:h="16838" w:orient="portrait"/>
          <w:cols w:equalWidth="0" w:num="1">
            <w:col w:w="10720"/>
          </w:cols>
          <w:pgMar w:left="560" w:top="251" w:right="61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8">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bookmarkStart w:id="588" w:name="page589"/>
    <w:bookmarkEnd w:id="588"/>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THIS AGREEMENT </w:t>
      </w:r>
      <w:r>
        <w:rPr>
          <w:rFonts w:ascii="Times New Roman" w:cs="Times New Roman" w:eastAsia="Times New Roman" w:hAnsi="Times New Roman"/>
          <w:sz w:val="18"/>
          <w:szCs w:val="18"/>
          <w:color w:val="auto"/>
        </w:rPr>
        <w:t>is made on 30 July 2025 (Germany time) and made</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24" w:lineRule="exact"/>
        <w:rPr>
          <w:sz w:val="20"/>
          <w:szCs w:val="20"/>
          <w:color w:val="auto"/>
        </w:rPr>
      </w:pPr>
    </w:p>
    <w:p>
      <w:pPr>
        <w:jc w:val="both"/>
        <w:ind w:left="430" w:hanging="430"/>
        <w:spacing w:after="0" w:line="259" w:lineRule="auto"/>
        <w:tabs>
          <w:tab w:leader="none" w:pos="43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JINGDONG HOLDING GERMANY GMBH</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 organised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Düsseldorf under registration number HRB 107672 as original borrower (the </w:t>
      </w:r>
      <w:r>
        <w:rPr>
          <w:rFonts w:ascii="Times New Roman" w:cs="Times New Roman" w:eastAsia="Times New Roman" w:hAnsi="Times New Roman"/>
          <w:sz w:val="18"/>
          <w:szCs w:val="18"/>
          <w:b w:val="1"/>
          <w:bCs w:val="1"/>
          <w:color w:val="auto"/>
        </w:rPr>
        <w:t>Original Borrower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30" w:hanging="430"/>
        <w:spacing w:after="0" w:line="259" w:lineRule="auto"/>
        <w:tabs>
          <w:tab w:leader="none" w:pos="43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JD.COM, INC.</w:t>
      </w:r>
      <w:r>
        <w:rPr>
          <w:rFonts w:ascii="Times New Roman" w:cs="Times New Roman" w:eastAsia="Times New Roman" w:hAnsi="Times New Roman"/>
          <w:sz w:val="18"/>
          <w:szCs w:val="18"/>
          <w:color w:val="auto"/>
        </w:rPr>
        <w:t>, an exempted company registered by way of continuation into the Cayman Islands with limited liability and registration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284373 whose registered office is at Maples Corporate Services Limited, P.O. Box 309, Ugland House, South Church Street, George Town, Grand Cayman, KY1-1104, Cayman Islands as guarantor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jc w:val="both"/>
        <w:ind w:left="430" w:right="220" w:hanging="430"/>
        <w:spacing w:after="0" w:line="259" w:lineRule="auto"/>
        <w:tabs>
          <w:tab w:leader="none" w:pos="43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HONGKONG AND SHANGHAI BANKING CORPORATION LIMITED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STANDARD CHARTERED BANK (HONG KONG) LIMITED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BANK OF AMERICA, NATIONAL ASSOCIATION, HONG KONG BRANCH</w:t>
      </w:r>
      <w:r>
        <w:rPr>
          <w:rFonts w:ascii="Times New Roman" w:cs="Times New Roman" w:eastAsia="Times New Roman" w:hAnsi="Times New Roman"/>
          <w:sz w:val="18"/>
          <w:szCs w:val="18"/>
          <w:color w:val="auto"/>
        </w:rPr>
        <w:t>, as mandated lead arrangers, bookrunners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underwriters (the </w:t>
      </w:r>
      <w:r>
        <w:rPr>
          <w:rFonts w:ascii="Times New Roman" w:cs="Times New Roman" w:eastAsia="Times New Roman" w:hAnsi="Times New Roman"/>
          <w:sz w:val="18"/>
          <w:szCs w:val="18"/>
          <w:b w:val="1"/>
          <w:bCs w:val="1"/>
          <w:color w:val="auto"/>
        </w:rPr>
        <w:t>MLABUs</w:t>
      </w:r>
      <w:r>
        <w:rPr>
          <w:rFonts w:ascii="Times New Roman" w:cs="Times New Roman" w:eastAsia="Times New Roman" w:hAnsi="Times New Roman"/>
          <w:sz w:val="18"/>
          <w:szCs w:val="18"/>
          <w:color w:val="auto"/>
        </w:rPr>
        <w:t xml:space="preserve"> and each an </w:t>
      </w:r>
      <w:r>
        <w:rPr>
          <w:rFonts w:ascii="Times New Roman" w:cs="Times New Roman" w:eastAsia="Times New Roman" w:hAnsi="Times New Roman"/>
          <w:sz w:val="18"/>
          <w:szCs w:val="18"/>
          <w:b w:val="1"/>
          <w:bCs w:val="1"/>
          <w:color w:val="auto"/>
        </w:rPr>
        <w:t>MLABU</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30" w:right="520" w:hanging="430"/>
        <w:spacing w:after="0" w:line="273" w:lineRule="auto"/>
        <w:tabs>
          <w:tab w:leader="none" w:pos="43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FINANCIAL INSTITUTIONS </w:t>
      </w:r>
      <w:r>
        <w:rPr>
          <w:rFonts w:ascii="Times New Roman" w:cs="Times New Roman" w:eastAsia="Times New Roman" w:hAnsi="Times New Roman"/>
          <w:sz w:val="18"/>
          <w:szCs w:val="18"/>
          <w:color w:val="auto"/>
        </w:rPr>
        <w:t>listed in Schedule 1 (The Original Lenders) as lenders (the</w:t>
      </w:r>
      <w:r>
        <w:rPr>
          <w:rFonts w:ascii="Times New Roman" w:cs="Times New Roman" w:eastAsia="Times New Roman" w:hAnsi="Times New Roman"/>
          <w:sz w:val="18"/>
          <w:szCs w:val="18"/>
          <w:b w:val="1"/>
          <w:bCs w:val="1"/>
          <w:color w:val="auto"/>
        </w:rPr>
        <w:t xml:space="preserve"> Original Lenders </w:t>
      </w:r>
      <w:r>
        <w:rPr>
          <w:rFonts w:ascii="Times New Roman" w:cs="Times New Roman" w:eastAsia="Times New Roman" w:hAnsi="Times New Roman"/>
          <w:sz w:val="18"/>
          <w:szCs w:val="18"/>
          <w:color w:val="auto"/>
        </w:rPr>
        <w:t>and each an</w:t>
      </w:r>
      <w:r>
        <w:rPr>
          <w:rFonts w:ascii="Times New Roman" w:cs="Times New Roman" w:eastAsia="Times New Roman" w:hAnsi="Times New Roman"/>
          <w:sz w:val="18"/>
          <w:szCs w:val="18"/>
          <w:b w:val="1"/>
          <w:bCs w:val="1"/>
          <w:color w:val="auto"/>
        </w:rPr>
        <w:t xml:space="preserve"> Original Lender</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30" w:right="500" w:hanging="430"/>
        <w:spacing w:after="0" w:line="273" w:lineRule="auto"/>
        <w:tabs>
          <w:tab w:leader="none" w:pos="430"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HONGKONG AND SHANGHAI BANKING CORPORATION LIMITED</w:t>
      </w:r>
      <w:r>
        <w:rPr>
          <w:rFonts w:ascii="Times New Roman" w:cs="Times New Roman" w:eastAsia="Times New Roman" w:hAnsi="Times New Roman"/>
          <w:sz w:val="18"/>
          <w:szCs w:val="18"/>
          <w:color w:val="auto"/>
        </w:rPr>
        <w:t>, as agent of the Finance Parties (other than itself) (the</w:t>
      </w:r>
      <w:r>
        <w:rPr>
          <w:rFonts w:ascii="Times New Roman" w:cs="Times New Roman" w:eastAsia="Times New Roman" w:hAnsi="Times New Roman"/>
          <w:sz w:val="18"/>
          <w:szCs w:val="18"/>
          <w:b w:val="1"/>
          <w:bCs w:val="1"/>
          <w:color w:val="auto"/>
        </w:rPr>
        <w:t xml:space="preserve"> Agent</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124" w:lineRule="exact"/>
        <w:rPr>
          <w:sz w:val="20"/>
          <w:szCs w:val="20"/>
          <w:color w:val="auto"/>
        </w:rPr>
      </w:pPr>
    </w:p>
    <w:p>
      <w:pPr>
        <w:ind w:left="10" w:right="7120" w:hanging="10"/>
        <w:spacing w:after="0" w:line="376" w:lineRule="auto"/>
        <w:tabs>
          <w:tab w:leader="none" w:pos="433" w:val="left"/>
        </w:tabs>
        <w:numPr>
          <w:ilvl w:val="0"/>
          <w:numId w:val="6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 1.1 Definitions</w:t>
      </w:r>
    </w:p>
    <w:p>
      <w:pPr>
        <w:spacing w:after="0" w:line="1"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this Agreement:</w:t>
      </w:r>
    </w:p>
    <w:p>
      <w:pPr>
        <w:spacing w:after="0" w:line="108" w:lineRule="exact"/>
        <w:rPr>
          <w:rFonts w:ascii="Times New Roman" w:cs="Times New Roman" w:eastAsia="Times New Roman" w:hAnsi="Times New Roman"/>
          <w:sz w:val="18"/>
          <w:szCs w:val="18"/>
          <w:b w:val="1"/>
          <w:bCs w:val="1"/>
          <w:color w:val="auto"/>
        </w:rPr>
      </w:pPr>
    </w:p>
    <w:p>
      <w:pPr>
        <w:ind w:left="430" w:right="2560"/>
        <w:spacing w:after="0" w:line="3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Accession Deed </w:t>
      </w:r>
      <w:r>
        <w:rPr>
          <w:rFonts w:ascii="Times New Roman" w:cs="Times New Roman" w:eastAsia="Times New Roman" w:hAnsi="Times New Roman"/>
          <w:sz w:val="18"/>
          <w:szCs w:val="18"/>
          <w:color w:val="auto"/>
        </w:rPr>
        <w:t>means a document substantially in the form set out in Schedule 9 (Form of Accession Deed).</w:t>
      </w:r>
      <w:r>
        <w:rPr>
          <w:rFonts w:ascii="Times New Roman" w:cs="Times New Roman" w:eastAsia="Times New Roman" w:hAnsi="Times New Roman"/>
          <w:sz w:val="18"/>
          <w:szCs w:val="18"/>
          <w:b w:val="1"/>
          <w:bCs w:val="1"/>
          <w:color w:val="auto"/>
        </w:rPr>
        <w:t xml:space="preserve"> Acquisition </w:t>
      </w:r>
      <w:r>
        <w:rPr>
          <w:rFonts w:ascii="Times New Roman" w:cs="Times New Roman" w:eastAsia="Times New Roman" w:hAnsi="Times New Roman"/>
          <w:sz w:val="18"/>
          <w:szCs w:val="18"/>
          <w:color w:val="auto"/>
        </w:rPr>
        <w:t>has the meaning given to it in the Facility Agreement (Facility A).</w:t>
      </w:r>
    </w:p>
    <w:p>
      <w:pPr>
        <w:spacing w:after="0" w:line="1" w:lineRule="exact"/>
        <w:rPr>
          <w:rFonts w:ascii="Times New Roman" w:cs="Times New Roman" w:eastAsia="Times New Roman" w:hAnsi="Times New Roman"/>
          <w:sz w:val="18"/>
          <w:szCs w:val="18"/>
          <w:b w:val="1"/>
          <w:bCs w:val="1"/>
          <w:color w:val="auto"/>
        </w:rPr>
      </w:pPr>
    </w:p>
    <w:p>
      <w:pPr>
        <w:ind w:left="430" w:right="3220"/>
        <w:spacing w:after="0" w:line="3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Approvals </w:t>
      </w:r>
      <w:r>
        <w:rPr>
          <w:rFonts w:ascii="Times New Roman" w:cs="Times New Roman" w:eastAsia="Times New Roman" w:hAnsi="Times New Roman"/>
          <w:sz w:val="18"/>
          <w:szCs w:val="18"/>
          <w:color w:val="auto"/>
        </w:rPr>
        <w:t>has the meaning given to it in the Facility Agreement (Facility A).</w:t>
      </w:r>
      <w:r>
        <w:rPr>
          <w:rFonts w:ascii="Times New Roman" w:cs="Times New Roman" w:eastAsia="Times New Roman" w:hAnsi="Times New Roman"/>
          <w:sz w:val="18"/>
          <w:szCs w:val="18"/>
          <w:b w:val="1"/>
          <w:bCs w:val="1"/>
          <w:color w:val="auto"/>
        </w:rPr>
        <w:t xml:space="preserve"> Acquisition Costs </w:t>
      </w:r>
      <w:r>
        <w:rPr>
          <w:rFonts w:ascii="Times New Roman" w:cs="Times New Roman" w:eastAsia="Times New Roman" w:hAnsi="Times New Roman"/>
          <w:sz w:val="18"/>
          <w:szCs w:val="18"/>
          <w:color w:val="auto"/>
        </w:rPr>
        <w:t>has the meaning given to it in the Facility Agreement (Facility A).</w:t>
      </w:r>
      <w:r>
        <w:rPr>
          <w:rFonts w:ascii="Times New Roman" w:cs="Times New Roman" w:eastAsia="Times New Roman" w:hAnsi="Times New Roman"/>
          <w:sz w:val="18"/>
          <w:szCs w:val="18"/>
          <w:b w:val="1"/>
          <w:bCs w:val="1"/>
          <w:color w:val="auto"/>
        </w:rPr>
        <w:t xml:space="preserve"> Acquisition DD Reports </w:t>
      </w:r>
      <w:r>
        <w:rPr>
          <w:rFonts w:ascii="Times New Roman" w:cs="Times New Roman" w:eastAsia="Times New Roman" w:hAnsi="Times New Roman"/>
          <w:sz w:val="18"/>
          <w:szCs w:val="18"/>
          <w:color w:val="auto"/>
        </w:rPr>
        <w:t>has the meaning given to it in the Facility Agreement (Facility A).</w:t>
      </w:r>
      <w:r>
        <w:rPr>
          <w:rFonts w:ascii="Times New Roman" w:cs="Times New Roman" w:eastAsia="Times New Roman" w:hAnsi="Times New Roman"/>
          <w:sz w:val="18"/>
          <w:szCs w:val="18"/>
          <w:b w:val="1"/>
          <w:bCs w:val="1"/>
          <w:color w:val="auto"/>
        </w:rPr>
        <w:t xml:space="preserve"> Acquisition Documents </w:t>
      </w:r>
      <w:r>
        <w:rPr>
          <w:rFonts w:ascii="Times New Roman" w:cs="Times New Roman" w:eastAsia="Times New Roman" w:hAnsi="Times New Roman"/>
          <w:sz w:val="18"/>
          <w:szCs w:val="18"/>
          <w:color w:val="auto"/>
        </w:rPr>
        <w:t>has the meaning given to it in the Facility Agreement (Facility A).</w:t>
      </w:r>
      <w:r>
        <w:rPr>
          <w:rFonts w:ascii="Times New Roman" w:cs="Times New Roman" w:eastAsia="Times New Roman" w:hAnsi="Times New Roman"/>
          <w:sz w:val="18"/>
          <w:szCs w:val="18"/>
          <w:b w:val="1"/>
          <w:bCs w:val="1"/>
          <w:color w:val="auto"/>
        </w:rPr>
        <w:t xml:space="preserve"> Adjusted Consolidated EBITDA </w:t>
      </w:r>
      <w:r>
        <w:rPr>
          <w:rFonts w:ascii="Times New Roman" w:cs="Times New Roman" w:eastAsia="Times New Roman" w:hAnsi="Times New Roman"/>
          <w:sz w:val="18"/>
          <w:szCs w:val="18"/>
          <w:color w:val="auto"/>
        </w:rPr>
        <w:t>has the meaning given to it in Clause 20.1 (Financial definitions).</w:t>
      </w:r>
    </w:p>
    <w:p>
      <w:pPr>
        <w:spacing w:after="0" w:line="3"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Borrower </w:t>
      </w:r>
      <w:r>
        <w:rPr>
          <w:rFonts w:ascii="Times New Roman" w:cs="Times New Roman" w:eastAsia="Times New Roman" w:hAnsi="Times New Roman"/>
          <w:sz w:val="18"/>
          <w:szCs w:val="18"/>
          <w:color w:val="auto"/>
        </w:rPr>
        <w:t>means the Target, if it becomes an Additional Borrower in accordance with Clause 24.2 (Additional Borrower).</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Administrative Parties </w:t>
      </w:r>
      <w:r>
        <w:rPr>
          <w:rFonts w:ascii="Times New Roman" w:cs="Times New Roman" w:eastAsia="Times New Roman" w:hAnsi="Times New Roman"/>
          <w:sz w:val="18"/>
          <w:szCs w:val="18"/>
          <w:color w:val="auto"/>
        </w:rPr>
        <w:t>means each of the Agent, the MLABUs and the Arrangers (each an</w:t>
      </w:r>
      <w:r>
        <w:rPr>
          <w:rFonts w:ascii="Times New Roman" w:cs="Times New Roman" w:eastAsia="Times New Roman" w:hAnsi="Times New Roman"/>
          <w:sz w:val="18"/>
          <w:szCs w:val="18"/>
          <w:b w:val="1"/>
          <w:bCs w:val="1"/>
          <w:color w:val="auto"/>
        </w:rPr>
        <w:t xml:space="preserve"> Administrative Party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430" w:right="5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in relation to any person, a Subsidiary of that person or a Holding Company of that person or any other Subsidiary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Holding Company of that person.</w:t>
      </w:r>
    </w:p>
    <w:p>
      <w:pPr>
        <w:spacing w:after="0" w:line="58" w:lineRule="exact"/>
        <w:rPr>
          <w:sz w:val="20"/>
          <w:szCs w:val="20"/>
          <w:color w:val="auto"/>
        </w:rPr>
      </w:pPr>
    </w:p>
    <w:p>
      <w:pPr>
        <w:ind w:left="430"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Anti-Boycott Regulations </w:t>
      </w:r>
      <w:r>
        <w:rPr>
          <w:rFonts w:ascii="Times New Roman" w:cs="Times New Roman" w:eastAsia="Times New Roman" w:hAnsi="Times New Roman"/>
          <w:sz w:val="18"/>
          <w:szCs w:val="18"/>
          <w:color w:val="auto"/>
        </w:rPr>
        <w:t>means Council Regulation (EC) 2271/96 of 22 November 1996 (as amended) protecting against the effects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extra-territorial application of legislation adopted by a third country, and actions based thereon or resulting therefrom, section 7 of the German Foreign Trade Regulation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and/or any other applicable blocking laws or regulations.</w:t>
      </w:r>
    </w:p>
    <w:p>
      <w:pPr>
        <w:spacing w:after="0" w:line="70" w:lineRule="exact"/>
        <w:rPr>
          <w:sz w:val="20"/>
          <w:szCs w:val="20"/>
          <w:color w:val="auto"/>
        </w:rPr>
      </w:pPr>
    </w:p>
    <w:p>
      <w:pPr>
        <w:ind w:left="430"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Arranger </w:t>
      </w:r>
      <w:r>
        <w:rPr>
          <w:rFonts w:ascii="Times New Roman" w:cs="Times New Roman" w:eastAsia="Times New Roman" w:hAnsi="Times New Roman"/>
          <w:sz w:val="18"/>
          <w:szCs w:val="18"/>
          <w:color w:val="auto"/>
        </w:rPr>
        <w:t>means any person which enters into a Syndication Agreement and been awarded the title of mandated lead arranger and bookrunner,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mandated lead arranger, lead arranger, arranger or similar.</w:t>
      </w:r>
    </w:p>
    <w:p>
      <w:pPr>
        <w:spacing w:after="0" w:line="58" w:lineRule="exact"/>
        <w:rPr>
          <w:sz w:val="20"/>
          <w:szCs w:val="20"/>
          <w:color w:val="auto"/>
        </w:rPr>
      </w:pPr>
    </w:p>
    <w:p>
      <w:pPr>
        <w:ind w:left="430" w:right="2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Assignment Agreement </w:t>
      </w:r>
      <w:r>
        <w:rPr>
          <w:rFonts w:ascii="Times New Roman" w:cs="Times New Roman" w:eastAsia="Times New Roman" w:hAnsi="Times New Roman"/>
          <w:sz w:val="18"/>
          <w:szCs w:val="18"/>
          <w:color w:val="auto"/>
        </w:rPr>
        <w:t>means, in relation to any assignment by any Lender of any or all of its rights under this Agreement, an 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substantially in a recommended form of the LMA or any other form agreed between the applicable assignor, the applicable assignee and the Agent.</w:t>
      </w:r>
    </w:p>
    <w:p>
      <w:pPr>
        <w:spacing w:after="0" w:line="7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Auditors </w:t>
      </w:r>
      <w:r>
        <w:rPr>
          <w:rFonts w:ascii="Times New Roman" w:cs="Times New Roman" w:eastAsia="Times New Roman" w:hAnsi="Times New Roman"/>
          <w:sz w:val="18"/>
          <w:szCs w:val="18"/>
          <w:color w:val="auto"/>
        </w:rPr>
        <w:t>means, in respect of the Guarantor:</w:t>
      </w:r>
    </w:p>
    <w:p>
      <w:pPr>
        <w:spacing w:after="0" w:line="126" w:lineRule="exact"/>
        <w:rPr>
          <w:sz w:val="20"/>
          <w:szCs w:val="20"/>
          <w:color w:val="auto"/>
        </w:rPr>
      </w:pPr>
    </w:p>
    <w:p>
      <w:pPr>
        <w:ind w:left="1050" w:hanging="626"/>
        <w:spacing w:after="0"/>
        <w:tabs>
          <w:tab w:leader="none" w:pos="105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PricewaterhouseCoopers, Ernst &amp; Young, KPMG or Deloitte &amp; Touche;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locally established or incorporated auditor firm that is a recognised affiliate of any firm referred to in paragraph (a);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firm mutually agreed to by the Borrower(s) and the Agent (acting on the instructions of the Majority Lenders).</w:t>
      </w:r>
    </w:p>
    <w:p>
      <w:pPr>
        <w:spacing w:after="0" w:line="149" w:lineRule="exact"/>
        <w:rPr>
          <w:rFonts w:ascii="Times New Roman" w:cs="Times New Roman" w:eastAsia="Times New Roman" w:hAnsi="Times New Roman"/>
          <w:sz w:val="18"/>
          <w:szCs w:val="18"/>
          <w:color w:val="auto"/>
        </w:rPr>
      </w:pPr>
    </w:p>
    <w:p>
      <w:pPr>
        <w:ind w:left="53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0750"/>
          </w:cols>
          <w:pgMar w:left="550" w:top="265" w:right="599" w:bottom="1440" w:gutter="0" w:footer="0" w:header="0"/>
        </w:sectPr>
      </w:pPr>
    </w:p>
    <w:bookmarkStart w:id="589" w:name="page590"/>
    <w:bookmarkEnd w:id="589"/>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5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Authorisation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authorisation, consent, approval, resolution, licence, exemption, filing, notarisation, lodgement or registration; and/or</w:t>
      </w:r>
    </w:p>
    <w:p>
      <w:pPr>
        <w:spacing w:after="0" w:line="123" w:lineRule="exact"/>
        <w:rPr>
          <w:rFonts w:ascii="Times New Roman" w:cs="Times New Roman" w:eastAsia="Times New Roman" w:hAnsi="Times New Roman"/>
          <w:sz w:val="18"/>
          <w:szCs w:val="18"/>
          <w:color w:val="auto"/>
        </w:rPr>
      </w:pPr>
    </w:p>
    <w:p>
      <w:pPr>
        <w:ind w:left="626" w:right="80" w:hanging="626"/>
        <w:spacing w:after="0" w:line="300" w:lineRule="auto"/>
        <w:tabs>
          <w:tab w:leader="none" w:pos="626" w:val="left"/>
        </w:tabs>
        <w:numPr>
          <w:ilvl w:val="0"/>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relation to anything which will be fully or partly prohibited or restricted by law if a Governmental Agency intervenes or acts in any way within a specified period after lodgement, filing, registration or notification, the expiry of that period without intervention or action.</w:t>
      </w:r>
    </w:p>
    <w:p>
      <w:pPr>
        <w:spacing w:after="0" w:line="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Availability Period </w:t>
      </w:r>
      <w:r>
        <w:rPr>
          <w:rFonts w:ascii="Times New Roman" w:cs="Times New Roman" w:eastAsia="Times New Roman" w:hAnsi="Times New Roman"/>
          <w:sz w:val="18"/>
          <w:szCs w:val="18"/>
          <w:color w:val="auto"/>
        </w:rPr>
        <w:t>means the period from and including the date of this Agreement to and including the earlier of:</w:t>
      </w:r>
    </w:p>
    <w:p>
      <w:pPr>
        <w:spacing w:after="0" w:line="126" w:lineRule="exact"/>
        <w:rPr>
          <w:sz w:val="20"/>
          <w:szCs w:val="20"/>
          <w:color w:val="auto"/>
        </w:rPr>
      </w:pPr>
    </w:p>
    <w:p>
      <w:pPr>
        <w:ind w:left="626" w:hanging="626"/>
        <w:spacing w:after="0"/>
        <w:tabs>
          <w:tab w:leader="none" w:pos="626"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eighteen (18) Months after the date of the Facility Agreement (Facility A); and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date on which the Available Facility is zero.</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Available Commitment </w:t>
      </w:r>
      <w:r>
        <w:rPr>
          <w:rFonts w:ascii="Times New Roman" w:cs="Times New Roman" w:eastAsia="Times New Roman" w:hAnsi="Times New Roman"/>
          <w:sz w:val="18"/>
          <w:szCs w:val="18"/>
          <w:color w:val="auto"/>
        </w:rPr>
        <w:t>means in relation to a Lender and save as otherwise provided in this Agreement, that Lender’s Commitment minus:</w:t>
      </w:r>
    </w:p>
    <w:p>
      <w:pPr>
        <w:spacing w:after="0" w:line="126" w:lineRule="exact"/>
        <w:rPr>
          <w:sz w:val="20"/>
          <w:szCs w:val="20"/>
          <w:color w:val="auto"/>
        </w:rPr>
      </w:pPr>
    </w:p>
    <w:p>
      <w:pPr>
        <w:ind w:left="626" w:hanging="626"/>
        <w:spacing w:after="0" w:line="270" w:lineRule="auto"/>
        <w:tabs>
          <w:tab w:leader="none" w:pos="626"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its participation in any outstanding Loan (for such purpose taking into account the principal amount of each such Loan when it is made and disregarding any subsequent reduction in such principal amount); and</w:t>
      </w:r>
    </w:p>
    <w:p>
      <w:pPr>
        <w:spacing w:after="0" w:line="76" w:lineRule="exact"/>
        <w:rPr>
          <w:rFonts w:ascii="Times New Roman" w:cs="Times New Roman" w:eastAsia="Times New Roman" w:hAnsi="Times New Roman"/>
          <w:sz w:val="18"/>
          <w:szCs w:val="18"/>
          <w:color w:val="auto"/>
        </w:rPr>
      </w:pPr>
    </w:p>
    <w:p>
      <w:pPr>
        <w:ind w:left="626" w:right="660" w:hanging="626"/>
        <w:spacing w:after="0" w:line="270" w:lineRule="auto"/>
        <w:tabs>
          <w:tab w:leader="none" w:pos="626"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proposed Utilisation, that Lender’s participation in any Loan (other than the Loan the subject of such proposed Utilisation) that is due to be made on or before the Utilisation Date for such proposed Utilisation.</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Available Facility </w:t>
      </w:r>
      <w:r>
        <w:rPr>
          <w:rFonts w:ascii="Times New Roman" w:cs="Times New Roman" w:eastAsia="Times New Roman" w:hAnsi="Times New Roman"/>
          <w:sz w:val="18"/>
          <w:szCs w:val="18"/>
          <w:color w:val="auto"/>
        </w:rPr>
        <w:t>means the aggregate for the time being of each Lender’s Available Commitment.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BaFin </w:t>
      </w:r>
      <w:r>
        <w:rPr>
          <w:rFonts w:ascii="Times New Roman" w:cs="Times New Roman" w:eastAsia="Times New Roman" w:hAnsi="Times New Roman"/>
          <w:sz w:val="18"/>
          <w:szCs w:val="18"/>
          <w:color w:val="auto"/>
        </w:rPr>
        <w:t>means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right="4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Borrower </w:t>
      </w:r>
      <w:r>
        <w:rPr>
          <w:rFonts w:ascii="Times New Roman" w:cs="Times New Roman" w:eastAsia="Times New Roman" w:hAnsi="Times New Roman"/>
          <w:sz w:val="18"/>
          <w:szCs w:val="18"/>
          <w:color w:val="auto"/>
        </w:rPr>
        <w:t>means the Original Borrower or, if it becomes an Additional Borrower in accordance with Clause 24.2 (Additional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Borrower.</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Break Costs </w:t>
      </w:r>
      <w:r>
        <w:rPr>
          <w:rFonts w:ascii="Times New Roman" w:cs="Times New Roman" w:eastAsia="Times New Roman" w:hAnsi="Times New Roman"/>
          <w:sz w:val="18"/>
          <w:szCs w:val="18"/>
          <w:color w:val="auto"/>
        </w:rPr>
        <w:t>means the amount (if any) by which:</w:t>
      </w:r>
    </w:p>
    <w:p>
      <w:pPr>
        <w:spacing w:after="0" w:line="126" w:lineRule="exact"/>
        <w:rPr>
          <w:sz w:val="20"/>
          <w:szCs w:val="20"/>
          <w:color w:val="auto"/>
        </w:rPr>
      </w:pPr>
    </w:p>
    <w:p>
      <w:pPr>
        <w:ind w:left="626" w:hanging="626"/>
        <w:spacing w:after="0" w:line="253" w:lineRule="auto"/>
        <w:tabs>
          <w:tab w:leader="none" w:pos="626"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(excluding any portion thereof attributable to the Margin) which a Finance Party should have received pursuant to the terms of this Agreement for the period from the date of receipt or recovery of all or any part of the principal amount of a Loan or an Unpaid Sum to the last day of the current Interest Period in respect of that Loan or that Unpaid Sum, had the principal amount of that Loan or had that Unpaid Sum so received or recovered been paid on the last day of that Interest Period;</w:t>
      </w:r>
    </w:p>
    <w:p>
      <w:pPr>
        <w:spacing w:after="0" w:line="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exceeds:</w:t>
      </w:r>
    </w:p>
    <w:p>
      <w:pPr>
        <w:spacing w:after="0" w:line="124" w:lineRule="exact"/>
        <w:rPr>
          <w:sz w:val="20"/>
          <w:szCs w:val="20"/>
          <w:color w:val="auto"/>
        </w:rPr>
      </w:pPr>
    </w:p>
    <w:p>
      <w:pPr>
        <w:jc w:val="both"/>
        <w:ind w:left="626" w:right="60" w:hanging="626"/>
        <w:spacing w:after="0" w:line="258" w:lineRule="auto"/>
        <w:tabs>
          <w:tab w:leader="none" w:pos="626"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which that Finance Party would be able to obtain by placing an amount equal to the principal amount of that Loan or equal to that Unpaid Sum so received or recovered by it on deposit with a leading bank in the Relevant Market for a period starting on the Business Day following such receipt or recovery and ending on the last day of that current Interest Period.</w:t>
      </w:r>
    </w:p>
    <w:p>
      <w:pPr>
        <w:spacing w:after="0" w:line="71" w:lineRule="exact"/>
        <w:rPr>
          <w:sz w:val="20"/>
          <w:szCs w:val="20"/>
          <w:color w:val="auto"/>
        </w:rPr>
      </w:pPr>
    </w:p>
    <w:p>
      <w:pPr>
        <w:ind w:left="6" w:right="2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or Sunday) on which banks are open for general business in Frankfurt am Main,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PRC, Singapore and (in relation to any date for payment or purchase of euro) any TARGET Day.</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Change of Control </w:t>
      </w:r>
      <w:r>
        <w:rPr>
          <w:rFonts w:ascii="Times New Roman" w:cs="Times New Roman" w:eastAsia="Times New Roman" w:hAnsi="Times New Roman"/>
          <w:sz w:val="18"/>
          <w:szCs w:val="18"/>
          <w:color w:val="auto"/>
        </w:rPr>
        <w:t>has the meaning given to it in Clause 7.5(b) (Change of Control).</w:t>
      </w:r>
    </w:p>
    <w:p>
      <w:pPr>
        <w:spacing w:after="0" w:line="110" w:lineRule="exact"/>
        <w:rPr>
          <w:sz w:val="20"/>
          <w:szCs w:val="20"/>
          <w:color w:val="auto"/>
        </w:rPr>
      </w:pPr>
    </w:p>
    <w:p>
      <w:pPr>
        <w:ind w:left="6" w:right="7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Clean-Up Default </w:t>
      </w:r>
      <w:r>
        <w:rPr>
          <w:rFonts w:ascii="Times New Roman" w:cs="Times New Roman" w:eastAsia="Times New Roman" w:hAnsi="Times New Roman"/>
          <w:sz w:val="18"/>
          <w:szCs w:val="18"/>
          <w:color w:val="auto"/>
        </w:rPr>
        <w:t>means an Event of Default referred to in Clauses 22.2 (Financial covenants) to 22.5 (Cross default) and Clauses 22.7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(Insolvency proceedings) to 22.13 (Material adverse change).</w:t>
      </w:r>
    </w:p>
    <w:p>
      <w:pPr>
        <w:spacing w:after="0" w:line="58" w:lineRule="exact"/>
        <w:rPr>
          <w:sz w:val="20"/>
          <w:szCs w:val="20"/>
          <w:color w:val="auto"/>
        </w:rPr>
      </w:pPr>
    </w:p>
    <w:p>
      <w:pPr>
        <w:ind w:left="6" w:right="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Clean-Up Period </w:t>
      </w:r>
      <w:r>
        <w:rPr>
          <w:rFonts w:ascii="Times New Roman" w:cs="Times New Roman" w:eastAsia="Times New Roman" w:hAnsi="Times New Roman"/>
          <w:sz w:val="18"/>
          <w:szCs w:val="18"/>
          <w:color w:val="auto"/>
        </w:rPr>
        <w:t>means the period beginning on the date of this Agreement and ending on the date falling six (6) Months after the Offer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58" w:lineRule="exact"/>
        <w:rPr>
          <w:sz w:val="20"/>
          <w:szCs w:val="20"/>
          <w:color w:val="auto"/>
        </w:rPr>
      </w:pPr>
    </w:p>
    <w:p>
      <w:pPr>
        <w:ind w:left="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Clean-Up Representation </w:t>
      </w:r>
      <w:r>
        <w:rPr>
          <w:rFonts w:ascii="Times New Roman" w:cs="Times New Roman" w:eastAsia="Times New Roman" w:hAnsi="Times New Roman"/>
          <w:sz w:val="18"/>
          <w:szCs w:val="18"/>
          <w:color w:val="auto"/>
        </w:rPr>
        <w:t>means any of the representations and warranties under Clauses 18.1 (Status) to 18.6 (Governing law and enforcement),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Clause 18.9 (No default) insofar as it relates to a Clean-Up Default and Clauses 18.10 (No misleading information) to 18.14 (Authorised signatories).</w:t>
      </w:r>
    </w:p>
    <w:p>
      <w:pPr>
        <w:spacing w:after="0" w:line="70" w:lineRule="exact"/>
        <w:rPr>
          <w:sz w:val="20"/>
          <w:szCs w:val="20"/>
          <w:color w:val="auto"/>
        </w:rPr>
      </w:pPr>
    </w:p>
    <w:p>
      <w:pPr>
        <w:ind w:left="6" w:right="3060" w:firstLine="8"/>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Clean-Up Undertaking </w:t>
      </w:r>
      <w:r>
        <w:rPr>
          <w:rFonts w:ascii="Times New Roman" w:cs="Times New Roman" w:eastAsia="Times New Roman" w:hAnsi="Times New Roman"/>
          <w:sz w:val="18"/>
          <w:szCs w:val="18"/>
          <w:color w:val="auto"/>
        </w:rPr>
        <w:t>means any of the undertakings specified in Clause 21 (General Undertakings).</w:t>
      </w:r>
      <w:r>
        <w:rPr>
          <w:rFonts w:ascii="Times New Roman" w:cs="Times New Roman" w:eastAsia="Times New Roman" w:hAnsi="Times New Roman"/>
          <w:sz w:val="18"/>
          <w:szCs w:val="18"/>
          <w:b w:val="1"/>
          <w:bCs w:val="1"/>
          <w:color w:val="auto"/>
        </w:rPr>
        <w:t xml:space="preserve"> Code </w:t>
      </w:r>
      <w:r>
        <w:rPr>
          <w:rFonts w:ascii="Times New Roman" w:cs="Times New Roman" w:eastAsia="Times New Roman" w:hAnsi="Times New Roman"/>
          <w:sz w:val="18"/>
          <w:szCs w:val="18"/>
          <w:color w:val="auto"/>
        </w:rPr>
        <w:t>means the US Internal Revenue Code of 1986.</w:t>
      </w:r>
      <w:r>
        <w:rPr>
          <w:rFonts w:ascii="Times New Roman" w:cs="Times New Roman" w:eastAsia="Times New Roman" w:hAnsi="Times New Roman"/>
          <w:sz w:val="18"/>
          <w:szCs w:val="18"/>
          <w:b w:val="1"/>
          <w:bCs w:val="1"/>
          <w:color w:val="auto"/>
        </w:rPr>
        <w:t xml:space="preserve"> Commitment</w:t>
      </w:r>
      <w:r>
        <w:rPr>
          <w:rFonts w:ascii="Times New Roman" w:cs="Times New Roman" w:eastAsia="Times New Roman" w:hAnsi="Times New Roman"/>
          <w:sz w:val="18"/>
          <w:szCs w:val="18"/>
          <w:color w:val="auto"/>
        </w:rPr>
        <w:t>means:</w:t>
      </w:r>
    </w:p>
    <w:p>
      <w:pPr>
        <w:spacing w:after="0" w:line="223" w:lineRule="exact"/>
        <w:rPr>
          <w:sz w:val="20"/>
          <w:szCs w:val="20"/>
          <w:color w:val="auto"/>
        </w:rPr>
      </w:pPr>
    </w:p>
    <w:p>
      <w:pPr>
        <w:ind w:left="626" w:right="80" w:hanging="626"/>
        <w:spacing w:after="0" w:line="258" w:lineRule="auto"/>
        <w:tabs>
          <w:tab w:leader="none" w:pos="626"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Original Lender, the sum of the amount set opposite its name under the heading “ Commitment” in Schedule 1 (The Original Lenders) and the amount of any other Commitment transferred to it pursuant to Clause 23 (Changes to the Lenders) or assumed by it in accordance with Clause 2.3 (Increase); and</w:t>
      </w:r>
    </w:p>
    <w:p>
      <w:pPr>
        <w:spacing w:after="0" w:line="112"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346"/>
          </w:cols>
          <w:pgMar w:left="974" w:top="264" w:right="579" w:bottom="1440" w:gutter="0" w:footer="0" w:header="0"/>
        </w:sectPr>
      </w:pPr>
    </w:p>
    <w:bookmarkStart w:id="590" w:name="page591"/>
    <w:bookmarkEnd w:id="590"/>
    <w:p>
      <w:pPr>
        <w:ind w:left="1040" w:right="180" w:hanging="626"/>
        <w:spacing w:after="0" w:line="258" w:lineRule="auto"/>
        <w:tabs>
          <w:tab w:leader="none" w:pos="104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5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relation to any other Lender, the amount of any Commitment transferred to it pursuant to Clause 23 (Changes to the Lenders) or assumed by it in accordance with Clause 2.3 (Increase), to the extent not cancelled or reduced under this Agreement or transferred by it pursuant to Clause 23 (Changes to the Lenders).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Compliance Certificate </w:t>
      </w:r>
      <w:r>
        <w:rPr>
          <w:rFonts w:ascii="Times New Roman" w:cs="Times New Roman" w:eastAsia="Times New Roman" w:hAnsi="Times New Roman"/>
          <w:sz w:val="18"/>
          <w:szCs w:val="18"/>
          <w:color w:val="auto"/>
        </w:rPr>
        <w:t>means a certificate substantially in the form set out in Schedule 5 (Form of Compliance Certificate).</w:t>
      </w:r>
    </w:p>
    <w:p>
      <w:pPr>
        <w:spacing w:after="0" w:line="110" w:lineRule="exact"/>
        <w:rPr>
          <w:sz w:val="20"/>
          <w:szCs w:val="20"/>
          <w:color w:val="auto"/>
        </w:rPr>
      </w:pPr>
    </w:p>
    <w:p>
      <w:pPr>
        <w:ind w:left="420"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Confidential Information </w:t>
      </w:r>
      <w:r>
        <w:rPr>
          <w:rFonts w:ascii="Times New Roman" w:cs="Times New Roman" w:eastAsia="Times New Roman" w:hAnsi="Times New Roman"/>
          <w:sz w:val="18"/>
          <w:szCs w:val="18"/>
          <w:color w:val="auto"/>
        </w:rPr>
        <w:t>means all information relating to an Obligor, any Group Member, the Acquisition, any Target Group Member,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91" w:lineRule="exact"/>
        <w:rPr>
          <w:sz w:val="20"/>
          <w:szCs w:val="20"/>
          <w:color w:val="auto"/>
        </w:rPr>
      </w:pPr>
    </w:p>
    <w:p>
      <w:pPr>
        <w:ind w:left="1040" w:hanging="626"/>
        <w:spacing w:after="0"/>
        <w:tabs>
          <w:tab w:leader="none" w:pos="104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Group Member, the Target Group or any of their respective advisers; or</w:t>
      </w:r>
    </w:p>
    <w:p>
      <w:pPr>
        <w:spacing w:after="0" w:line="123" w:lineRule="exact"/>
        <w:rPr>
          <w:rFonts w:ascii="Times New Roman" w:cs="Times New Roman" w:eastAsia="Times New Roman" w:hAnsi="Times New Roman"/>
          <w:sz w:val="18"/>
          <w:szCs w:val="18"/>
          <w:color w:val="auto"/>
        </w:rPr>
      </w:pPr>
    </w:p>
    <w:p>
      <w:pPr>
        <w:ind w:left="1040" w:right="200" w:hanging="626"/>
        <w:spacing w:after="0" w:line="270" w:lineRule="auto"/>
        <w:tabs>
          <w:tab w:leader="none" w:pos="1040"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Finance Party, if the information was obtained by that Finance Party directly or indirectly from any Group Member, any Target Group Member or any of their respective advisers,</w:t>
      </w:r>
    </w:p>
    <w:p>
      <w:pPr>
        <w:spacing w:after="0" w:line="63" w:lineRule="exact"/>
        <w:rPr>
          <w:sz w:val="20"/>
          <w:szCs w:val="20"/>
          <w:color w:val="auto"/>
        </w:rPr>
      </w:pPr>
    </w:p>
    <w:p>
      <w:pPr>
        <w:ind w:left="420" w:right="740"/>
        <w:spacing w:after="0" w:line="270" w:lineRule="auto"/>
        <w:rPr>
          <w:sz w:val="20"/>
          <w:szCs w:val="20"/>
          <w:color w:val="auto"/>
        </w:rPr>
      </w:pPr>
      <w:r>
        <w:rPr>
          <w:rFonts w:ascii="Times New Roman" w:cs="Times New Roman" w:eastAsia="Times New Roman" w:hAnsi="Times New Roman"/>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76" w:lineRule="exact"/>
        <w:rPr>
          <w:sz w:val="20"/>
          <w:szCs w:val="20"/>
          <w:color w:val="auto"/>
        </w:rPr>
      </w:pPr>
    </w:p>
    <w:p>
      <w:pPr>
        <w:ind w:left="1040" w:right="140" w:hanging="626"/>
        <w:spacing w:after="0" w:line="270" w:lineRule="auto"/>
        <w:tabs>
          <w:tab w:leader="none" w:pos="10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 information other than as a direct or indirect result of any breach by that Finance Party of Clause 25 (Disclosure of Information); or</w:t>
      </w:r>
    </w:p>
    <w:p>
      <w:pPr>
        <w:spacing w:after="0" w:line="76" w:lineRule="exact"/>
        <w:rPr>
          <w:rFonts w:ascii="Times New Roman" w:cs="Times New Roman" w:eastAsia="Times New Roman" w:hAnsi="Times New Roman"/>
          <w:sz w:val="18"/>
          <w:szCs w:val="18"/>
          <w:color w:val="auto"/>
        </w:rPr>
      </w:pPr>
    </w:p>
    <w:p>
      <w:pPr>
        <w:ind w:left="1040" w:right="480" w:hanging="626"/>
        <w:spacing w:after="0" w:line="270" w:lineRule="auto"/>
        <w:tabs>
          <w:tab w:leader="none" w:pos="10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identified in writing at the time of delivery as non-confidential by any Group Member, any Target Group Member or any of their respective advisers; or</w:t>
      </w:r>
    </w:p>
    <w:p>
      <w:pPr>
        <w:spacing w:after="0" w:line="76" w:lineRule="exact"/>
        <w:rPr>
          <w:rFonts w:ascii="Times New Roman" w:cs="Times New Roman" w:eastAsia="Times New Roman" w:hAnsi="Times New Roman"/>
          <w:sz w:val="18"/>
          <w:szCs w:val="18"/>
          <w:color w:val="auto"/>
        </w:rPr>
      </w:pPr>
    </w:p>
    <w:p>
      <w:pPr>
        <w:ind w:left="1040" w:hanging="626"/>
        <w:spacing w:after="0" w:line="253" w:lineRule="auto"/>
        <w:tabs>
          <w:tab w:leader="none" w:pos="104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or the Target Group and which, in either case, as far as that Finance Party is aware, has not been obtained in breach of, and is not otherwise subject to, any obligation of confidentiality.</w:t>
      </w:r>
    </w:p>
    <w:p>
      <w:pPr>
        <w:spacing w:after="0" w:line="77" w:lineRule="exact"/>
        <w:rPr>
          <w:sz w:val="20"/>
          <w:szCs w:val="20"/>
          <w:color w:val="auto"/>
        </w:rPr>
      </w:pPr>
    </w:p>
    <w:p>
      <w:pPr>
        <w:ind w:left="420" w:right="1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Confidentiality Undertaking </w:t>
      </w:r>
      <w:r>
        <w:rPr>
          <w:rFonts w:ascii="Times New Roman" w:cs="Times New Roman" w:eastAsia="Times New Roman" w:hAnsi="Times New Roman"/>
          <w:sz w:val="18"/>
          <w:szCs w:val="18"/>
          <w:color w:val="auto"/>
        </w:rPr>
        <w:t>means a confidentiality undertaking substantially in a recommended form of the LMA or in any other form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Borrower(s) and the Agent.</w:t>
      </w:r>
    </w:p>
    <w:p>
      <w:pPr>
        <w:spacing w:after="0" w:line="58" w:lineRule="exact"/>
        <w:rPr>
          <w:sz w:val="20"/>
          <w:szCs w:val="20"/>
          <w:color w:val="auto"/>
        </w:rPr>
      </w:pPr>
    </w:p>
    <w:p>
      <w:pPr>
        <w:ind w:left="420" w:right="1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Consolidated Total Assets </w:t>
      </w:r>
      <w:r>
        <w:rPr>
          <w:rFonts w:ascii="Times New Roman" w:cs="Times New Roman" w:eastAsia="Times New Roman" w:hAnsi="Times New Roman"/>
          <w:sz w:val="18"/>
          <w:szCs w:val="18"/>
          <w:color w:val="auto"/>
        </w:rPr>
        <w:t>means, at any time, the consolidated total assets of the Group as at the date as of which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Guarantor then most recently delivered in accordance with paragraph (i) of Clause 19.1 (Financial statements) (or, if such time falls prior to the delivery of the first set of consolidated financial statements of the Guarantor in accordance with paragraph (i) of Clause 19.1 (Financial statements), the Original Financial Statements) were prepared.</w:t>
      </w:r>
    </w:p>
    <w:p>
      <w:pPr>
        <w:spacing w:after="0" w:line="76" w:lineRule="exact"/>
        <w:rPr>
          <w:sz w:val="20"/>
          <w:szCs w:val="20"/>
          <w:color w:val="auto"/>
        </w:rPr>
      </w:pPr>
    </w:p>
    <w:p>
      <w:pPr>
        <w:ind w:left="420" w:right="2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Core Business </w:t>
      </w:r>
      <w:r>
        <w:rPr>
          <w:rFonts w:ascii="Times New Roman" w:cs="Times New Roman" w:eastAsia="Times New Roman" w:hAnsi="Times New Roman"/>
          <w:sz w:val="18"/>
          <w:szCs w:val="18"/>
          <w:color w:val="auto"/>
        </w:rPr>
        <w:t>means the provision of e-commerce services through the establishment of online direct sales and online marketplace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(excluding, for the avoidance of doubt, the establishment and operation of any fulfilment infrastructure which supports or is otherwise ancillary to such e-commerce services and the business of developing financial products and services for the online market (including supply chain financing and microcredit) and consumer financing).</w:t>
      </w:r>
    </w:p>
    <w:p>
      <w:pPr>
        <w:spacing w:after="0" w:line="76" w:lineRule="exact"/>
        <w:rPr>
          <w:sz w:val="20"/>
          <w:szCs w:val="20"/>
          <w:color w:val="auto"/>
        </w:rPr>
      </w:pPr>
    </w:p>
    <w:p>
      <w:pPr>
        <w:ind w:left="4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Core Business Group Member </w:t>
      </w:r>
      <w:r>
        <w:rPr>
          <w:rFonts w:ascii="Times New Roman" w:cs="Times New Roman" w:eastAsia="Times New Roman" w:hAnsi="Times New Roman"/>
          <w:sz w:val="18"/>
          <w:szCs w:val="18"/>
          <w:color w:val="auto"/>
        </w:rPr>
        <w:t>means at any time, any Group Member the majority of the total revenue of which (being more than 50%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total revenue) for the then Most Recent Testing Period and excluding all items between Group Members derive from activities or operations in the Core Business.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Debt Purchase Transaction </w:t>
      </w:r>
      <w:r>
        <w:rPr>
          <w:rFonts w:ascii="Times New Roman" w:cs="Times New Roman" w:eastAsia="Times New Roman" w:hAnsi="Times New Roman"/>
          <w:sz w:val="18"/>
          <w:szCs w:val="18"/>
          <w:color w:val="auto"/>
        </w:rPr>
        <w:t>means, in relation to a person, a transaction where such person:</w:t>
      </w:r>
    </w:p>
    <w:p>
      <w:pPr>
        <w:spacing w:after="0" w:line="126" w:lineRule="exact"/>
        <w:rPr>
          <w:sz w:val="20"/>
          <w:szCs w:val="20"/>
          <w:color w:val="auto"/>
        </w:rPr>
      </w:pPr>
    </w:p>
    <w:p>
      <w:pPr>
        <w:ind w:left="1040" w:hanging="626"/>
        <w:spacing w:after="0"/>
        <w:tabs>
          <w:tab w:leader="none" w:pos="10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acquires by way of assignment or transfer any rights and/or obligations in respect of;</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sub-participation in respect of; or</w:t>
      </w:r>
    </w:p>
    <w:p>
      <w:pPr>
        <w:spacing w:after="0" w:line="123" w:lineRule="exact"/>
        <w:rPr>
          <w:rFonts w:ascii="Times New Roman" w:cs="Times New Roman" w:eastAsia="Times New Roman" w:hAnsi="Times New Roman"/>
          <w:sz w:val="18"/>
          <w:szCs w:val="18"/>
          <w:color w:val="auto"/>
        </w:rPr>
      </w:pPr>
    </w:p>
    <w:p>
      <w:pPr>
        <w:ind w:left="420" w:right="500" w:hanging="6"/>
        <w:spacing w:after="0" w:line="366" w:lineRule="auto"/>
        <w:tabs>
          <w:tab w:leader="none" w:pos="1046"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enters into any other agreement or arrangement having an economic effect substantially similar to a sub-participation in respect of, any Commitment (or any commitment represented thereby) or any amount outstanding under any Finance Document.</w:t>
      </w:r>
    </w:p>
    <w:p>
      <w:pPr>
        <w:spacing w:after="0" w:line="1" w:lineRule="exact"/>
        <w:rPr>
          <w:sz w:val="20"/>
          <w:szCs w:val="20"/>
          <w:color w:val="auto"/>
        </w:rPr>
      </w:pPr>
    </w:p>
    <w:p>
      <w:pPr>
        <w:ind w:left="420" w:right="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Default </w:t>
      </w:r>
      <w:r>
        <w:rPr>
          <w:rFonts w:ascii="Times New Roman" w:cs="Times New Roman" w:eastAsia="Times New Roman" w:hAnsi="Times New Roman"/>
          <w:sz w:val="18"/>
          <w:szCs w:val="18"/>
          <w:color w:val="auto"/>
        </w:rPr>
        <w:t>means an Event of Default or any event or circumstance which would (with the expiry of a grace period, the giving of notice, the making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determination under the Finance Documents or any combination of any of the foregoing) be an Event of Default.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60" w:top="266" w:right="579" w:bottom="1440" w:gutter="0" w:footer="0" w:header="0"/>
        </w:sectPr>
      </w:pPr>
    </w:p>
    <w:bookmarkStart w:id="591" w:name="page592"/>
    <w:bookmarkEnd w:id="591"/>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Defaulting Lender </w:t>
      </w:r>
      <w:r>
        <w:rPr>
          <w:rFonts w:ascii="Times New Roman" w:cs="Times New Roman" w:eastAsia="Times New Roman" w:hAnsi="Times New Roman"/>
          <w:sz w:val="18"/>
          <w:szCs w:val="18"/>
          <w:color w:val="auto"/>
        </w:rPr>
        <w:t>means any Lender:</w:t>
      </w:r>
    </w:p>
    <w:p>
      <w:pPr>
        <w:spacing w:after="0" w:line="126" w:lineRule="exact"/>
        <w:rPr>
          <w:sz w:val="20"/>
          <w:szCs w:val="20"/>
          <w:color w:val="auto"/>
        </w:rPr>
      </w:pPr>
    </w:p>
    <w:p>
      <w:pPr>
        <w:ind w:left="626" w:right="240" w:hanging="626"/>
        <w:spacing w:after="0" w:line="270" w:lineRule="auto"/>
        <w:tabs>
          <w:tab w:leader="none" w:pos="626"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failed to make its participation in any Loan available (or has notified the Agent that it will not make its participation in any Loan available) by the Utilisation Date of that Loan as required in accordance with Clause 5.4 (Lenders’ participation);</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otherwise rescinded or repudiated a Finance Document;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 Insolvency Event has occurred and is continuing,</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unless, in the case of paragraph (a) above:</w:t>
      </w:r>
    </w:p>
    <w:p>
      <w:pPr>
        <w:spacing w:after="0" w:line="124" w:lineRule="exact"/>
        <w:rPr>
          <w:sz w:val="20"/>
          <w:szCs w:val="20"/>
          <w:color w:val="auto"/>
        </w:rPr>
      </w:pPr>
    </w:p>
    <w:p>
      <w:pPr>
        <w:ind w:left="626" w:hanging="626"/>
        <w:spacing w:after="0"/>
        <w:tabs>
          <w:tab w:leader="none" w:pos="626"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0" w:lineRule="exact"/>
        <w:rPr>
          <w:sz w:val="20"/>
          <w:szCs w:val="20"/>
          <w:color w:val="auto"/>
        </w:rPr>
      </w:pPr>
    </w:p>
    <w:p>
      <w:pPr>
        <w:ind w:left="546"/>
        <w:spacing w:after="0"/>
        <w:rPr>
          <w:sz w:val="20"/>
          <w:szCs w:val="20"/>
          <w:color w:val="auto"/>
        </w:rPr>
      </w:pPr>
      <w:r>
        <w:rPr>
          <w:rFonts w:ascii="Times New Roman" w:cs="Times New Roman" w:eastAsia="Times New Roman" w:hAnsi="Times New Roman"/>
          <w:sz w:val="18"/>
          <w:szCs w:val="18"/>
          <w:color w:val="auto"/>
        </w:rPr>
        <w:t>such payment is made within five (5) Business Days of its due date; or</w:t>
      </w:r>
    </w:p>
    <w:p>
      <w:pPr>
        <w:spacing w:after="0" w:line="124" w:lineRule="exact"/>
        <w:rPr>
          <w:sz w:val="20"/>
          <w:szCs w:val="20"/>
          <w:color w:val="auto"/>
        </w:rPr>
      </w:pPr>
    </w:p>
    <w:p>
      <w:pPr>
        <w:ind w:left="626" w:right="120" w:hanging="626"/>
        <w:spacing w:after="0" w:line="270" w:lineRule="auto"/>
        <w:tabs>
          <w:tab w:leader="none" w:pos="626"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disputing in good faith whether it is contractually obliged to make such payment and/or to make its participation in such Loan available.</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Disruption Event </w:t>
      </w:r>
      <w:r>
        <w:rPr>
          <w:rFonts w:ascii="Times New Roman" w:cs="Times New Roman" w:eastAsia="Times New Roman" w:hAnsi="Times New Roman"/>
          <w:sz w:val="18"/>
          <w:szCs w:val="18"/>
          <w:color w:val="auto"/>
        </w:rPr>
        <w:t>means either or both of:</w:t>
      </w:r>
    </w:p>
    <w:p>
      <w:pPr>
        <w:spacing w:after="0" w:line="126" w:lineRule="exact"/>
        <w:rPr>
          <w:sz w:val="20"/>
          <w:szCs w:val="20"/>
          <w:color w:val="auto"/>
        </w:rPr>
      </w:pPr>
    </w:p>
    <w:p>
      <w:pPr>
        <w:ind w:left="626" w:right="120" w:hanging="626"/>
        <w:spacing w:after="0" w:line="258" w:lineRule="auto"/>
        <w:tabs>
          <w:tab w:leader="none" w:pos="626"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and/or</w:t>
      </w:r>
    </w:p>
    <w:p>
      <w:pPr>
        <w:spacing w:after="0" w:line="85" w:lineRule="exact"/>
        <w:rPr>
          <w:rFonts w:ascii="Times New Roman" w:cs="Times New Roman" w:eastAsia="Times New Roman" w:hAnsi="Times New Roman"/>
          <w:sz w:val="18"/>
          <w:szCs w:val="18"/>
          <w:color w:val="auto"/>
        </w:rPr>
      </w:pPr>
    </w:p>
    <w:p>
      <w:pPr>
        <w:ind w:left="626" w:right="380" w:hanging="626"/>
        <w:spacing w:after="0" w:line="270" w:lineRule="auto"/>
        <w:tabs>
          <w:tab w:leader="none" w:pos="626"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other event which results in a disruption (of a technical or systems-related nature) to the treasury or payments operations of a Party preventing that, or any other Party:</w:t>
      </w:r>
    </w:p>
    <w:p>
      <w:pPr>
        <w:spacing w:after="0" w:line="76"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performing its payment obligations under the Finance Documents;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communicating with other Parties in accordance with the terms of the Finance Documents,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and which (in either such case) is not caused by, and is beyond the control of, the Party whose operations are disrupted.</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Equity Interest </w:t>
      </w:r>
      <w:r>
        <w:rPr>
          <w:rFonts w:ascii="Times New Roman" w:cs="Times New Roman" w:eastAsia="Times New Roman" w:hAnsi="Times New Roman"/>
          <w:sz w:val="18"/>
          <w:szCs w:val="18"/>
          <w:color w:val="auto"/>
        </w:rPr>
        <w:t>means, in relation to any person:</w:t>
      </w:r>
    </w:p>
    <w:p>
      <w:pPr>
        <w:spacing w:after="0" w:line="126" w:lineRule="exact"/>
        <w:rPr>
          <w:sz w:val="20"/>
          <w:szCs w:val="20"/>
          <w:color w:val="auto"/>
        </w:rPr>
      </w:pPr>
    </w:p>
    <w:p>
      <w:pPr>
        <w:ind w:left="626" w:right="600" w:hanging="626"/>
        <w:spacing w:after="0" w:line="270" w:lineRule="auto"/>
        <w:tabs>
          <w:tab w:leader="none" w:pos="626"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any class or capital stock of or equity interest (including partnership or membership interest) in such person or any depositary receipt in respect of any such shares, capital stock or equity interest;</w:t>
      </w:r>
    </w:p>
    <w:p>
      <w:pPr>
        <w:spacing w:after="0" w:line="76" w:lineRule="exact"/>
        <w:rPr>
          <w:rFonts w:ascii="Times New Roman" w:cs="Times New Roman" w:eastAsia="Times New Roman" w:hAnsi="Times New Roman"/>
          <w:sz w:val="18"/>
          <w:szCs w:val="18"/>
          <w:color w:val="auto"/>
        </w:rPr>
      </w:pPr>
    </w:p>
    <w:p>
      <w:pPr>
        <w:ind w:left="626" w:right="100" w:hanging="626"/>
        <w:spacing w:after="0" w:line="258" w:lineRule="auto"/>
        <w:tabs>
          <w:tab w:leader="none" w:pos="626"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convertible or exchangeable (whether at the option of the holder thereof or otherwise and whether such conversion is conditional or otherwise) into any such shares, capital stock, equity interest or depositary receipt, or any depositary receipt in respect of any such securities; or</w:t>
      </w:r>
    </w:p>
    <w:p>
      <w:pPr>
        <w:spacing w:after="0" w:line="85" w:lineRule="exact"/>
        <w:rPr>
          <w:rFonts w:ascii="Times New Roman" w:cs="Times New Roman" w:eastAsia="Times New Roman" w:hAnsi="Times New Roman"/>
          <w:sz w:val="18"/>
          <w:szCs w:val="18"/>
          <w:color w:val="auto"/>
        </w:rPr>
      </w:pPr>
    </w:p>
    <w:p>
      <w:pPr>
        <w:ind w:left="626" w:right="60" w:hanging="626"/>
        <w:spacing w:after="0" w:line="270" w:lineRule="auto"/>
        <w:tabs>
          <w:tab w:leader="none" w:pos="626"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or other right to acquire any such shares, capital stock, equity interest, securities or depositary receipts referred to in paragraphs (a) and/or (b).</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EURIBOR </w:t>
      </w:r>
      <w:r>
        <w:rPr>
          <w:rFonts w:ascii="Times New Roman" w:cs="Times New Roman" w:eastAsia="Times New Roman" w:hAnsi="Times New Roman"/>
          <w:sz w:val="18"/>
          <w:szCs w:val="18"/>
          <w:color w:val="auto"/>
        </w:rPr>
        <w:t>means, in relation to any Loan in euro:</w:t>
      </w:r>
    </w:p>
    <w:p>
      <w:pPr>
        <w:spacing w:after="0" w:line="126" w:lineRule="exact"/>
        <w:rPr>
          <w:sz w:val="20"/>
          <w:szCs w:val="20"/>
          <w:color w:val="auto"/>
        </w:rPr>
      </w:pPr>
    </w:p>
    <w:p>
      <w:pPr>
        <w:ind w:left="626" w:hanging="626"/>
        <w:spacing w:after="0"/>
        <w:tabs>
          <w:tab w:leader="none" w:pos="626"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Screen Rate as of the Specified Time for euro and for a period equal in length to the Interest Period of that Loan;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determined pursuant to Clause 10.1 (Unavailability of Screen Rate),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and if, in either case, that rate is less than zero, EURIBOR shall be deemed to be zero.</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Event of Default </w:t>
      </w:r>
      <w:r>
        <w:rPr>
          <w:rFonts w:ascii="Times New Roman" w:cs="Times New Roman" w:eastAsia="Times New Roman" w:hAnsi="Times New Roman"/>
          <w:sz w:val="18"/>
          <w:szCs w:val="18"/>
          <w:color w:val="auto"/>
        </w:rPr>
        <w:t>means any event or circumstance specified in any of Clauses 22.1 (Non-payment) to 22.13 (Material adverse change).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Facility </w:t>
      </w:r>
      <w:r>
        <w:rPr>
          <w:rFonts w:ascii="Times New Roman" w:cs="Times New Roman" w:eastAsia="Times New Roman" w:hAnsi="Times New Roman"/>
          <w:sz w:val="18"/>
          <w:szCs w:val="18"/>
          <w:color w:val="auto"/>
        </w:rPr>
        <w:t>means the term loan facility made or to be made available under this Agreement as described in Clause 2.1 (The Facility).</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Facility A </w:t>
      </w:r>
      <w:r>
        <w:rPr>
          <w:rFonts w:ascii="Times New Roman" w:cs="Times New Roman" w:eastAsia="Times New Roman" w:hAnsi="Times New Roman"/>
          <w:sz w:val="18"/>
          <w:szCs w:val="18"/>
          <w:color w:val="auto"/>
        </w:rPr>
        <w:t>means the term loan facility made or to be made available to the Original Borrower under the Facility Agreement (Facility A).</w:t>
      </w:r>
    </w:p>
    <w:p>
      <w:pPr>
        <w:spacing w:after="0" w:line="110" w:lineRule="exact"/>
        <w:rPr>
          <w:sz w:val="20"/>
          <w:szCs w:val="20"/>
          <w:color w:val="auto"/>
        </w:rPr>
      </w:pPr>
    </w:p>
    <w:p>
      <w:pPr>
        <w:ind w:left="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Facility Agreement (Facility A) </w:t>
      </w:r>
      <w:r>
        <w:rPr>
          <w:rFonts w:ascii="Times New Roman" w:cs="Times New Roman" w:eastAsia="Times New Roman" w:hAnsi="Times New Roman"/>
          <w:sz w:val="18"/>
          <w:szCs w:val="18"/>
          <w:color w:val="auto"/>
        </w:rPr>
        <w:t>means the EUR facility agreement dated on or about the date of this Agreement between (among others)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Borrower (as borrower) and The Hongkong and Shanghai Banking Corporation Limited as agent for the purpose of (among other things) financing the Acquisition.</w:t>
      </w:r>
    </w:p>
    <w:p>
      <w:pPr>
        <w:spacing w:after="0" w:line="112" w:lineRule="exact"/>
        <w:rPr>
          <w:sz w:val="20"/>
          <w:szCs w:val="20"/>
          <w:color w:val="auto"/>
        </w:rPr>
      </w:pPr>
    </w:p>
    <w:p>
      <w:pPr>
        <w:jc w:val="center"/>
        <w:ind w:right="33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86"/>
          </w:cols>
          <w:pgMar w:left="974" w:top="264" w:right="639" w:bottom="1440" w:gutter="0" w:footer="0" w:header="0"/>
        </w:sectPr>
      </w:pPr>
    </w:p>
    <w:bookmarkStart w:id="592" w:name="page593"/>
    <w:bookmarkEnd w:id="592"/>
    <w:p>
      <w:pPr>
        <w:ind w:left="6" w:right="160"/>
        <w:spacing w:after="0" w:line="27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Facility Agreement (Facility A) Initial Utilisation Date </w:t>
      </w:r>
      <w:r>
        <w:rPr>
          <w:rFonts w:ascii="Times New Roman" w:cs="Times New Roman" w:eastAsia="Times New Roman" w:hAnsi="Times New Roman"/>
          <w:sz w:val="18"/>
          <w:szCs w:val="18"/>
          <w:color w:val="auto"/>
        </w:rPr>
        <w:t>has the meaning given to “Initial Utilisation Date” in the Facility Agreement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p>
    <w:p>
      <w:pPr>
        <w:spacing w:after="0" w:line="58" w:lineRule="exact"/>
        <w:rPr>
          <w:sz w:val="20"/>
          <w:szCs w:val="20"/>
          <w:color w:val="auto"/>
        </w:rPr>
      </w:pPr>
    </w:p>
    <w:p>
      <w:pPr>
        <w:ind w:left="6"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Facility Office </w:t>
      </w:r>
      <w:r>
        <w:rPr>
          <w:rFonts w:ascii="Times New Roman" w:cs="Times New Roman" w:eastAsia="Times New Roman" w:hAnsi="Times New Roman"/>
          <w:sz w:val="18"/>
          <w:szCs w:val="18"/>
          <w:color w:val="auto"/>
        </w:rPr>
        <w:t>means the office or offices notified by a Lender to the Agent in writing on or before the date it becomes a Lender (or,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date, by not less than five (5) Business Days’ written notice) as the office(s) through which it will perform its obligations under this Agreement.</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FATCA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1471 to 1474 of the Code or any associated regulations;</w:t>
      </w:r>
    </w:p>
    <w:p>
      <w:pPr>
        <w:spacing w:after="0" w:line="123" w:lineRule="exact"/>
        <w:rPr>
          <w:rFonts w:ascii="Times New Roman" w:cs="Times New Roman" w:eastAsia="Times New Roman" w:hAnsi="Times New Roman"/>
          <w:sz w:val="18"/>
          <w:szCs w:val="18"/>
          <w:color w:val="auto"/>
        </w:rPr>
      </w:pPr>
    </w:p>
    <w:p>
      <w:pPr>
        <w:ind w:left="626" w:right="480" w:hanging="626"/>
        <w:spacing w:after="0" w:line="300" w:lineRule="auto"/>
        <w:tabs>
          <w:tab w:leader="none" w:pos="626" w:val="left"/>
        </w:tabs>
        <w:numPr>
          <w:ilvl w:val="0"/>
          <w:numId w:val="6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53" w:lineRule="exact"/>
        <w:rPr>
          <w:rFonts w:ascii="Times New Roman" w:cs="Times New Roman" w:eastAsia="Times New Roman" w:hAnsi="Times New Roman"/>
          <w:sz w:val="17"/>
          <w:szCs w:val="17"/>
          <w:color w:val="auto"/>
        </w:rPr>
      </w:pPr>
    </w:p>
    <w:p>
      <w:pPr>
        <w:ind w:left="626" w:right="400" w:hanging="626"/>
        <w:spacing w:after="0" w:line="270" w:lineRule="auto"/>
        <w:tabs>
          <w:tab w:leader="none" w:pos="626"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FATCA Application Date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right="60" w:hanging="626"/>
        <w:spacing w:after="0" w:line="270" w:lineRule="auto"/>
        <w:tabs>
          <w:tab w:leader="none" w:pos="62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“withholdable payment” described in section 1473(1)(A)(i) of the Code (which relates to payments of interest and certain other payments from sources within the US), 1 July 2014; or</w:t>
      </w:r>
    </w:p>
    <w:p>
      <w:pPr>
        <w:spacing w:after="0" w:line="76" w:lineRule="exact"/>
        <w:rPr>
          <w:rFonts w:ascii="Times New Roman" w:cs="Times New Roman" w:eastAsia="Times New Roman" w:hAnsi="Times New Roman"/>
          <w:sz w:val="18"/>
          <w:szCs w:val="18"/>
          <w:color w:val="auto"/>
        </w:rPr>
      </w:pPr>
    </w:p>
    <w:p>
      <w:pPr>
        <w:ind w:left="626" w:right="40" w:hanging="626"/>
        <w:spacing w:after="0" w:line="270" w:lineRule="auto"/>
        <w:tabs>
          <w:tab w:leader="none" w:pos="626"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61" w:lineRule="exact"/>
        <w:rPr>
          <w:sz w:val="20"/>
          <w:szCs w:val="20"/>
          <w:color w:val="auto"/>
        </w:rPr>
      </w:pPr>
    </w:p>
    <w:p>
      <w:pPr>
        <w:ind w:left="6" w:right="188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FATCA Deduction </w:t>
      </w:r>
      <w:r>
        <w:rPr>
          <w:rFonts w:ascii="Times New Roman" w:cs="Times New Roman" w:eastAsia="Times New Roman" w:hAnsi="Times New Roman"/>
          <w:sz w:val="18"/>
          <w:szCs w:val="18"/>
          <w:color w:val="auto"/>
        </w:rPr>
        <w:t>means a deduction or withholding from a payment under a Finance Document required by FATCA.</w:t>
      </w:r>
      <w:r>
        <w:rPr>
          <w:rFonts w:ascii="Times New Roman" w:cs="Times New Roman" w:eastAsia="Times New Roman" w:hAnsi="Times New Roman"/>
          <w:sz w:val="18"/>
          <w:szCs w:val="18"/>
          <w:b w:val="1"/>
          <w:bCs w:val="1"/>
          <w:color w:val="auto"/>
        </w:rPr>
        <w:t xml:space="preserve"> FATCA Exempt Party </w:t>
      </w:r>
      <w:r>
        <w:rPr>
          <w:rFonts w:ascii="Times New Roman" w:cs="Times New Roman" w:eastAsia="Times New Roman" w:hAnsi="Times New Roman"/>
          <w:sz w:val="18"/>
          <w:szCs w:val="18"/>
          <w:color w:val="auto"/>
        </w:rPr>
        <w:t>means a Party that is entitled to receive payments free from any FATCA Deduction.</w:t>
      </w:r>
      <w:r>
        <w:rPr>
          <w:rFonts w:ascii="Times New Roman" w:cs="Times New Roman" w:eastAsia="Times New Roman" w:hAnsi="Times New Roman"/>
          <w:sz w:val="18"/>
          <w:szCs w:val="18"/>
          <w:b w:val="1"/>
          <w:bCs w:val="1"/>
          <w:color w:val="auto"/>
        </w:rPr>
        <w:t xml:space="preserve"> Fee Letter </w:t>
      </w:r>
      <w:r>
        <w:rPr>
          <w:rFonts w:ascii="Times New Roman" w:cs="Times New Roman" w:eastAsia="Times New Roman" w:hAnsi="Times New Roman"/>
          <w:sz w:val="18"/>
          <w:szCs w:val="18"/>
          <w:color w:val="auto"/>
        </w:rPr>
        <w:t>means any letter or letters referring to this Agreement or the Facility:</w:t>
      </w:r>
    </w:p>
    <w:p>
      <w:pPr>
        <w:spacing w:after="0" w:line="2" w:lineRule="exact"/>
        <w:rPr>
          <w:sz w:val="20"/>
          <w:szCs w:val="20"/>
          <w:color w:val="auto"/>
        </w:rPr>
      </w:pPr>
    </w:p>
    <w:p>
      <w:pPr>
        <w:ind w:left="626" w:right="140" w:hanging="626"/>
        <w:spacing w:after="0" w:line="270" w:lineRule="auto"/>
        <w:tabs>
          <w:tab w:leader="none" w:pos="626"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one or more of the Administrative Parties (on the one hand) and the Original Borrower (on the other hand) setting out any fees (including any of the fees referred to in Clause 11 (Fees)); or</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out any fees payable to a Finance Party referred to in paragraph (g) of Clause 2.3 (Increase),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including but not limited to the Syndication and Fee Letter.</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Final Maturity Date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falling three hundred and sixty-four (364) days after the Initial Utilisation Date; or</w:t>
      </w:r>
    </w:p>
    <w:p>
      <w:pPr>
        <w:spacing w:after="0" w:line="123" w:lineRule="exact"/>
        <w:rPr>
          <w:rFonts w:ascii="Times New Roman" w:cs="Times New Roman" w:eastAsia="Times New Roman" w:hAnsi="Times New Roman"/>
          <w:sz w:val="18"/>
          <w:szCs w:val="18"/>
          <w:color w:val="auto"/>
        </w:rPr>
      </w:pPr>
    </w:p>
    <w:p>
      <w:pPr>
        <w:ind w:left="626" w:right="320" w:hanging="626"/>
        <w:spacing w:after="0" w:line="270" w:lineRule="auto"/>
        <w:tabs>
          <w:tab w:leader="none" w:pos="626"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earlier, the date which is twenty-seven (27) Months after the date of this Agreement, or, in either case, if that date is not a Business Day, the preceding Business Day.</w:t>
      </w:r>
    </w:p>
    <w:p>
      <w:pPr>
        <w:spacing w:after="0" w:line="61" w:lineRule="exact"/>
        <w:rPr>
          <w:sz w:val="20"/>
          <w:szCs w:val="20"/>
          <w:color w:val="auto"/>
        </w:rPr>
      </w:pPr>
    </w:p>
    <w:p>
      <w:pPr>
        <w:ind w:left="6" w:right="20"/>
        <w:spacing w:after="0" w:line="303" w:lineRule="auto"/>
        <w:rPr>
          <w:sz w:val="20"/>
          <w:szCs w:val="20"/>
          <w:color w:val="auto"/>
        </w:rPr>
      </w:pPr>
      <w:r>
        <w:rPr>
          <w:rFonts w:ascii="Times New Roman" w:cs="Times New Roman" w:eastAsia="Times New Roman" w:hAnsi="Times New Roman"/>
          <w:sz w:val="17"/>
          <w:szCs w:val="17"/>
          <w:b w:val="1"/>
          <w:bCs w:val="1"/>
          <w:color w:val="auto"/>
        </w:rPr>
        <w:t xml:space="preserve">Finance Documents </w:t>
      </w:r>
      <w:r>
        <w:rPr>
          <w:rFonts w:ascii="Times New Roman" w:cs="Times New Roman" w:eastAsia="Times New Roman" w:hAnsi="Times New Roman"/>
          <w:sz w:val="17"/>
          <w:szCs w:val="17"/>
          <w:color w:val="auto"/>
        </w:rPr>
        <w:t>means this Agreement, the Fee Letters, any Accession Deed, any Utilisation Request, any Selection Notice, any Compliance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Certificate and any other document(s) designated as a “Finance Document” by the Agent and the Borrower(s) (each a </w:t>
      </w:r>
      <w:r>
        <w:rPr>
          <w:rFonts w:ascii="Times New Roman" w:cs="Times New Roman" w:eastAsia="Times New Roman" w:hAnsi="Times New Roman"/>
          <w:sz w:val="17"/>
          <w:szCs w:val="17"/>
          <w:b w:val="1"/>
          <w:bCs w:val="1"/>
          <w:color w:val="auto"/>
        </w:rPr>
        <w:t>Finance Document</w:t>
      </w:r>
      <w:r>
        <w:rPr>
          <w:rFonts w:ascii="Times New Roman" w:cs="Times New Roman" w:eastAsia="Times New Roman" w:hAnsi="Times New Roman"/>
          <w:sz w:val="17"/>
          <w:szCs w:val="17"/>
          <w:color w:val="auto"/>
        </w:rPr>
        <w:t>).</w:t>
      </w:r>
    </w:p>
    <w:p>
      <w:pPr>
        <w:spacing w:after="0" w:line="35" w:lineRule="exact"/>
        <w:rPr>
          <w:sz w:val="20"/>
          <w:szCs w:val="20"/>
          <w:color w:val="auto"/>
        </w:rPr>
      </w:pPr>
    </w:p>
    <w:p>
      <w:pPr>
        <w:ind w:left="6"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Finance Lease </w:t>
      </w:r>
      <w:r>
        <w:rPr>
          <w:rFonts w:ascii="Times New Roman" w:cs="Times New Roman" w:eastAsia="Times New Roman" w:hAnsi="Times New Roman"/>
          <w:sz w:val="18"/>
          <w:szCs w:val="18"/>
          <w:color w:val="auto"/>
        </w:rPr>
        <w:t>means any lease or hire purchase contract, a liability under which would, in accordance with GAAP, be treated as a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(other than any liability in respect of a lease or hire purchase contract which would, in accordance with GAAP immediately before the adoption of ASC 840 (Lease), have been treated as an operating lease).</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Finance Parties </w:t>
      </w:r>
      <w:r>
        <w:rPr>
          <w:rFonts w:ascii="Times New Roman" w:cs="Times New Roman" w:eastAsia="Times New Roman" w:hAnsi="Times New Roman"/>
          <w:sz w:val="18"/>
          <w:szCs w:val="18"/>
          <w:color w:val="auto"/>
        </w:rPr>
        <w:t>means the Agent, the MLABUs, the Arrangers and the Lenders (each a</w:t>
      </w:r>
      <w:r>
        <w:rPr>
          <w:rFonts w:ascii="Times New Roman" w:cs="Times New Roman" w:eastAsia="Times New Roman" w:hAnsi="Times New Roman"/>
          <w:sz w:val="18"/>
          <w:szCs w:val="18"/>
          <w:b w:val="1"/>
          <w:bCs w:val="1"/>
          <w:color w:val="auto"/>
        </w:rPr>
        <w:t xml:space="preserve"> Finance Party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 xml:space="preserve">Financial Half Year </w:t>
      </w:r>
      <w:r>
        <w:rPr>
          <w:rFonts w:ascii="Times New Roman" w:cs="Times New Roman" w:eastAsia="Times New Roman" w:hAnsi="Times New Roman"/>
          <w:sz w:val="17"/>
          <w:szCs w:val="17"/>
          <w:color w:val="auto"/>
        </w:rPr>
        <w:t>means the period commencing on the date falling immediately after a Half Year Date and ending on the next Half Year Date.</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Financial Indebtedness </w:t>
      </w:r>
      <w:r>
        <w:rPr>
          <w:rFonts w:ascii="Times New Roman" w:cs="Times New Roman" w:eastAsia="Times New Roman" w:hAnsi="Times New Roman"/>
          <w:sz w:val="18"/>
          <w:szCs w:val="18"/>
          <w:color w:val="auto"/>
        </w:rPr>
        <w:t>means any indebtedness for or in respect of:</w:t>
      </w:r>
    </w:p>
    <w:p>
      <w:pPr>
        <w:spacing w:after="0" w:line="126" w:lineRule="exact"/>
        <w:rPr>
          <w:sz w:val="20"/>
          <w:szCs w:val="20"/>
          <w:color w:val="auto"/>
        </w:rPr>
      </w:pPr>
    </w:p>
    <w:p>
      <w:pPr>
        <w:ind w:left="626" w:hanging="626"/>
        <w:spacing w:after="0"/>
        <w:tabs>
          <w:tab w:leader="none" w:pos="62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moneys borrowed;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by acceptance under any acceptance credit facility (including any dematerialised equivalent thereof);</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pursuant to any note purchase facility or the issue of bonds, notes, debentures, loan stock or any similar instrument;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Finance Lease;</w:t>
      </w:r>
    </w:p>
    <w:p>
      <w:pPr>
        <w:spacing w:after="0" w:line="150"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26"/>
          </w:cols>
          <w:pgMar w:left="974" w:top="264" w:right="599" w:bottom="1440" w:gutter="0" w:footer="0" w:header="0"/>
        </w:sectPr>
      </w:pPr>
    </w:p>
    <w:bookmarkStart w:id="593" w:name="page594"/>
    <w:bookmarkEnd w:id="593"/>
    <w:p>
      <w:pPr>
        <w:ind w:left="626" w:hanging="626"/>
        <w:spacing w:after="0"/>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receivables sold or discounted (other than any receivables to the extent they are sold on a non-recourse basis);</w:t>
      </w:r>
    </w:p>
    <w:p>
      <w:pPr>
        <w:spacing w:after="0" w:line="123" w:lineRule="exact"/>
        <w:rPr>
          <w:rFonts w:ascii="Times New Roman" w:cs="Times New Roman" w:eastAsia="Times New Roman" w:hAnsi="Times New Roman"/>
          <w:sz w:val="18"/>
          <w:szCs w:val="18"/>
          <w:color w:val="auto"/>
        </w:rPr>
      </w:pPr>
    </w:p>
    <w:p>
      <w:pPr>
        <w:ind w:left="626" w:right="20" w:hanging="626"/>
        <w:spacing w:after="0" w:line="270" w:lineRule="auto"/>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of any liability under an advance or deferred purchase agreement primarily entered into as a method of raising finance or to finance the acquisition of any asset;</w:t>
      </w:r>
    </w:p>
    <w:p>
      <w:pPr>
        <w:spacing w:after="0" w:line="76" w:lineRule="exact"/>
        <w:rPr>
          <w:rFonts w:ascii="Times New Roman" w:cs="Times New Roman" w:eastAsia="Times New Roman" w:hAnsi="Times New Roman"/>
          <w:sz w:val="18"/>
          <w:szCs w:val="18"/>
          <w:color w:val="auto"/>
        </w:rPr>
      </w:pPr>
    </w:p>
    <w:p>
      <w:pPr>
        <w:ind w:left="626" w:right="60" w:hanging="626"/>
        <w:spacing w:after="0" w:line="270" w:lineRule="auto"/>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76" w:lineRule="exact"/>
        <w:rPr>
          <w:rFonts w:ascii="Times New Roman" w:cs="Times New Roman" w:eastAsia="Times New Roman" w:hAnsi="Times New Roman"/>
          <w:sz w:val="18"/>
          <w:szCs w:val="18"/>
          <w:color w:val="auto"/>
        </w:rPr>
      </w:pPr>
    </w:p>
    <w:p>
      <w:pPr>
        <w:ind w:left="626" w:right="120" w:hanging="626"/>
        <w:spacing w:after="0" w:line="270" w:lineRule="auto"/>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transaction entered into in connection with protection against or benefit from fluctuation in any rate or price (and, when calculating the value of any derivative transaction, only the marked to market value shall be taken into account);</w:t>
      </w:r>
    </w:p>
    <w:p>
      <w:pPr>
        <w:spacing w:after="0" w:line="76" w:lineRule="exact"/>
        <w:rPr>
          <w:rFonts w:ascii="Times New Roman" w:cs="Times New Roman" w:eastAsia="Times New Roman" w:hAnsi="Times New Roman"/>
          <w:sz w:val="18"/>
          <w:szCs w:val="18"/>
          <w:color w:val="auto"/>
        </w:rPr>
      </w:pPr>
    </w:p>
    <w:p>
      <w:pPr>
        <w:ind w:left="626" w:right="520" w:hanging="626"/>
        <w:spacing w:after="0" w:line="270" w:lineRule="auto"/>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counter-indemnity obligation in respect of a guarantee, indemnity, bond, standby or documentary letter of credit or any other instrument issued by a bank or financial institution; and/or</w:t>
      </w:r>
    </w:p>
    <w:p>
      <w:pPr>
        <w:spacing w:after="0" w:line="76" w:lineRule="exact"/>
        <w:rPr>
          <w:rFonts w:ascii="Times New Roman" w:cs="Times New Roman" w:eastAsia="Times New Roman" w:hAnsi="Times New Roman"/>
          <w:sz w:val="18"/>
          <w:szCs w:val="18"/>
          <w:color w:val="auto"/>
        </w:rPr>
      </w:pPr>
    </w:p>
    <w:p>
      <w:pPr>
        <w:ind w:left="626" w:right="440" w:hanging="626"/>
        <w:spacing w:after="0" w:line="270" w:lineRule="auto"/>
        <w:tabs>
          <w:tab w:leader="none" w:pos="626"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liability in respect of any guarantee or indemnity or similar assurance against financial loss for any of the items referred to in paragraphs (a) to (i) above.</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Financial Year </w:t>
      </w:r>
      <w:r>
        <w:rPr>
          <w:rFonts w:ascii="Times New Roman" w:cs="Times New Roman" w:eastAsia="Times New Roman" w:hAnsi="Times New Roman"/>
          <w:sz w:val="18"/>
          <w:szCs w:val="18"/>
          <w:color w:val="auto"/>
        </w:rPr>
        <w:t>means the annual accounting period of the Group ending on 31 December in each year.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GAAP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Borrower, German GAAP; 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Guarantor, generally accepted accounting principles in the United States of America.</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Commercial Code </w:t>
      </w:r>
      <w:r>
        <w:rPr>
          <w:rFonts w:ascii="Times New Roman" w:cs="Times New Roman" w:eastAsia="Times New Roman" w:hAnsi="Times New Roman"/>
          <w:sz w:val="18"/>
          <w:szCs w:val="18"/>
          <w:color w:val="auto"/>
        </w:rPr>
        <w:t>means the German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GAAP </w:t>
      </w:r>
      <w:r>
        <w:rPr>
          <w:rFonts w:ascii="Times New Roman" w:cs="Times New Roman" w:eastAsia="Times New Roman" w:hAnsi="Times New Roman"/>
          <w:sz w:val="18"/>
          <w:szCs w:val="18"/>
          <w:color w:val="auto"/>
        </w:rPr>
        <w:t>means Grundsätze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ordnungsmäßiger Buchführung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German Commercial Code, including IFRS.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Person </w:t>
      </w:r>
      <w:r>
        <w:rPr>
          <w:rFonts w:ascii="Times New Roman" w:cs="Times New Roman" w:eastAsia="Times New Roman" w:hAnsi="Times New Roman"/>
          <w:sz w:val="18"/>
          <w:szCs w:val="18"/>
          <w:color w:val="auto"/>
        </w:rPr>
        <w:t>means any person (including any Obligor) that has its registered office (</w:t>
      </w:r>
      <w:r>
        <w:rPr>
          <w:rFonts w:ascii="Times New Roman" w:cs="Times New Roman" w:eastAsia="Times New Roman" w:hAnsi="Times New Roman"/>
          <w:sz w:val="18"/>
          <w:szCs w:val="18"/>
          <w:i w:val="1"/>
          <w:iCs w:val="1"/>
          <w:color w:val="auto"/>
        </w:rPr>
        <w:t>Sitz</w:t>
      </w:r>
      <w:r>
        <w:rPr>
          <w:rFonts w:ascii="Times New Roman" w:cs="Times New Roman" w:eastAsia="Times New Roman" w:hAnsi="Times New Roman"/>
          <w:sz w:val="18"/>
          <w:szCs w:val="18"/>
          <w:color w:val="auto"/>
        </w:rPr>
        <w:t>) in Germany or is managed from Germany.</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 Takeover Code </w:t>
      </w:r>
      <w:r>
        <w:rPr>
          <w:rFonts w:ascii="Times New Roman" w:cs="Times New Roman" w:eastAsia="Times New Roman" w:hAnsi="Times New Roman"/>
          <w:sz w:val="18"/>
          <w:szCs w:val="18"/>
          <w:color w:val="auto"/>
        </w:rPr>
        <w:t>means the German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Wertpapiererwerbs- und Übernahmegesetz (WpÜG)</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Germany </w:t>
      </w:r>
      <w:r>
        <w:rPr>
          <w:rFonts w:ascii="Times New Roman" w:cs="Times New Roman" w:eastAsia="Times New Roman" w:hAnsi="Times New Roman"/>
          <w:sz w:val="18"/>
          <w:szCs w:val="18"/>
          <w:color w:val="auto"/>
        </w:rPr>
        <w:t>means the Federal Republic of Germany.</w:t>
      </w:r>
    </w:p>
    <w:p>
      <w:pPr>
        <w:spacing w:after="0" w:line="110" w:lineRule="exact"/>
        <w:rPr>
          <w:sz w:val="20"/>
          <w:szCs w:val="20"/>
          <w:color w:val="auto"/>
        </w:rPr>
      </w:pPr>
    </w:p>
    <w:p>
      <w:pPr>
        <w:ind w:left="6"/>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Governmental Agency </w:t>
      </w:r>
      <w:r>
        <w:rPr>
          <w:rFonts w:ascii="Times New Roman" w:cs="Times New Roman" w:eastAsia="Times New Roman" w:hAnsi="Times New Roman"/>
          <w:sz w:val="18"/>
          <w:szCs w:val="18"/>
          <w:color w:val="auto"/>
        </w:rPr>
        <w:t>means any government or any governmental, semi-governmental, regulatory or judicial agency, department, body,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authority (including, without limitation, any stock exchange or any self-regulatory organisation established under statute).</w:t>
      </w:r>
    </w:p>
    <w:p>
      <w:pPr>
        <w:spacing w:after="0" w:line="58" w:lineRule="exact"/>
        <w:rPr>
          <w:sz w:val="20"/>
          <w:szCs w:val="20"/>
          <w:color w:val="auto"/>
        </w:rPr>
      </w:pPr>
    </w:p>
    <w:p>
      <w:pPr>
        <w:ind w:left="6" w:right="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Group </w:t>
      </w:r>
      <w:r>
        <w:rPr>
          <w:rFonts w:ascii="Times New Roman" w:cs="Times New Roman" w:eastAsia="Times New Roman" w:hAnsi="Times New Roman"/>
          <w:sz w:val="18"/>
          <w:szCs w:val="18"/>
          <w:color w:val="auto"/>
        </w:rPr>
        <w:t>means the Guarantor and its Subsidiaries from time to time (including, from the Offer Closing Date, the Target if it is a Subsidiary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Group Member </w:t>
      </w:r>
      <w:r>
        <w:rPr>
          <w:rFonts w:ascii="Times New Roman" w:cs="Times New Roman" w:eastAsia="Times New Roman" w:hAnsi="Times New Roman"/>
          <w:sz w:val="18"/>
          <w:szCs w:val="18"/>
          <w:color w:val="auto"/>
        </w:rPr>
        <w:t>means any member of the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Guarantor Listing Stock Exchange </w:t>
      </w:r>
      <w:r>
        <w:rPr>
          <w:rFonts w:ascii="Times New Roman" w:cs="Times New Roman" w:eastAsia="Times New Roman" w:hAnsi="Times New Roman"/>
          <w:sz w:val="18"/>
          <w:szCs w:val="18"/>
          <w:color w:val="auto"/>
        </w:rPr>
        <w:t>means NASDAQ or the Main Board of the Hong Kong Stock Exchange.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Half Year Dates </w:t>
      </w:r>
      <w:r>
        <w:rPr>
          <w:rFonts w:ascii="Times New Roman" w:cs="Times New Roman" w:eastAsia="Times New Roman" w:hAnsi="Times New Roman"/>
          <w:sz w:val="18"/>
          <w:szCs w:val="18"/>
          <w:color w:val="auto"/>
        </w:rPr>
        <w:t>means each of 30 June and 31 December (each a</w:t>
      </w:r>
      <w:r>
        <w:rPr>
          <w:rFonts w:ascii="Times New Roman" w:cs="Times New Roman" w:eastAsia="Times New Roman" w:hAnsi="Times New Roman"/>
          <w:sz w:val="18"/>
          <w:szCs w:val="18"/>
          <w:b w:val="1"/>
          <w:bCs w:val="1"/>
          <w:color w:val="auto"/>
        </w:rPr>
        <w:t xml:space="preserve"> Half Year Date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6"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Holding Company </w:t>
      </w:r>
      <w:r>
        <w:rPr>
          <w:rFonts w:ascii="Times New Roman" w:cs="Times New Roman" w:eastAsia="Times New Roman" w:hAnsi="Times New Roman"/>
          <w:sz w:val="18"/>
          <w:szCs w:val="18"/>
          <w:color w:val="auto"/>
        </w:rPr>
        <w:t>means, in relation to a company, corporation or entity, any other company, corporation or entity in respect of which it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means the Hong Kong Special Administrative Region of the People’s Republic of China.</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Hong Kong Stock Exchange </w:t>
      </w:r>
      <w:r>
        <w:rPr>
          <w:rFonts w:ascii="Times New Roman" w:cs="Times New Roman" w:eastAsia="Times New Roman" w:hAnsi="Times New Roman"/>
          <w:sz w:val="18"/>
          <w:szCs w:val="18"/>
          <w:color w:val="auto"/>
        </w:rPr>
        <w:t>means The Stock Exchange of Hong Kong Limited or any successor.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HSBC Group </w:t>
      </w:r>
      <w:r>
        <w:rPr>
          <w:rFonts w:ascii="Times New Roman" w:cs="Times New Roman" w:eastAsia="Times New Roman" w:hAnsi="Times New Roman"/>
          <w:sz w:val="18"/>
          <w:szCs w:val="18"/>
          <w:color w:val="auto"/>
        </w:rPr>
        <w:t>means HSBC Holdings PLC together with its subsidiary undertakings from time to time.</w:t>
      </w:r>
    </w:p>
    <w:p>
      <w:pPr>
        <w:spacing w:after="0" w:line="110" w:lineRule="exact"/>
        <w:rPr>
          <w:sz w:val="20"/>
          <w:szCs w:val="20"/>
          <w:color w:val="auto"/>
        </w:rPr>
      </w:pPr>
    </w:p>
    <w:p>
      <w:pPr>
        <w:ind w:left="6" w:right="3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IFRS </w:t>
      </w:r>
      <w:r>
        <w:rPr>
          <w:rFonts w:ascii="Times New Roman" w:cs="Times New Roman" w:eastAsia="Times New Roman" w:hAnsi="Times New Roman"/>
          <w:sz w:val="18"/>
          <w:szCs w:val="18"/>
          <w:color w:val="auto"/>
        </w:rPr>
        <w:t>means international accounting standards within the meaning of the IAS Regulation 1606/2002 to the extent applicable to the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Impaired Agent </w:t>
      </w:r>
      <w:r>
        <w:rPr>
          <w:rFonts w:ascii="Times New Roman" w:cs="Times New Roman" w:eastAsia="Times New Roman" w:hAnsi="Times New Roman"/>
          <w:sz w:val="18"/>
          <w:szCs w:val="18"/>
          <w:color w:val="auto"/>
        </w:rPr>
        <w:t>means the Agent at any time when:</w:t>
      </w:r>
    </w:p>
    <w:p>
      <w:pPr>
        <w:spacing w:after="0" w:line="126" w:lineRule="exact"/>
        <w:rPr>
          <w:sz w:val="20"/>
          <w:szCs w:val="20"/>
          <w:color w:val="auto"/>
        </w:rPr>
      </w:pPr>
    </w:p>
    <w:p>
      <w:pPr>
        <w:ind w:left="626" w:right="20" w:hanging="626"/>
        <w:spacing w:after="0" w:line="270" w:lineRule="auto"/>
        <w:tabs>
          <w:tab w:leader="none" w:pos="62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failed to make (or has notified a Party that it will not make) a payment required to be made by it under the Finance Documents by the due date for payment;</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rescinds or repudiates a Finance Document;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also a Lender) it is a Defaulting Lender under paragraph (a), (b) or (c) of the definition of “Defaulting Lender”; or</w:t>
      </w:r>
    </w:p>
    <w:p>
      <w:pPr>
        <w:spacing w:after="0" w:line="150" w:lineRule="exact"/>
        <w:rPr>
          <w:sz w:val="20"/>
          <w:szCs w:val="20"/>
          <w:color w:val="auto"/>
        </w:rPr>
      </w:pPr>
    </w:p>
    <w:p>
      <w:pPr>
        <w:jc w:val="center"/>
        <w:ind w:right="274"/>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26"/>
          </w:cols>
          <w:pgMar w:left="974" w:top="266" w:right="699" w:bottom="1440" w:gutter="0" w:footer="0" w:header="0"/>
        </w:sectPr>
      </w:pPr>
    </w:p>
    <w:bookmarkStart w:id="594" w:name="page595"/>
    <w:bookmarkEnd w:id="594"/>
    <w:p>
      <w:pPr>
        <w:ind w:left="6" w:right="4220" w:hanging="6"/>
        <w:spacing w:after="0" w:line="375" w:lineRule="auto"/>
        <w:tabs>
          <w:tab w:leader="none" w:pos="633"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683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5">
                      <a:extLst>
                        <a:ext uri="{28A0092B-C50C-407E-A947-70E740481C1C}"/>
                      </a:extLst>
                    </a:blip>
                    <a:srcRect/>
                    <a:stretch>
                      <a:fillRect/>
                    </a:stretch>
                  </pic:blipFill>
                  <pic:spPr bwMode="auto">
                    <a:xfrm>
                      <a:off x="0" y="0"/>
                      <a:ext cx="7177405" cy="36830"/>
                    </a:xfrm>
                    <a:prstGeom prst="rect">
                      <a:avLst/>
                    </a:prstGeom>
                    <a:noFill/>
                  </pic:spPr>
                </pic:pic>
              </a:graphicData>
            </a:graphic>
          </wp:anchor>
        </w:drawing>
        <w:t>an Insolvency Event has occurred and is continuing with respect to the Agent, unless, in the case of paragraph (a) above:</w:t>
      </w:r>
    </w:p>
    <w:p>
      <w:pPr>
        <w:spacing w:after="0" w:line="1" w:lineRule="exact"/>
        <w:rPr>
          <w:sz w:val="20"/>
          <w:szCs w:val="20"/>
          <w:color w:val="auto"/>
        </w:rPr>
      </w:pPr>
    </w:p>
    <w:p>
      <w:pPr>
        <w:ind w:left="626" w:hanging="626"/>
        <w:spacing w:after="0"/>
        <w:tabs>
          <w:tab w:leader="none" w:pos="626"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failure to pay is caused by:</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technical error; or</w:t>
      </w:r>
    </w:p>
    <w:p>
      <w:pPr>
        <w:spacing w:after="0" w:line="123"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Event; and</w:t>
      </w:r>
    </w:p>
    <w:p>
      <w:pPr>
        <w:spacing w:after="0" w:line="110"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18"/>
          <w:szCs w:val="18"/>
          <w:color w:val="auto"/>
        </w:rPr>
        <w:t>such payment is made within five (5) Business Days of its due date; or</w:t>
      </w:r>
    </w:p>
    <w:p>
      <w:pPr>
        <w:spacing w:after="0" w:line="124" w:lineRule="exact"/>
        <w:rPr>
          <w:sz w:val="20"/>
          <w:szCs w:val="20"/>
          <w:color w:val="auto"/>
        </w:rPr>
      </w:pPr>
    </w:p>
    <w:p>
      <w:pPr>
        <w:ind w:left="626" w:hanging="626"/>
        <w:spacing w:after="0"/>
        <w:tabs>
          <w:tab w:leader="none" w:pos="626"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disputing in good faith whether it is contractually obliged to make the payment in question.</w:t>
      </w:r>
    </w:p>
    <w:p>
      <w:pPr>
        <w:spacing w:after="0" w:line="108" w:lineRule="exact"/>
        <w:rPr>
          <w:sz w:val="20"/>
          <w:szCs w:val="20"/>
          <w:color w:val="auto"/>
        </w:rPr>
      </w:pPr>
    </w:p>
    <w:p>
      <w:pPr>
        <w:ind w:left="6" w:right="1380"/>
        <w:spacing w:after="0" w:line="373" w:lineRule="auto"/>
        <w:rPr>
          <w:sz w:val="20"/>
          <w:szCs w:val="20"/>
          <w:color w:val="auto"/>
        </w:rPr>
      </w:pPr>
      <w:r>
        <w:rPr>
          <w:rFonts w:ascii="Times New Roman" w:cs="Times New Roman" w:eastAsia="Times New Roman" w:hAnsi="Times New Roman"/>
          <w:sz w:val="18"/>
          <w:szCs w:val="18"/>
          <w:b w:val="1"/>
          <w:bCs w:val="1"/>
          <w:color w:val="auto"/>
        </w:rPr>
        <w:t xml:space="preserve">Increase Confirmation </w:t>
      </w:r>
      <w:r>
        <w:rPr>
          <w:rFonts w:ascii="Times New Roman" w:cs="Times New Roman" w:eastAsia="Times New Roman" w:hAnsi="Times New Roman"/>
          <w:sz w:val="18"/>
          <w:szCs w:val="18"/>
          <w:color w:val="auto"/>
        </w:rPr>
        <w:t>means a confirmation substantially in the form set out in Schedule 7 (Form of Increase Confirmation).</w:t>
      </w:r>
      <w:r>
        <w:rPr>
          <w:rFonts w:ascii="Times New Roman" w:cs="Times New Roman" w:eastAsia="Times New Roman" w:hAnsi="Times New Roman"/>
          <w:sz w:val="18"/>
          <w:szCs w:val="18"/>
          <w:b w:val="1"/>
          <w:bCs w:val="1"/>
          <w:color w:val="auto"/>
        </w:rPr>
        <w:t xml:space="preserve"> Initial Utilisation Date </w:t>
      </w:r>
      <w:r>
        <w:rPr>
          <w:rFonts w:ascii="Times New Roman" w:cs="Times New Roman" w:eastAsia="Times New Roman" w:hAnsi="Times New Roman"/>
          <w:sz w:val="18"/>
          <w:szCs w:val="18"/>
          <w:color w:val="auto"/>
        </w:rPr>
        <w:t>means the first Utilisation Date under this Agreement.</w:t>
      </w:r>
      <w:r>
        <w:rPr>
          <w:rFonts w:ascii="Times New Roman" w:cs="Times New Roman" w:eastAsia="Times New Roman" w:hAnsi="Times New Roman"/>
          <w:sz w:val="18"/>
          <w:szCs w:val="18"/>
          <w:b w:val="1"/>
          <w:bCs w:val="1"/>
          <w:color w:val="auto"/>
        </w:rPr>
        <w:t xml:space="preserve"> Insolvency Event </w:t>
      </w:r>
      <w:r>
        <w:rPr>
          <w:rFonts w:ascii="Times New Roman" w:cs="Times New Roman" w:eastAsia="Times New Roman" w:hAnsi="Times New Roman"/>
          <w:sz w:val="18"/>
          <w:szCs w:val="18"/>
          <w:color w:val="auto"/>
        </w:rPr>
        <w:t>in relation to an entity means that the entity:</w:t>
      </w:r>
    </w:p>
    <w:p>
      <w:pPr>
        <w:spacing w:after="0" w:line="2" w:lineRule="exact"/>
        <w:rPr>
          <w:sz w:val="20"/>
          <w:szCs w:val="20"/>
          <w:color w:val="auto"/>
        </w:rPr>
      </w:pPr>
    </w:p>
    <w:p>
      <w:pPr>
        <w:ind w:left="626" w:hanging="626"/>
        <w:spacing w:after="0"/>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dissolved (other than pursuant to a consolidation, amalgamation or merger);</w:t>
      </w:r>
    </w:p>
    <w:p>
      <w:pPr>
        <w:spacing w:after="0" w:line="123" w:lineRule="exact"/>
        <w:rPr>
          <w:rFonts w:ascii="Times New Roman" w:cs="Times New Roman" w:eastAsia="Times New Roman" w:hAnsi="Times New Roman"/>
          <w:sz w:val="18"/>
          <w:szCs w:val="18"/>
          <w:color w:val="auto"/>
        </w:rPr>
      </w:pPr>
    </w:p>
    <w:p>
      <w:pPr>
        <w:ind w:left="626" w:right="60" w:hanging="626"/>
        <w:spacing w:after="0" w:line="270" w:lineRule="auto"/>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insolvent or is unable to pay its debts or fails or admits in writing its inability generally to pay its debts as they become due or a moratorium is declared in respect of any of its indebtedness;</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arrangement, composition or compromise with, or for the benefit of, its creditors;</w:t>
      </w:r>
    </w:p>
    <w:p>
      <w:pPr>
        <w:spacing w:after="0" w:line="123" w:lineRule="exact"/>
        <w:rPr>
          <w:rFonts w:ascii="Times New Roman" w:cs="Times New Roman" w:eastAsia="Times New Roman" w:hAnsi="Times New Roman"/>
          <w:sz w:val="18"/>
          <w:szCs w:val="18"/>
          <w:color w:val="auto"/>
        </w:rPr>
      </w:pPr>
    </w:p>
    <w:p>
      <w:pPr>
        <w:ind w:left="626" w:right="40" w:hanging="626"/>
        <w:spacing w:after="0" w:line="273" w:lineRule="auto"/>
        <w:tabs>
          <w:tab w:leader="none" w:pos="626" w:val="left"/>
        </w:tabs>
        <w:numPr>
          <w:ilvl w:val="0"/>
          <w:numId w:val="7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75" w:lineRule="exact"/>
        <w:rPr>
          <w:rFonts w:ascii="Times New Roman" w:cs="Times New Roman" w:eastAsia="Times New Roman" w:hAnsi="Times New Roman"/>
          <w:sz w:val="17"/>
          <w:szCs w:val="17"/>
          <w:color w:val="auto"/>
        </w:rPr>
      </w:pPr>
    </w:p>
    <w:p>
      <w:pPr>
        <w:ind w:left="626" w:right="80" w:hanging="626"/>
        <w:spacing w:after="0" w:line="253" w:lineRule="auto"/>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92" w:lineRule="exact"/>
        <w:rPr>
          <w:rFonts w:ascii="Times New Roman" w:cs="Times New Roman" w:eastAsia="Times New Roman" w:hAnsi="Times New Roman"/>
          <w:sz w:val="18"/>
          <w:szCs w:val="18"/>
          <w:color w:val="auto"/>
        </w:rPr>
      </w:pPr>
    </w:p>
    <w:p>
      <w:pPr>
        <w:ind w:left="1286" w:right="80" w:hanging="639"/>
        <w:spacing w:after="0" w:line="270" w:lineRule="auto"/>
        <w:tabs>
          <w:tab w:leader="none" w:pos="1286"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judgment of insolvency or bankruptcy or the entry of an order for relief or the making of an order for its winding-up or liquidation; or</w:t>
      </w:r>
    </w:p>
    <w:p>
      <w:pPr>
        <w:spacing w:after="0" w:line="76" w:lineRule="exact"/>
        <w:rPr>
          <w:rFonts w:ascii="Times New Roman" w:cs="Times New Roman" w:eastAsia="Times New Roman" w:hAnsi="Times New Roman"/>
          <w:sz w:val="18"/>
          <w:szCs w:val="18"/>
          <w:color w:val="auto"/>
        </w:rPr>
      </w:pPr>
    </w:p>
    <w:p>
      <w:pPr>
        <w:ind w:left="1286" w:hanging="639"/>
        <w:spacing w:after="0"/>
        <w:tabs>
          <w:tab w:leader="none" w:pos="1286" w:val="left"/>
        </w:tabs>
        <w:numPr>
          <w:ilvl w:val="1"/>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dismissed, discharged, stayed or restrained in each case within thirty (30) days of the institution or presentation thereof;</w:t>
      </w:r>
    </w:p>
    <w:p>
      <w:pPr>
        <w:spacing w:after="0" w:line="123" w:lineRule="exact"/>
        <w:rPr>
          <w:rFonts w:ascii="Times New Roman" w:cs="Times New Roman" w:eastAsia="Times New Roman" w:hAnsi="Times New Roman"/>
          <w:sz w:val="18"/>
          <w:szCs w:val="18"/>
          <w:color w:val="auto"/>
        </w:rPr>
      </w:pPr>
    </w:p>
    <w:p>
      <w:pPr>
        <w:ind w:left="626" w:right="200" w:hanging="626"/>
        <w:spacing w:after="0" w:line="270" w:lineRule="auto"/>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resolution passed for its winding-up, official management or liquidation (other than pursuant to a consolidation, amalgamation or merger);</w:t>
      </w:r>
    </w:p>
    <w:p>
      <w:pPr>
        <w:spacing w:after="0" w:line="76" w:lineRule="exact"/>
        <w:rPr>
          <w:rFonts w:ascii="Times New Roman" w:cs="Times New Roman" w:eastAsia="Times New Roman" w:hAnsi="Times New Roman"/>
          <w:sz w:val="18"/>
          <w:szCs w:val="18"/>
          <w:color w:val="auto"/>
        </w:rPr>
      </w:pPr>
    </w:p>
    <w:p>
      <w:pPr>
        <w:jc w:val="both"/>
        <w:ind w:left="626" w:right="80" w:hanging="626"/>
        <w:spacing w:after="0" w:line="280" w:lineRule="auto"/>
        <w:tabs>
          <w:tab w:leader="none" w:pos="626" w:val="left"/>
        </w:tabs>
        <w:numPr>
          <w:ilvl w:val="0"/>
          <w:numId w:val="7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seeks or becomes subject to the appointment of an administrator, provisional liquidator, conservator, receiver, trustee, custodian, monitor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69" w:lineRule="exact"/>
        <w:rPr>
          <w:rFonts w:ascii="Times New Roman" w:cs="Times New Roman" w:eastAsia="Times New Roman" w:hAnsi="Times New Roman"/>
          <w:sz w:val="17"/>
          <w:szCs w:val="17"/>
          <w:color w:val="auto"/>
        </w:rPr>
      </w:pPr>
    </w:p>
    <w:p>
      <w:pPr>
        <w:ind w:left="626" w:hanging="626"/>
        <w:spacing w:after="0" w:line="258" w:lineRule="auto"/>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thirty (30) days thereafter;</w:t>
      </w:r>
    </w:p>
    <w:p>
      <w:pPr>
        <w:spacing w:after="0" w:line="85" w:lineRule="exact"/>
        <w:rPr>
          <w:rFonts w:ascii="Times New Roman" w:cs="Times New Roman" w:eastAsia="Times New Roman" w:hAnsi="Times New Roman"/>
          <w:sz w:val="18"/>
          <w:szCs w:val="18"/>
          <w:color w:val="auto"/>
        </w:rPr>
      </w:pPr>
    </w:p>
    <w:p>
      <w:pPr>
        <w:ind w:left="626" w:right="140" w:hanging="626"/>
        <w:spacing w:after="0" w:line="270" w:lineRule="auto"/>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causes or is subject to any event with respect to it which, under the applicable laws of any jurisdiction, has an analogous effect to any of the events specified in paragraphs (a) to (h) above; or</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action in furtherance of, or indicating its consent to, approval of, or acquiescence in, any of the foregoing acts.</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Intellectual Property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right="60" w:hanging="626"/>
        <w:spacing w:after="0" w:line="258" w:lineRule="auto"/>
        <w:tabs>
          <w:tab w:leader="none" w:pos="626"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trade-marks, service marks, designs, business names, copyrights, database rights, design rights, domain names, moral rights, inventions, confidential information, knowhow and other intellectual property rights and interests (which may now or in the future subsist), whether registered or unregistered; and</w:t>
      </w:r>
    </w:p>
    <w:p>
      <w:pPr>
        <w:spacing w:after="0" w:line="85" w:lineRule="exact"/>
        <w:rPr>
          <w:rFonts w:ascii="Times New Roman" w:cs="Times New Roman" w:eastAsia="Times New Roman" w:hAnsi="Times New Roman"/>
          <w:sz w:val="18"/>
          <w:szCs w:val="18"/>
          <w:color w:val="auto"/>
        </w:rPr>
      </w:pPr>
    </w:p>
    <w:p>
      <w:pPr>
        <w:ind w:left="626" w:right="560" w:hanging="626"/>
        <w:spacing w:after="0" w:line="270" w:lineRule="auto"/>
        <w:tabs>
          <w:tab w:leader="none" w:pos="626"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all applications and rights to use any or all of the assets referred to in paragraph (a) (which may now or in the future subsist).</w:t>
      </w:r>
    </w:p>
    <w:p>
      <w:pPr>
        <w:spacing w:after="0" w:line="103"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46"/>
          </w:cols>
          <w:pgMar w:left="974" w:top="265" w:right="579" w:bottom="1440" w:gutter="0" w:footer="0" w:header="0"/>
        </w:sectPr>
      </w:pPr>
    </w:p>
    <w:bookmarkStart w:id="595" w:name="page596"/>
    <w:bookmarkEnd w:id="595"/>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Interest Period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 Loan, any period determined in accordance with Clause 9 (Interest Periods); and/or</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Unpaid Sum, any period determined in accordance with Clause 8.3 (Default interest).</w:t>
      </w:r>
    </w:p>
    <w:p>
      <w:pPr>
        <w:spacing w:after="0" w:line="108" w:lineRule="exact"/>
        <w:rPr>
          <w:sz w:val="20"/>
          <w:szCs w:val="20"/>
          <w:color w:val="auto"/>
        </w:rPr>
      </w:pPr>
    </w:p>
    <w:p>
      <w:pPr>
        <w:ind w:left="6"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Interpolated Screen Rate </w:t>
      </w:r>
      <w:r>
        <w:rPr>
          <w:rFonts w:ascii="Times New Roman" w:cs="Times New Roman" w:eastAsia="Times New Roman" w:hAnsi="Times New Roman"/>
          <w:sz w:val="18"/>
          <w:szCs w:val="18"/>
          <w:color w:val="auto"/>
        </w:rPr>
        <w:t>means, in relation to EURIBOR for any Loan or any Unpaid Sum and any Interest Period relating thereto, the rate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 (rounded upwards to four decimal places) for a period equal to the length of such Interest Period which results from interpolating on a linear basis between:</w:t>
      </w:r>
    </w:p>
    <w:p>
      <w:pPr>
        <w:spacing w:after="0" w:line="85" w:lineRule="exact"/>
        <w:rPr>
          <w:sz w:val="20"/>
          <w:szCs w:val="20"/>
          <w:color w:val="auto"/>
        </w:rPr>
      </w:pPr>
    </w:p>
    <w:p>
      <w:pPr>
        <w:ind w:left="626" w:right="20" w:hanging="626"/>
        <w:spacing w:after="0" w:line="270" w:lineRule="auto"/>
        <w:tabs>
          <w:tab w:leader="none" w:pos="626"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annum that is equal to the applicable Screen Rate for the longest period (for which that Screen Rate is available) which is less than the length of such Interest Period; and</w:t>
      </w:r>
    </w:p>
    <w:p>
      <w:pPr>
        <w:spacing w:after="0" w:line="76" w:lineRule="exact"/>
        <w:rPr>
          <w:rFonts w:ascii="Times New Roman" w:cs="Times New Roman" w:eastAsia="Times New Roman" w:hAnsi="Times New Roman"/>
          <w:sz w:val="18"/>
          <w:szCs w:val="18"/>
          <w:color w:val="auto"/>
        </w:rPr>
      </w:pPr>
    </w:p>
    <w:p>
      <w:pPr>
        <w:ind w:left="626" w:right="460" w:hanging="626"/>
        <w:spacing w:after="0" w:line="270" w:lineRule="auto"/>
        <w:tabs>
          <w:tab w:leader="none" w:pos="626"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annum that is equal to the applicable Screen Rate for the shortest period (for which that Screen Rate is available) which exceeds the length of such Interest Period,</w:t>
      </w:r>
    </w:p>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each as of the Specified Time on the Quotation Day for the currency of such Loan or such Unpaid Sum and for such Interest Period.</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Health Group </w:t>
      </w:r>
      <w:r>
        <w:rPr>
          <w:rFonts w:ascii="Times New Roman" w:cs="Times New Roman" w:eastAsia="Times New Roman" w:hAnsi="Times New Roman"/>
          <w:sz w:val="18"/>
          <w:szCs w:val="18"/>
          <w:color w:val="auto"/>
        </w:rPr>
        <w:t>means JD Health International Inc. and its Subsidiaries from time to time.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Health Group Member </w:t>
      </w:r>
      <w:r>
        <w:rPr>
          <w:rFonts w:ascii="Times New Roman" w:cs="Times New Roman" w:eastAsia="Times New Roman" w:hAnsi="Times New Roman"/>
          <w:sz w:val="18"/>
          <w:szCs w:val="18"/>
          <w:color w:val="auto"/>
        </w:rPr>
        <w:t>means any member of the JD Health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Industrial Group </w:t>
      </w:r>
      <w:r>
        <w:rPr>
          <w:rFonts w:ascii="Times New Roman" w:cs="Times New Roman" w:eastAsia="Times New Roman" w:hAnsi="Times New Roman"/>
          <w:sz w:val="18"/>
          <w:szCs w:val="18"/>
          <w:color w:val="auto"/>
        </w:rPr>
        <w:t>means JINGDONG Industrials, Inc. and its Subsidiaries from time to time.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Industrial Group Member </w:t>
      </w:r>
      <w:r>
        <w:rPr>
          <w:rFonts w:ascii="Times New Roman" w:cs="Times New Roman" w:eastAsia="Times New Roman" w:hAnsi="Times New Roman"/>
          <w:sz w:val="18"/>
          <w:szCs w:val="18"/>
          <w:color w:val="auto"/>
        </w:rPr>
        <w:t>means any member of the JD Industrial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Logistics Group </w:t>
      </w:r>
      <w:r>
        <w:rPr>
          <w:rFonts w:ascii="Times New Roman" w:cs="Times New Roman" w:eastAsia="Times New Roman" w:hAnsi="Times New Roman"/>
          <w:sz w:val="18"/>
          <w:szCs w:val="18"/>
          <w:color w:val="auto"/>
        </w:rPr>
        <w:t>means JD Logistics, Inc. and its Subsidiaries from time to time.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Logistics Group Member </w:t>
      </w:r>
      <w:r>
        <w:rPr>
          <w:rFonts w:ascii="Times New Roman" w:cs="Times New Roman" w:eastAsia="Times New Roman" w:hAnsi="Times New Roman"/>
          <w:sz w:val="18"/>
          <w:szCs w:val="18"/>
          <w:color w:val="auto"/>
        </w:rPr>
        <w:t>means any member of the JD Logistics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Property Group </w:t>
      </w:r>
      <w:r>
        <w:rPr>
          <w:rFonts w:ascii="Times New Roman" w:cs="Times New Roman" w:eastAsia="Times New Roman" w:hAnsi="Times New Roman"/>
          <w:sz w:val="18"/>
          <w:szCs w:val="18"/>
          <w:color w:val="auto"/>
        </w:rPr>
        <w:t>means JINGDONG Property, Inc. and its Subsidiaries from time to time.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JD Property Group Member </w:t>
      </w:r>
      <w:r>
        <w:rPr>
          <w:rFonts w:ascii="Times New Roman" w:cs="Times New Roman" w:eastAsia="Times New Roman" w:hAnsi="Times New Roman"/>
          <w:sz w:val="18"/>
          <w:szCs w:val="18"/>
          <w:color w:val="auto"/>
        </w:rPr>
        <w:t>means any member of the JD Property Group.</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Legal Reservations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right="720" w:hanging="626"/>
        <w:spacing w:after="0" w:line="280" w:lineRule="auto"/>
        <w:tabs>
          <w:tab w:leader="none" w:pos="626" w:val="left"/>
        </w:tabs>
        <w:numPr>
          <w:ilvl w:val="0"/>
          <w:numId w:val="7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principle that certain (including equitable) remedies may be granted or refused at the discretion of a court, the principle of reasonableness and fairness where implied by law and the limitation of enforcement by laws relating to bankruptcy, insolvency, reorganisation, court schemes, administration, moratoria and other laws generally affecting the rights of creditors;</w:t>
      </w:r>
    </w:p>
    <w:p>
      <w:pPr>
        <w:spacing w:after="0" w:line="69" w:lineRule="exact"/>
        <w:rPr>
          <w:rFonts w:ascii="Times New Roman" w:cs="Times New Roman" w:eastAsia="Times New Roman" w:hAnsi="Times New Roman"/>
          <w:sz w:val="17"/>
          <w:szCs w:val="17"/>
          <w:color w:val="auto"/>
        </w:rPr>
      </w:pPr>
    </w:p>
    <w:p>
      <w:pPr>
        <w:ind w:left="626" w:right="20" w:hanging="626"/>
        <w:spacing w:after="0" w:line="300" w:lineRule="auto"/>
        <w:tabs>
          <w:tab w:leader="none" w:pos="626" w:val="left"/>
        </w:tabs>
        <w:numPr>
          <w:ilvl w:val="0"/>
          <w:numId w:val="7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53" w:lineRule="exact"/>
        <w:rPr>
          <w:rFonts w:ascii="Times New Roman" w:cs="Times New Roman" w:eastAsia="Times New Roman" w:hAnsi="Times New Roman"/>
          <w:sz w:val="17"/>
          <w:szCs w:val="17"/>
          <w:color w:val="auto"/>
        </w:rPr>
      </w:pPr>
    </w:p>
    <w:p>
      <w:pPr>
        <w:ind w:left="626" w:right="460" w:hanging="626"/>
        <w:spacing w:after="0" w:line="270" w:lineRule="auto"/>
        <w:tabs>
          <w:tab w:leader="none" w:pos="62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principles, rights and defences in respect of the enforceability of a contract, agreement or undertaking under the laws of any Relevant Jurisdiction;</w:t>
      </w:r>
    </w:p>
    <w:p>
      <w:pPr>
        <w:spacing w:after="0" w:line="76" w:lineRule="exact"/>
        <w:rPr>
          <w:rFonts w:ascii="Times New Roman" w:cs="Times New Roman" w:eastAsia="Times New Roman" w:hAnsi="Times New Roman"/>
          <w:sz w:val="18"/>
          <w:szCs w:val="18"/>
          <w:color w:val="auto"/>
        </w:rPr>
      </w:pPr>
    </w:p>
    <w:p>
      <w:pPr>
        <w:ind w:left="626" w:hanging="626"/>
        <w:spacing w:after="0" w:line="270" w:lineRule="auto"/>
        <w:tabs>
          <w:tab w:leader="none" w:pos="62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additional interest imposed pursuant to any relevant agreement may be held to be unenforceable on the grounds that it is a penalty and thus void;</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that a court may not give effect to an indemnity for legal costs incurred by an unsuccessful litigant; and</w:t>
      </w:r>
    </w:p>
    <w:p>
      <w:pPr>
        <w:spacing w:after="0" w:line="123" w:lineRule="exact"/>
        <w:rPr>
          <w:rFonts w:ascii="Times New Roman" w:cs="Times New Roman" w:eastAsia="Times New Roman" w:hAnsi="Times New Roman"/>
          <w:sz w:val="18"/>
          <w:szCs w:val="18"/>
          <w:color w:val="auto"/>
        </w:rPr>
      </w:pPr>
    </w:p>
    <w:p>
      <w:pPr>
        <w:ind w:left="626" w:right="120" w:hanging="626"/>
        <w:spacing w:after="0" w:line="253" w:lineRule="auto"/>
        <w:tabs>
          <w:tab w:leader="none" w:pos="626"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which are set out as qualifications or reservations as to matters of law of general application and which are set out in the legal opinions required to be delivered under this Agreement (as if references therein to any document to which such legal opinions apply were references to any document to which any representation or warranty under any Finance Document (which is qualified by the Legal Reservations) relates).</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Lender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Original Lender; and/or</w:t>
      </w:r>
    </w:p>
    <w:p>
      <w:pPr>
        <w:spacing w:after="0" w:line="123" w:lineRule="exact"/>
        <w:rPr>
          <w:rFonts w:ascii="Times New Roman" w:cs="Times New Roman" w:eastAsia="Times New Roman" w:hAnsi="Times New Roman"/>
          <w:sz w:val="18"/>
          <w:szCs w:val="18"/>
          <w:color w:val="auto"/>
        </w:rPr>
      </w:pPr>
    </w:p>
    <w:p>
      <w:pPr>
        <w:ind w:left="626" w:right="600" w:hanging="626"/>
        <w:spacing w:after="0" w:line="270" w:lineRule="auto"/>
        <w:tabs>
          <w:tab w:leader="none" w:pos="626"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 financial institution, trust, fund or other entity which has become a Party in accordance with Clause 23 (Changes to the Lenders) or Clause 2.3 (Increase),</w:t>
      </w:r>
    </w:p>
    <w:p>
      <w:pPr>
        <w:spacing w:after="0" w:line="6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which in each case has not ceased to be a Party in accordance with the terms of this Agreement.</w:t>
      </w:r>
    </w:p>
    <w:p>
      <w:pPr>
        <w:spacing w:after="0" w:line="108" w:lineRule="exact"/>
        <w:rPr>
          <w:sz w:val="20"/>
          <w:szCs w:val="20"/>
          <w:color w:val="auto"/>
        </w:rPr>
      </w:pPr>
    </w:p>
    <w:p>
      <w:pPr>
        <w:ind w:left="6" w:right="2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means, as the context requires, a loan made or to be made under the Facility or the principal amount outstanding for the time being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w:t>
      </w:r>
    </w:p>
    <w:p>
      <w:pPr>
        <w:spacing w:after="0" w:line="100"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346"/>
          </w:cols>
          <w:pgMar w:left="974" w:top="264" w:right="579" w:bottom="1440" w:gutter="0" w:footer="0" w:header="0"/>
        </w:sectPr>
      </w:pPr>
    </w:p>
    <w:bookmarkStart w:id="596" w:name="page597"/>
    <w:bookmarkEnd w:id="596"/>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LMA </w:t>
      </w:r>
      <w:r>
        <w:rPr>
          <w:rFonts w:ascii="Times New Roman" w:cs="Times New Roman" w:eastAsia="Times New Roman" w:hAnsi="Times New Roman"/>
          <w:sz w:val="18"/>
          <w:szCs w:val="18"/>
          <w:color w:val="auto"/>
        </w:rPr>
        <w:t>means the Loan Market Association.</w:t>
      </w:r>
    </w:p>
    <w:p>
      <w:pPr>
        <w:spacing w:after="0" w:line="24" w:lineRule="exact"/>
        <w:rPr>
          <w:sz w:val="20"/>
          <w:szCs w:val="20"/>
          <w:color w:val="auto"/>
        </w:rPr>
      </w:pPr>
    </w:p>
    <w:p>
      <w:pPr>
        <w:ind w:left="420" w:right="220"/>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Majority Lenders </w:t>
      </w:r>
      <w:r>
        <w:rPr>
          <w:rFonts w:ascii="Times New Roman" w:cs="Times New Roman" w:eastAsia="Times New Roman" w:hAnsi="Times New Roman"/>
          <w:sz w:val="18"/>
          <w:szCs w:val="18"/>
          <w:color w:val="auto"/>
        </w:rPr>
        <w:t>means a Lender or Lenders whose Commitments aggregate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or more of the Total Commitments (or, if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have been reduced to zero, aggregated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or more of the Total Commitments immediately prior to the reduction of the Total Commitments to zero).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Material Adverse Effect </w:t>
      </w:r>
      <w:r>
        <w:rPr>
          <w:rFonts w:ascii="Times New Roman" w:cs="Times New Roman" w:eastAsia="Times New Roman" w:hAnsi="Times New Roman"/>
          <w:sz w:val="18"/>
          <w:szCs w:val="18"/>
          <w:color w:val="auto"/>
        </w:rPr>
        <w:t>means a material adverse effect on:</w:t>
      </w:r>
    </w:p>
    <w:p>
      <w:pPr>
        <w:spacing w:after="0" w:line="126" w:lineRule="exact"/>
        <w:rPr>
          <w:sz w:val="20"/>
          <w:szCs w:val="20"/>
          <w:color w:val="auto"/>
        </w:rPr>
      </w:pPr>
    </w:p>
    <w:p>
      <w:pPr>
        <w:ind w:left="1040" w:hanging="626"/>
        <w:spacing w:after="0"/>
        <w:tabs>
          <w:tab w:leader="none" w:pos="10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or financial condition of:</w:t>
      </w:r>
    </w:p>
    <w:p>
      <w:pPr>
        <w:spacing w:after="0" w:line="123"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or</w:t>
      </w:r>
    </w:p>
    <w:p>
      <w:pPr>
        <w:spacing w:after="0" w:line="123"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1"/>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(taken as a whole);</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an Obligor to perform its payment obligations under any Finance Document; or</w:t>
      </w:r>
    </w:p>
    <w:p>
      <w:pPr>
        <w:spacing w:after="0" w:line="123" w:lineRule="exact"/>
        <w:rPr>
          <w:rFonts w:ascii="Times New Roman" w:cs="Times New Roman" w:eastAsia="Times New Roman" w:hAnsi="Times New Roman"/>
          <w:sz w:val="18"/>
          <w:szCs w:val="18"/>
          <w:color w:val="auto"/>
        </w:rPr>
      </w:pPr>
    </w:p>
    <w:p>
      <w:pPr>
        <w:ind w:left="1040" w:right="140" w:hanging="626"/>
        <w:spacing w:after="0" w:line="270" w:lineRule="auto"/>
        <w:tabs>
          <w:tab w:leader="none" w:pos="1040"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legality or enforceability of any Finance Document or the rights or remedies of any Finance Party under any of the Finance Documents.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right="3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means a period starting on one day in a calendar month and ending on the numerically corresponding day in the next calendar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w:t>
      </w:r>
    </w:p>
    <w:p>
      <w:pPr>
        <w:spacing w:after="0" w:line="73" w:lineRule="exact"/>
        <w:rPr>
          <w:sz w:val="20"/>
          <w:szCs w:val="20"/>
          <w:color w:val="auto"/>
        </w:rPr>
      </w:pPr>
    </w:p>
    <w:p>
      <w:pPr>
        <w:ind w:left="1040" w:right="40" w:hanging="626"/>
        <w:spacing w:after="0" w:line="258" w:lineRule="auto"/>
        <w:tabs>
          <w:tab w:leader="none" w:pos="1040"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if the numerically corresponding day in that next calendar month (in which that period is to end) is not a Business Day, that period shall end on the next Business Day in that next calendar month if there is one, or if there is not, on the immediately preceding Business Day in that next calendar month;</w:t>
      </w:r>
    </w:p>
    <w:p>
      <w:pPr>
        <w:spacing w:after="0" w:line="85" w:lineRule="exact"/>
        <w:rPr>
          <w:rFonts w:ascii="Times New Roman" w:cs="Times New Roman" w:eastAsia="Times New Roman" w:hAnsi="Times New Roman"/>
          <w:sz w:val="18"/>
          <w:szCs w:val="18"/>
          <w:color w:val="auto"/>
        </w:rPr>
      </w:pPr>
    </w:p>
    <w:p>
      <w:pPr>
        <w:ind w:left="1040" w:right="100" w:hanging="626"/>
        <w:spacing w:after="0" w:line="270" w:lineRule="auto"/>
        <w:tabs>
          <w:tab w:leader="none" w:pos="1040"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numerically corresponding day in that next calendar month (in which that period is to end), that period shall end on the last Business Day in that next calendar month; and</w:t>
      </w:r>
    </w:p>
    <w:p>
      <w:pPr>
        <w:spacing w:after="0" w:line="76" w:lineRule="exact"/>
        <w:rPr>
          <w:rFonts w:ascii="Times New Roman" w:cs="Times New Roman" w:eastAsia="Times New Roman" w:hAnsi="Times New Roman"/>
          <w:sz w:val="18"/>
          <w:szCs w:val="18"/>
          <w:color w:val="auto"/>
        </w:rPr>
      </w:pPr>
    </w:p>
    <w:p>
      <w:pPr>
        <w:ind w:left="1040" w:hanging="626"/>
        <w:spacing w:after="0" w:line="270" w:lineRule="auto"/>
        <w:tabs>
          <w:tab w:leader="none" w:pos="1040"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period begins on the last Business Day of a calendar month, that period shall end on the last Business Day in the calendar month in which that period is to end.</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above rules will only apply to the last Month of any period.</w:t>
      </w:r>
    </w:p>
    <w:p>
      <w:pPr>
        <w:spacing w:after="0" w:line="108" w:lineRule="exact"/>
        <w:rPr>
          <w:sz w:val="20"/>
          <w:szCs w:val="20"/>
          <w:color w:val="auto"/>
        </w:rPr>
      </w:pPr>
    </w:p>
    <w:p>
      <w:pPr>
        <w:ind w:left="42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Most Recent Testing Period </w:t>
      </w:r>
      <w:r>
        <w:rPr>
          <w:rFonts w:ascii="Times New Roman" w:cs="Times New Roman" w:eastAsia="Times New Roman" w:hAnsi="Times New Roman"/>
          <w:sz w:val="18"/>
          <w:szCs w:val="18"/>
          <w:color w:val="auto"/>
        </w:rPr>
        <w:t>means, as at any time, the period of twelve (12) Months ending on the date as at which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Guarantor most recently delivered to the Agent under Clause 19.1 (Financial statements) of this Agreement (as at such time) were prepared. For the avoidance of doubt, as at the date of this Agreement, such most recently delivered consolidated financial statements of the Guarantor are the Original Financial Statements.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New Lender </w:t>
      </w:r>
      <w:r>
        <w:rPr>
          <w:rFonts w:ascii="Times New Roman" w:cs="Times New Roman" w:eastAsia="Times New Roman" w:hAnsi="Times New Roman"/>
          <w:sz w:val="18"/>
          <w:szCs w:val="18"/>
          <w:color w:val="auto"/>
        </w:rPr>
        <w:t>has the meaning given to it in Clause 23 (Changes to the Lenders).</w:t>
      </w:r>
    </w:p>
    <w:p>
      <w:pPr>
        <w:spacing w:after="0" w:line="110" w:lineRule="exact"/>
        <w:rPr>
          <w:sz w:val="20"/>
          <w:szCs w:val="20"/>
          <w:color w:val="auto"/>
        </w:rPr>
      </w:pPr>
    </w:p>
    <w:p>
      <w:pPr>
        <w:ind w:left="420" w:right="2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Nei Bao Wai Dai Transaction </w:t>
      </w:r>
      <w:r>
        <w:rPr>
          <w:rFonts w:ascii="Times New Roman" w:cs="Times New Roman" w:eastAsia="Times New Roman" w:hAnsi="Times New Roman"/>
          <w:sz w:val="18"/>
          <w:szCs w:val="18"/>
          <w:color w:val="auto"/>
        </w:rPr>
        <w:t>means any transaction under which any person that is incorporated or organised outside of the PRC incurs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Indebtedness from any creditor which is incorporated or organised outside of the PRC and where such Financial Indebtedness is supported by any guarantee or Security over assets granted by any person that is incorporated or organised in (or is a resident or citizen of) the PRC.</w:t>
      </w:r>
    </w:p>
    <w:p>
      <w:pPr>
        <w:spacing w:after="0" w:line="76" w:lineRule="exact"/>
        <w:rPr>
          <w:sz w:val="20"/>
          <w:szCs w:val="20"/>
          <w:color w:val="auto"/>
        </w:rPr>
      </w:pPr>
    </w:p>
    <w:p>
      <w:pPr>
        <w:ind w:left="4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Nei Cun Wai Dai Transaction </w:t>
      </w:r>
      <w:r>
        <w:rPr>
          <w:rFonts w:ascii="Times New Roman" w:cs="Times New Roman" w:eastAsia="Times New Roman" w:hAnsi="Times New Roman"/>
          <w:sz w:val="18"/>
          <w:szCs w:val="18"/>
          <w:color w:val="auto"/>
        </w:rPr>
        <w:t>means any transaction or banking arrangement entered into by any Material Entity involving any netting or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cash-pooling arrangement where:</w:t>
      </w:r>
    </w:p>
    <w:p>
      <w:pPr>
        <w:spacing w:after="0" w:line="73" w:lineRule="exact"/>
        <w:rPr>
          <w:sz w:val="20"/>
          <w:szCs w:val="20"/>
          <w:color w:val="auto"/>
        </w:rPr>
      </w:pPr>
    </w:p>
    <w:p>
      <w:pPr>
        <w:ind w:left="1040" w:right="200" w:hanging="626"/>
        <w:spacing w:after="0" w:line="270" w:lineRule="auto"/>
        <w:tabs>
          <w:tab w:leader="none" w:pos="1040"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provider of any cash deposit or credit balance (involved in such transaction or arrangement) is incorporated or organised in (or is a resident or citizen of) the PRC; and</w:t>
      </w:r>
    </w:p>
    <w:p>
      <w:pPr>
        <w:spacing w:after="0" w:line="76" w:lineRule="exact"/>
        <w:rPr>
          <w:rFonts w:ascii="Times New Roman" w:cs="Times New Roman" w:eastAsia="Times New Roman" w:hAnsi="Times New Roman"/>
          <w:sz w:val="18"/>
          <w:szCs w:val="18"/>
          <w:color w:val="auto"/>
        </w:rPr>
      </w:pPr>
    </w:p>
    <w:p>
      <w:pPr>
        <w:ind w:left="1040" w:right="500" w:hanging="626"/>
        <w:spacing w:after="0" w:line="270" w:lineRule="auto"/>
        <w:tabs>
          <w:tab w:leader="none" w:pos="1040"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can benefit from such cash deposit or credit balance pursuant to such transaction or arrangement is incorporated or organised outside the PRC.</w:t>
      </w:r>
    </w:p>
    <w:p>
      <w:pPr>
        <w:spacing w:after="0" w:line="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Obligor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hanging="626"/>
        <w:spacing w:after="0"/>
        <w:tabs>
          <w:tab w:leader="none" w:pos="1040"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Borrower;</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becomes an Additional Borrower in accordance with Clause 24.2 (Additional Borrower), the Additional Borrower; or</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OFAC </w:t>
      </w:r>
      <w:r>
        <w:rPr>
          <w:rFonts w:ascii="Times New Roman" w:cs="Times New Roman" w:eastAsia="Times New Roman" w:hAnsi="Times New Roman"/>
          <w:sz w:val="18"/>
          <w:szCs w:val="18"/>
          <w:color w:val="auto"/>
        </w:rPr>
        <w:t>means the Office of Foreign Assets Control of the US Department of the Treasury (or any successor thereto).</w:t>
      </w:r>
    </w:p>
    <w:p>
      <w:pPr>
        <w:spacing w:after="0" w:line="15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40"/>
          </w:cols>
          <w:pgMar w:left="560" w:top="264" w:right="599" w:bottom="1440" w:gutter="0" w:footer="0" w:header="0"/>
        </w:sectPr>
      </w:pPr>
    </w:p>
    <w:bookmarkStart w:id="597" w:name="page598"/>
    <w:bookmarkEnd w:id="597"/>
    <w:p>
      <w:pPr>
        <w:ind w:left="420"/>
        <w:spacing w:after="0" w:line="27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Offer </w:t>
      </w:r>
      <w:r>
        <w:rPr>
          <w:rFonts w:ascii="Times New Roman" w:cs="Times New Roman" w:eastAsia="Times New Roman" w:hAnsi="Times New Roman"/>
          <w:sz w:val="18"/>
          <w:szCs w:val="18"/>
          <w:color w:val="auto"/>
        </w:rPr>
        <w:t>means the public tender offer by the Original Borrower for all issued shares in the capital of the Target to shareholders of the Target,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may be amended in a manner not prohibited under the Facility Agreement (Facility A).</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Offer Closing Date </w:t>
      </w:r>
      <w:r>
        <w:rPr>
          <w:rFonts w:ascii="Times New Roman" w:cs="Times New Roman" w:eastAsia="Times New Roman" w:hAnsi="Times New Roman"/>
          <w:sz w:val="18"/>
          <w:szCs w:val="18"/>
          <w:color w:val="auto"/>
        </w:rPr>
        <w:t>the date on which the Offer is settled.</w:t>
      </w:r>
    </w:p>
    <w:p>
      <w:pPr>
        <w:spacing w:after="0" w:line="110" w:lineRule="exact"/>
        <w:rPr>
          <w:sz w:val="20"/>
          <w:szCs w:val="20"/>
          <w:color w:val="auto"/>
        </w:rPr>
      </w:pPr>
    </w:p>
    <w:p>
      <w:pPr>
        <w:ind w:left="420" w:right="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Original Financial Statements </w:t>
      </w:r>
      <w:r>
        <w:rPr>
          <w:rFonts w:ascii="Times New Roman" w:cs="Times New Roman" w:eastAsia="Times New Roman" w:hAnsi="Times New Roman"/>
          <w:sz w:val="18"/>
          <w:szCs w:val="18"/>
          <w:color w:val="auto"/>
        </w:rPr>
        <w:t>means the audited consolidated financial statements of the Guarantor for its Financial Year ended 31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58" w:lineRule="exact"/>
        <w:rPr>
          <w:sz w:val="20"/>
          <w:szCs w:val="20"/>
          <w:color w:val="auto"/>
        </w:rPr>
      </w:pPr>
    </w:p>
    <w:p>
      <w:pPr>
        <w:ind w:left="420" w:right="5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Participating Member State </w:t>
      </w:r>
      <w:r>
        <w:rPr>
          <w:rFonts w:ascii="Times New Roman" w:cs="Times New Roman" w:eastAsia="Times New Roman" w:hAnsi="Times New Roman"/>
          <w:sz w:val="18"/>
          <w:szCs w:val="18"/>
          <w:color w:val="auto"/>
        </w:rPr>
        <w:t>means any member state of the European Union that has the euro as its lawful currency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legislation of the European Union relating to Economic and Monetary Union.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Party </w:t>
      </w:r>
      <w:r>
        <w:rPr>
          <w:rFonts w:ascii="Times New Roman" w:cs="Times New Roman" w:eastAsia="Times New Roman" w:hAnsi="Times New Roman"/>
          <w:sz w:val="18"/>
          <w:szCs w:val="18"/>
          <w:color w:val="auto"/>
        </w:rPr>
        <w:t>means a party to this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08" w:lineRule="exact"/>
        <w:rPr>
          <w:sz w:val="20"/>
          <w:szCs w:val="20"/>
          <w:color w:val="auto"/>
        </w:rPr>
      </w:pPr>
    </w:p>
    <w:p>
      <w:pPr>
        <w:ind w:left="420" w:right="5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PRC </w:t>
      </w:r>
      <w:r>
        <w:rPr>
          <w:rFonts w:ascii="Times New Roman" w:cs="Times New Roman" w:eastAsia="Times New Roman" w:hAnsi="Times New Roman"/>
          <w:sz w:val="18"/>
          <w:szCs w:val="18"/>
          <w:color w:val="auto"/>
        </w:rPr>
        <w:t>means the People’s Republic of China (which, for the purposes of the Finance Documents, does not include Hong Kong, the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Region of Macau or Taiwan).</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Quasi-Security </w:t>
      </w:r>
      <w:r>
        <w:rPr>
          <w:rFonts w:ascii="Times New Roman" w:cs="Times New Roman" w:eastAsia="Times New Roman" w:hAnsi="Times New Roman"/>
          <w:sz w:val="18"/>
          <w:szCs w:val="18"/>
          <w:color w:val="auto"/>
        </w:rPr>
        <w:t>means any arrangement or transaction described in Clause 21.4(b) (Negative pledge).</w:t>
      </w:r>
    </w:p>
    <w:p>
      <w:pPr>
        <w:spacing w:after="0" w:line="110" w:lineRule="exact"/>
        <w:rPr>
          <w:sz w:val="20"/>
          <w:szCs w:val="20"/>
          <w:color w:val="auto"/>
        </w:rPr>
      </w:pPr>
    </w:p>
    <w:p>
      <w:pPr>
        <w:ind w:left="420" w:right="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Quotation Day </w:t>
      </w:r>
      <w:r>
        <w:rPr>
          <w:rFonts w:ascii="Times New Roman" w:cs="Times New Roman" w:eastAsia="Times New Roman" w:hAnsi="Times New Roman"/>
          <w:sz w:val="18"/>
          <w:szCs w:val="18"/>
          <w:color w:val="auto"/>
        </w:rPr>
        <w:t>means, in relation to any period for which an interest rate is to be determined, two (2) TARGET Days before the first day of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Market </w:t>
      </w:r>
      <w:r>
        <w:rPr>
          <w:rFonts w:ascii="Times New Roman" w:cs="Times New Roman" w:eastAsia="Times New Roman" w:hAnsi="Times New Roman"/>
          <w:sz w:val="18"/>
          <w:szCs w:val="18"/>
          <w:color w:val="auto"/>
        </w:rPr>
        <w:t>means the European interbank market.</w:t>
      </w:r>
    </w:p>
    <w:p>
      <w:pPr>
        <w:spacing w:after="0" w:line="110" w:lineRule="exact"/>
        <w:rPr>
          <w:sz w:val="20"/>
          <w:szCs w:val="20"/>
          <w:color w:val="auto"/>
        </w:rPr>
      </w:pPr>
    </w:p>
    <w:p>
      <w:pPr>
        <w:ind w:left="42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Reference Bank Rate </w:t>
      </w:r>
      <w:r>
        <w:rPr>
          <w:rFonts w:ascii="Times New Roman" w:cs="Times New Roman" w:eastAsia="Times New Roman" w:hAnsi="Times New Roman"/>
          <w:sz w:val="18"/>
          <w:szCs w:val="18"/>
          <w:color w:val="auto"/>
        </w:rPr>
        <w:t>means, in relation to any Loan or Unpaid Sum and any period relating thereto, the arithmetic mean of the rates (rounded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upwards to four decimal places) as supplied to the Agent at its request by each of the Reference Banks as the rate at which such Reference Bank could borrow funds in the Relevant Market for such period, were it to do so by asking for and then accepting interbank offers for deposits in reasonable market size in such currency and for such period.</w:t>
      </w:r>
    </w:p>
    <w:p>
      <w:pPr>
        <w:spacing w:after="0" w:line="76" w:lineRule="exact"/>
        <w:rPr>
          <w:sz w:val="20"/>
          <w:szCs w:val="20"/>
          <w:color w:val="auto"/>
        </w:rPr>
      </w:pPr>
    </w:p>
    <w:p>
      <w:pPr>
        <w:ind w:left="420"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Reference Banks </w:t>
      </w:r>
      <w:r>
        <w:rPr>
          <w:rFonts w:ascii="Times New Roman" w:cs="Times New Roman" w:eastAsia="Times New Roman" w:hAnsi="Times New Roman"/>
          <w:sz w:val="18"/>
          <w:szCs w:val="18"/>
          <w:color w:val="auto"/>
        </w:rPr>
        <w:t>means the principal London offices of any bank(s) as may be appointed by the Agent after consultation with the Borrower(s),</w:t>
      </w:r>
      <w:r>
        <w:rPr>
          <w:rFonts w:ascii="Times New Roman" w:cs="Times New Roman" w:eastAsia="Times New Roman" w:hAnsi="Times New Roman"/>
          <w:sz w:val="18"/>
          <w:szCs w:val="18"/>
          <w:b w:val="1"/>
          <w:bCs w:val="1"/>
          <w:color w:val="auto"/>
        </w:rPr>
        <w:t xml:space="preserve"> provided that </w:t>
      </w:r>
      <w:r>
        <w:rPr>
          <w:rFonts w:ascii="Times New Roman" w:cs="Times New Roman" w:eastAsia="Times New Roman" w:hAnsi="Times New Roman"/>
          <w:sz w:val="18"/>
          <w:szCs w:val="18"/>
          <w:color w:val="auto"/>
        </w:rPr>
        <w:t>no bank shall be appointed as a Reference Bank without its prior consent and the prior written consent of the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provided further that</w:t>
      </w:r>
      <w:r>
        <w:rPr>
          <w:rFonts w:ascii="Times New Roman" w:cs="Times New Roman" w:eastAsia="Times New Roman" w:hAnsi="Times New Roman"/>
          <w:sz w:val="18"/>
          <w:szCs w:val="18"/>
          <w:color w:val="auto"/>
        </w:rPr>
        <w:t xml:space="preserve"> the consent of the Borrower(s) shall not be unreasonably withheld or delayed and will be deemed to be given five (5) Business Days after the Agent has requested in writing).</w:t>
      </w:r>
    </w:p>
    <w:p>
      <w:pPr>
        <w:spacing w:after="0" w:line="76" w:lineRule="exact"/>
        <w:rPr>
          <w:sz w:val="20"/>
          <w:szCs w:val="20"/>
          <w:color w:val="auto"/>
        </w:rPr>
      </w:pPr>
    </w:p>
    <w:p>
      <w:pPr>
        <w:ind w:left="420"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Related Fund </w:t>
      </w:r>
      <w:r>
        <w:rPr>
          <w:rFonts w:ascii="Times New Roman" w:cs="Times New Roman" w:eastAsia="Times New Roman" w:hAnsi="Times New Roman"/>
          <w:sz w:val="18"/>
          <w:szCs w:val="18"/>
          <w:color w:val="auto"/>
        </w:rPr>
        <w:t>in relation to a fund (the</w:t>
      </w:r>
      <w:r>
        <w:rPr>
          <w:rFonts w:ascii="Times New Roman" w:cs="Times New Roman" w:eastAsia="Times New Roman" w:hAnsi="Times New Roman"/>
          <w:sz w:val="18"/>
          <w:szCs w:val="18"/>
          <w:b w:val="1"/>
          <w:bCs w:val="1"/>
          <w:color w:val="auto"/>
        </w:rPr>
        <w:t xml:space="preserve"> first fund</w:t>
      </w:r>
      <w:r>
        <w:rPr>
          <w:rFonts w:ascii="Times New Roman" w:cs="Times New Roman" w:eastAsia="Times New Roman" w:hAnsi="Times New Roman"/>
          <w:sz w:val="18"/>
          <w:szCs w:val="18"/>
          <w:color w:val="auto"/>
        </w:rPr>
        <w:t>), means a fund which is managed or advised by the same investment manager or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adviser as the first fund or, if it is managed by a different investment manager or investment adviser, a fund whose investment manager or investment adviser is an Affiliate of the investment manager or investment adviser of the first fund.</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Jurisdiction </w:t>
      </w:r>
      <w:r>
        <w:rPr>
          <w:rFonts w:ascii="Times New Roman" w:cs="Times New Roman" w:eastAsia="Times New Roman" w:hAnsi="Times New Roman"/>
          <w:sz w:val="18"/>
          <w:szCs w:val="18"/>
          <w:color w:val="auto"/>
        </w:rPr>
        <w:t>means, in relation to an Obligor:</w:t>
      </w:r>
    </w:p>
    <w:p>
      <w:pPr>
        <w:spacing w:after="0" w:line="126" w:lineRule="exact"/>
        <w:rPr>
          <w:sz w:val="20"/>
          <w:szCs w:val="20"/>
          <w:color w:val="auto"/>
        </w:rPr>
      </w:pPr>
    </w:p>
    <w:p>
      <w:pPr>
        <w:ind w:left="1040" w:hanging="626"/>
        <w:spacing w:after="0"/>
        <w:tabs>
          <w:tab w:leader="none" w:pos="1040"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jurisdiction of incorporation; and</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where it conducts a material part of its business.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Relevant Period </w:t>
      </w:r>
      <w:r>
        <w:rPr>
          <w:rFonts w:ascii="Times New Roman" w:cs="Times New Roman" w:eastAsia="Times New Roman" w:hAnsi="Times New Roman"/>
          <w:sz w:val="18"/>
          <w:szCs w:val="18"/>
          <w:color w:val="auto"/>
        </w:rPr>
        <w:t>means has the meaning given to it in Clause 20.1 (Financial definitions).</w:t>
      </w:r>
    </w:p>
    <w:p>
      <w:pPr>
        <w:spacing w:after="0" w:line="110" w:lineRule="exact"/>
        <w:rPr>
          <w:sz w:val="20"/>
          <w:szCs w:val="20"/>
          <w:color w:val="auto"/>
        </w:rPr>
      </w:pPr>
    </w:p>
    <w:p>
      <w:pPr>
        <w:ind w:left="420" w:right="34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Repeating Representations </w:t>
      </w:r>
      <w:r>
        <w:rPr>
          <w:rFonts w:ascii="Times New Roman" w:cs="Times New Roman" w:eastAsia="Times New Roman" w:hAnsi="Times New Roman"/>
          <w:sz w:val="17"/>
          <w:szCs w:val="17"/>
          <w:color w:val="auto"/>
        </w:rPr>
        <w:t>means each of the representations and warranties set out in Clauses 18.1 (Status) to 18.6 (Governing law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enforcement) (inclusive), paragraph (b) of Clause 18.9 (No default), paragraph (c) of Clause 18.10 (No misleading information), paragraphs</w:t>
      </w:r>
    </w:p>
    <w:p>
      <w:pPr>
        <w:spacing w:after="0" w:line="1" w:lineRule="exact"/>
        <w:rPr>
          <w:sz w:val="20"/>
          <w:szCs w:val="20"/>
          <w:color w:val="auto"/>
        </w:rPr>
      </w:pPr>
    </w:p>
    <w:p>
      <w:pPr>
        <w:ind w:left="420" w:right="260" w:firstLine="2"/>
        <w:spacing w:after="0" w:line="250" w:lineRule="auto"/>
        <w:tabs>
          <w:tab w:leader="none" w:pos="66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Clause 18.11 (Financial statements) and Clause 18.13 (No proceedings pending or threatened) to Clause 18.15 (Sanctions, anti-money laundering and anti-corruption) (inclusive).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Representative </w:t>
      </w:r>
      <w:r>
        <w:rPr>
          <w:rFonts w:ascii="Times New Roman" w:cs="Times New Roman" w:eastAsia="Times New Roman" w:hAnsi="Times New Roman"/>
          <w:sz w:val="18"/>
          <w:szCs w:val="18"/>
          <w:color w:val="auto"/>
        </w:rPr>
        <w:t>means any delegate, agent, manager, administrator, nominee, attorney, trustee or custodian.</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Restricted Finance Party </w:t>
      </w:r>
      <w:r>
        <w:rPr>
          <w:rFonts w:ascii="Times New Roman" w:cs="Times New Roman" w:eastAsia="Times New Roman" w:hAnsi="Times New Roman"/>
          <w:sz w:val="18"/>
          <w:szCs w:val="18"/>
          <w:color w:val="auto"/>
        </w:rPr>
        <w:t>has the meaning given to that term in Clause 1.6 (Sanctions).</w:t>
      </w:r>
    </w:p>
    <w:p>
      <w:pPr>
        <w:spacing w:after="0" w:line="110" w:lineRule="exact"/>
        <w:rPr>
          <w:sz w:val="20"/>
          <w:szCs w:val="20"/>
          <w:color w:val="auto"/>
        </w:rPr>
      </w:pPr>
    </w:p>
    <w:p>
      <w:pPr>
        <w:ind w:left="420" w:right="1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Sanctions </w:t>
      </w:r>
      <w:r>
        <w:rPr>
          <w:rFonts w:ascii="Times New Roman" w:cs="Times New Roman" w:eastAsia="Times New Roman" w:hAnsi="Times New Roman"/>
          <w:sz w:val="18"/>
          <w:szCs w:val="18"/>
          <w:color w:val="auto"/>
        </w:rPr>
        <w:t>means the sanctions laws, regulations, embargoes or restrictive measures administered, enacted or enforced by any of the 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Authorities.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Sanctions Authorities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40" w:hanging="626"/>
        <w:spacing w:after="0"/>
        <w:tabs>
          <w:tab w:leader="none" w:pos="10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Nations;</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Kingdom government;</w:t>
      </w:r>
    </w:p>
    <w:p>
      <w:pPr>
        <w:spacing w:after="0" w:line="123" w:lineRule="exact"/>
        <w:rPr>
          <w:rFonts w:ascii="Times New Roman" w:cs="Times New Roman" w:eastAsia="Times New Roman" w:hAnsi="Times New Roman"/>
          <w:sz w:val="18"/>
          <w:szCs w:val="18"/>
          <w:color w:val="auto"/>
        </w:rPr>
      </w:pPr>
    </w:p>
    <w:p>
      <w:pPr>
        <w:ind w:left="1040" w:hanging="626"/>
        <w:spacing w:after="0"/>
        <w:tabs>
          <w:tab w:leader="none" w:pos="1040"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German government;</w:t>
      </w:r>
    </w:p>
    <w:p>
      <w:pPr>
        <w:spacing w:after="0" w:line="1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640"/>
          </w:cols>
          <w:pgMar w:left="560" w:top="264" w:right="699" w:bottom="1440" w:gutter="0" w:footer="0" w:header="0"/>
        </w:sectPr>
      </w:pPr>
    </w:p>
    <w:bookmarkStart w:id="598" w:name="page599"/>
    <w:bookmarkEnd w:id="598"/>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Hong Kong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Monetary Authority;</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Singapore government;</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Monetary Authority of Singapore;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Republic of France;</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or</w:t>
      </w:r>
    </w:p>
    <w:p>
      <w:pPr>
        <w:spacing w:after="0" w:line="123" w:lineRule="exact"/>
        <w:rPr>
          <w:rFonts w:ascii="Times New Roman" w:cs="Times New Roman" w:eastAsia="Times New Roman" w:hAnsi="Times New Roman"/>
          <w:sz w:val="18"/>
          <w:szCs w:val="18"/>
          <w:color w:val="auto"/>
        </w:rPr>
      </w:pPr>
    </w:p>
    <w:p>
      <w:pPr>
        <w:ind w:left="626" w:right="80" w:hanging="626"/>
        <w:spacing w:after="0" w:line="270" w:lineRule="auto"/>
        <w:tabs>
          <w:tab w:leader="none" w:pos="626"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Governmental Agencies of any of the foregoing, including without limitation, OFAC, the US Department of State, the US Department of the Treasury’s Office of Foreign Assets Control and His Majesty’s Treasury.</w:t>
      </w:r>
    </w:p>
    <w:p>
      <w:pPr>
        <w:spacing w:after="0" w:line="61" w:lineRule="exact"/>
        <w:rPr>
          <w:sz w:val="20"/>
          <w:szCs w:val="20"/>
          <w:color w:val="auto"/>
        </w:rPr>
      </w:pPr>
    </w:p>
    <w:p>
      <w:pPr>
        <w:jc w:val="both"/>
        <w:ind w:left="6"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Sanctions Provisions </w:t>
      </w:r>
      <w:r>
        <w:rPr>
          <w:rFonts w:ascii="Times New Roman" w:cs="Times New Roman" w:eastAsia="Times New Roman" w:hAnsi="Times New Roman"/>
          <w:sz w:val="18"/>
          <w:szCs w:val="18"/>
          <w:color w:val="auto"/>
        </w:rPr>
        <w:t>means the representations, general undertakings, restrictions and any other provisions related to Sanctions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Clause 18.15 (Sanctions, anti-money laundering and anti-corruption) and Clause 21.12 (Sanctions), and any other existing or future provision relating to Sanctions in this Agreement or any other Finance Document.</w:t>
      </w:r>
    </w:p>
    <w:p>
      <w:pPr>
        <w:spacing w:after="0" w:line="70"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Screen Rate </w:t>
      </w:r>
      <w:r>
        <w:rPr>
          <w:rFonts w:ascii="Times New Roman" w:cs="Times New Roman" w:eastAsia="Times New Roman" w:hAnsi="Times New Roman"/>
          <w:sz w:val="18"/>
          <w:szCs w:val="18"/>
          <w:color w:val="auto"/>
        </w:rPr>
        <w:t>means in relation to EURIBOR, the euro interbank offered rate administered by the European Money Markets Institute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which takes over the administration of that rate) for the relevant period displayed on page EURIBOR01 of the Refinitiv screen (or any replacement Refinitiv page which displays that rate), or, on the appropriate page of such other information service which publishes that rate from time to time in place of Refinitiv. If such page or service ceases to be available, the Agent may specify another page or service displaying the relevant rate after consultation with the Borrower(s) and the Lenders.</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Security </w:t>
      </w:r>
      <w:r>
        <w:rPr>
          <w:rFonts w:ascii="Times New Roman" w:cs="Times New Roman" w:eastAsia="Times New Roman" w:hAnsi="Times New Roman"/>
          <w:sz w:val="18"/>
          <w:szCs w:val="18"/>
          <w:color w:val="auto"/>
        </w:rPr>
        <w:t>means a mortgage, charge, pledge, lien or other security interest securing any obligation of any person or any other agreement or</w:t>
      </w:r>
    </w:p>
    <w:p>
      <w:pPr>
        <w:spacing w:after="0" w:line="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arrangement having a similar effect, including, in respect of the Borrower(s) or, from the Offer Closing Date, any Target Group Member</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incorporated in Germany, any assignment for security purposes (</w:t>
      </w:r>
      <w:r>
        <w:rPr>
          <w:rFonts w:ascii="Times New Roman" w:cs="Times New Roman" w:eastAsia="Times New Roman" w:hAnsi="Times New Roman"/>
          <w:sz w:val="18"/>
          <w:szCs w:val="18"/>
          <w:i w:val="1"/>
          <w:iCs w:val="1"/>
          <w:color w:val="auto"/>
        </w:rPr>
        <w:t>Sicherungsabtretung</w:t>
      </w:r>
      <w:r>
        <w:rPr>
          <w:rFonts w:ascii="Times New Roman" w:cs="Times New Roman" w:eastAsia="Times New Roman" w:hAnsi="Times New Roman"/>
          <w:sz w:val="18"/>
          <w:szCs w:val="18"/>
          <w:color w:val="auto"/>
        </w:rPr>
        <w:t>), any transfer for security purposes</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Sicherungsübereignung</w:t>
      </w:r>
      <w:r>
        <w:rPr>
          <w:rFonts w:ascii="Times New Roman" w:cs="Times New Roman" w:eastAsia="Times New Roman" w:hAnsi="Times New Roman"/>
          <w:sz w:val="18"/>
          <w:szCs w:val="18"/>
          <w:color w:val="auto"/>
        </w:rPr>
        <w:t>) or other in rem security (</w:t>
      </w:r>
      <w:r>
        <w:rPr>
          <w:rFonts w:ascii="Times New Roman" w:cs="Times New Roman" w:eastAsia="Times New Roman" w:hAnsi="Times New Roman"/>
          <w:sz w:val="18"/>
          <w:szCs w:val="18"/>
          <w:i w:val="1"/>
          <w:iCs w:val="1"/>
          <w:color w:val="auto"/>
        </w:rPr>
        <w:t>dingliche Sicherheit</w:t>
      </w:r>
      <w:r>
        <w:rPr>
          <w:rFonts w:ascii="Times New Roman" w:cs="Times New Roman" w:eastAsia="Times New Roman" w:hAnsi="Times New Roman"/>
          <w:sz w:val="18"/>
          <w:szCs w:val="18"/>
          <w:color w:val="auto"/>
        </w:rPr>
        <w:t>) securing any obligation of any person or any other agreement or</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arrangement having a similar effect.</w:t>
      </w:r>
    </w:p>
    <w:p>
      <w:pPr>
        <w:spacing w:after="0" w:line="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Selection Notice </w:t>
      </w:r>
      <w:r>
        <w:rPr>
          <w:rFonts w:ascii="Times New Roman" w:cs="Times New Roman" w:eastAsia="Times New Roman" w:hAnsi="Times New Roman"/>
          <w:sz w:val="18"/>
          <w:szCs w:val="18"/>
          <w:color w:val="auto"/>
        </w:rPr>
        <w:t>means a notice in substantially the form set out in Part 2 of Schedule 3 (Requests).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Specified Time </w:t>
      </w:r>
      <w:r>
        <w:rPr>
          <w:rFonts w:ascii="Times New Roman" w:cs="Times New Roman" w:eastAsia="Times New Roman" w:hAnsi="Times New Roman"/>
          <w:sz w:val="18"/>
          <w:szCs w:val="18"/>
          <w:color w:val="auto"/>
        </w:rPr>
        <w:t>means the applicable time determined in accordance with Schedule 6 (Timetables).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means in relation to any company, corporation or entity, a company, corporation or entity:</w:t>
      </w:r>
    </w:p>
    <w:p>
      <w:pPr>
        <w:spacing w:after="0" w:line="125" w:lineRule="exact"/>
        <w:rPr>
          <w:sz w:val="20"/>
          <w:szCs w:val="20"/>
          <w:color w:val="auto"/>
        </w:rPr>
      </w:pPr>
    </w:p>
    <w:p>
      <w:pPr>
        <w:ind w:left="626" w:hanging="626"/>
        <w:spacing w:after="0"/>
        <w:tabs>
          <w:tab w:leader="none" w:pos="626"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controlled, directly or indirectly, by the first mentioned company, corporation or entity;</w:t>
      </w:r>
    </w:p>
    <w:p>
      <w:pPr>
        <w:spacing w:after="0" w:line="123" w:lineRule="exact"/>
        <w:rPr>
          <w:rFonts w:ascii="Times New Roman" w:cs="Times New Roman" w:eastAsia="Times New Roman" w:hAnsi="Times New Roman"/>
          <w:sz w:val="18"/>
          <w:szCs w:val="18"/>
          <w:color w:val="auto"/>
        </w:rPr>
      </w:pPr>
    </w:p>
    <w:p>
      <w:pPr>
        <w:ind w:left="626" w:hanging="626"/>
        <w:spacing w:after="0" w:line="270" w:lineRule="auto"/>
        <w:tabs>
          <w:tab w:leader="none" w:pos="626"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half the issued equity share capital, registered capital or equity interest of which is beneficially owned, directly or indirectly by the first mentioned company, corporation or entity;</w:t>
      </w:r>
    </w:p>
    <w:p>
      <w:pPr>
        <w:spacing w:after="0" w:line="76"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Subsidiary of another Subsidiary of the first mentioned company, corporation or entity; or</w:t>
      </w:r>
    </w:p>
    <w:p>
      <w:pPr>
        <w:spacing w:after="0" w:line="123" w:lineRule="exact"/>
        <w:rPr>
          <w:rFonts w:ascii="Times New Roman" w:cs="Times New Roman" w:eastAsia="Times New Roman" w:hAnsi="Times New Roman"/>
          <w:sz w:val="18"/>
          <w:szCs w:val="18"/>
          <w:color w:val="auto"/>
        </w:rPr>
      </w:pPr>
    </w:p>
    <w:p>
      <w:pPr>
        <w:ind w:left="626" w:right="240" w:hanging="626"/>
        <w:spacing w:after="0" w:line="258" w:lineRule="auto"/>
        <w:tabs>
          <w:tab w:leader="none" w:pos="626"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or results of operation of which are or are required under GAAP to be consolidated for the purposes of the consolidated financial statements of the first mentioned company, corporation or entity (including any VIE Entity that is the subject of any VIE Contract),</w:t>
      </w:r>
    </w:p>
    <w:p>
      <w:pPr>
        <w:spacing w:after="0" w:line="73"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8"/>
          <w:szCs w:val="18"/>
          <w:color w:val="auto"/>
        </w:rPr>
        <w:t>and for this purpose, a company, corporation or entity shall be treated as being controlled by another if that other company, corporation or entity is able to direct its affairs and/or to control the majority of the composition of its board of directors or equivalent body, provided however that, without prejudice to the application of the provisions of the Finance Documents to the Target as the Additional Borrower if it becomes an Additional Borrower in accordance with Clause 24.2 (Additional Borrower), paragraphs (a), (b) and (d) above shall not apply in respect of the Target being either a Subsidiary of the Original Borrower or a Group Member and the Target shall only be a Subsidiary of the Borrower and a Group Member as a result of the shareholding of the Original Borrower in the Target if either:</w:t>
      </w:r>
    </w:p>
    <w:p>
      <w:pPr>
        <w:spacing w:after="0" w:line="94" w:lineRule="exact"/>
        <w:rPr>
          <w:sz w:val="20"/>
          <w:szCs w:val="20"/>
          <w:color w:val="auto"/>
        </w:rPr>
      </w:pPr>
    </w:p>
    <w:p>
      <w:pPr>
        <w:ind w:left="1286" w:right="180" w:hanging="639"/>
        <w:spacing w:after="0" w:line="270" w:lineRule="auto"/>
        <w:tabs>
          <w:tab w:leader="none" w:pos="1286"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Borrower acquires greater than fifty per cent. (50%) of the shares of the Target and the Target has been converted into a German limited liability company (</w:t>
      </w:r>
      <w:r>
        <w:rPr>
          <w:rFonts w:ascii="Times New Roman" w:cs="Times New Roman" w:eastAsia="Times New Roman" w:hAnsi="Times New Roman"/>
          <w:sz w:val="18"/>
          <w:szCs w:val="18"/>
          <w:i w:val="1"/>
          <w:iCs w:val="1"/>
          <w:color w:val="auto"/>
        </w:rPr>
        <w:t>GmbH</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286" w:right="20" w:hanging="639"/>
        <w:spacing w:after="0" w:line="270" w:lineRule="auto"/>
        <w:tabs>
          <w:tab w:leader="none" w:pos="1286"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Borrower acquires greater than seventy five per cent. (75%) of the shares of the Target and a domination agreement pursuant to section 291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has been implemented.</w:t>
      </w:r>
    </w:p>
    <w:p>
      <w:pPr>
        <w:spacing w:after="0" w:line="10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326"/>
          </w:cols>
          <w:pgMar w:left="974" w:top="266" w:right="599" w:bottom="1440" w:gutter="0" w:footer="0" w:header="0"/>
        </w:sectPr>
      </w:pPr>
    </w:p>
    <w:bookmarkStart w:id="599" w:name="page600"/>
    <w:bookmarkEnd w:id="599"/>
    <w:p>
      <w:pPr>
        <w:ind w:left="6" w:right="32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6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Super Majority Lenders </w:t>
      </w:r>
      <w:r>
        <w:rPr>
          <w:rFonts w:ascii="Times New Roman" w:cs="Times New Roman" w:eastAsia="Times New Roman" w:hAnsi="Times New Roman"/>
          <w:sz w:val="18"/>
          <w:szCs w:val="18"/>
          <w:color w:val="auto"/>
        </w:rPr>
        <w:t>means a Lender or Lenders whose Commitments aggregate 80% or more of the Total Commitments (or, if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Commitments have been reduced to zero, aggregated 80% or more of the Total Commitments immediately prior to the reduction of the Total Commitments to zero).</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w:t>
      </w:r>
      <w:r>
        <w:rPr>
          <w:rFonts w:ascii="Times New Roman" w:cs="Times New Roman" w:eastAsia="Times New Roman" w:hAnsi="Times New Roman"/>
          <w:sz w:val="18"/>
          <w:szCs w:val="18"/>
          <w:color w:val="auto"/>
        </w:rPr>
        <w:t>means the primary syndication of the Facility as contemplated in the Syndication and Fee Letter.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Agreement </w:t>
      </w:r>
      <w:r>
        <w:rPr>
          <w:rFonts w:ascii="Times New Roman" w:cs="Times New Roman" w:eastAsia="Times New Roman" w:hAnsi="Times New Roman"/>
          <w:sz w:val="18"/>
          <w:szCs w:val="18"/>
          <w:color w:val="auto"/>
        </w:rPr>
        <w:t>has the meaning given to it in Clause 23.4 (Master assignment or transfer).</w:t>
      </w:r>
    </w:p>
    <w:p>
      <w:pPr>
        <w:spacing w:after="0" w:line="110" w:lineRule="exact"/>
        <w:rPr>
          <w:sz w:val="20"/>
          <w:szCs w:val="20"/>
          <w:color w:val="auto"/>
        </w:rPr>
      </w:pPr>
    </w:p>
    <w:p>
      <w:pPr>
        <w:ind w:left="6" w:right="6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Syndication and Fee Letter </w:t>
      </w:r>
      <w:r>
        <w:rPr>
          <w:rFonts w:ascii="Times New Roman" w:cs="Times New Roman" w:eastAsia="Times New Roman" w:hAnsi="Times New Roman"/>
          <w:sz w:val="18"/>
          <w:szCs w:val="18"/>
          <w:color w:val="auto"/>
        </w:rPr>
        <w:t>means the syndication and fee letter dated on or about the date of this Agreement between the Borrower,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MLABUs and the Agent in respect of this Agreement.</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Syndication Date </w:t>
      </w:r>
      <w:r>
        <w:rPr>
          <w:rFonts w:ascii="Times New Roman" w:cs="Times New Roman" w:eastAsia="Times New Roman" w:hAnsi="Times New Roman"/>
          <w:sz w:val="18"/>
          <w:szCs w:val="18"/>
          <w:color w:val="auto"/>
        </w:rPr>
        <w:t>means the last day of the Syndication Period (as defined in the Syndication and Fee Letter).</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T2 </w:t>
      </w:r>
      <w:r>
        <w:rPr>
          <w:rFonts w:ascii="Times New Roman" w:cs="Times New Roman" w:eastAsia="Times New Roman" w:hAnsi="Times New Roman"/>
          <w:sz w:val="18"/>
          <w:szCs w:val="18"/>
          <w:color w:val="auto"/>
        </w:rPr>
        <w:t>means the real time gross settlement system operated by the Eurosystem, or any successor system.</w:t>
      </w:r>
    </w:p>
    <w:p>
      <w:pPr>
        <w:spacing w:after="0" w:line="110" w:lineRule="exact"/>
        <w:rPr>
          <w:sz w:val="20"/>
          <w:szCs w:val="20"/>
          <w:color w:val="auto"/>
        </w:rPr>
      </w:pPr>
    </w:p>
    <w:p>
      <w:pPr>
        <w:jc w:val="both"/>
        <w:ind w:left="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Target </w:t>
      </w:r>
      <w:r>
        <w:rPr>
          <w:rFonts w:ascii="Times New Roman" w:cs="Times New Roman" w:eastAsia="Times New Roman" w:hAnsi="Times New Roman"/>
          <w:sz w:val="18"/>
          <w:szCs w:val="18"/>
          <w:color w:val="auto"/>
        </w:rPr>
        <w:t>means CECONOMY Aktiengesellschaft,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incorporated under the laws of Germany, registered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Düsseldorf under registration number HRB 39473 and, as at the date of this Agreement, listed on the Frankfurt Stock Exchange (</w:t>
      </w:r>
      <w:r>
        <w:rPr>
          <w:rFonts w:ascii="Times New Roman" w:cs="Times New Roman" w:eastAsia="Times New Roman" w:hAnsi="Times New Roman"/>
          <w:sz w:val="18"/>
          <w:szCs w:val="18"/>
          <w:i w:val="1"/>
          <w:iCs w:val="1"/>
          <w:color w:val="auto"/>
        </w:rPr>
        <w:t>Börse Frankfurt</w:t>
      </w:r>
      <w:r>
        <w:rPr>
          <w:rFonts w:ascii="Times New Roman" w:cs="Times New Roman" w:eastAsia="Times New Roman" w:hAnsi="Times New Roman"/>
          <w:sz w:val="18"/>
          <w:szCs w:val="18"/>
          <w:color w:val="auto"/>
        </w:rPr>
        <w:t>) (725750 / DE0007257503).</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Day </w:t>
      </w:r>
      <w:r>
        <w:rPr>
          <w:rFonts w:ascii="Times New Roman" w:cs="Times New Roman" w:eastAsia="Times New Roman" w:hAnsi="Times New Roman"/>
          <w:sz w:val="18"/>
          <w:szCs w:val="18"/>
          <w:color w:val="auto"/>
        </w:rPr>
        <w:t>means any day on which T2 is open for the settlement of payments in Euro.</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Group </w:t>
      </w:r>
      <w:r>
        <w:rPr>
          <w:rFonts w:ascii="Times New Roman" w:cs="Times New Roman" w:eastAsia="Times New Roman" w:hAnsi="Times New Roman"/>
          <w:sz w:val="18"/>
          <w:szCs w:val="18"/>
          <w:color w:val="auto"/>
        </w:rPr>
        <w:t>means the Target and its Subsidiaries from time to time.</w:t>
      </w:r>
    </w:p>
    <w:p>
      <w:pPr>
        <w:spacing w:after="0" w:line="110" w:lineRule="exact"/>
        <w:rPr>
          <w:sz w:val="20"/>
          <w:szCs w:val="20"/>
          <w:color w:val="auto"/>
        </w:rPr>
      </w:pPr>
    </w:p>
    <w:p>
      <w:pPr>
        <w:ind w:left="6"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Target Group Facility </w:t>
      </w:r>
      <w:r>
        <w:rPr>
          <w:rFonts w:ascii="Times New Roman" w:cs="Times New Roman" w:eastAsia="Times New Roman" w:hAnsi="Times New Roman"/>
          <w:sz w:val="18"/>
          <w:szCs w:val="18"/>
          <w:color w:val="auto"/>
        </w:rPr>
        <w:t>means each credit facility entered into by any Target Group Member as at the Offer Closing Date constituting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of that Target Group Member.</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Target Group Member </w:t>
      </w:r>
      <w:r>
        <w:rPr>
          <w:rFonts w:ascii="Times New Roman" w:cs="Times New Roman" w:eastAsia="Times New Roman" w:hAnsi="Times New Roman"/>
          <w:sz w:val="18"/>
          <w:szCs w:val="18"/>
          <w:color w:val="auto"/>
        </w:rPr>
        <w:t>means any member of the Target Group.</w:t>
      </w:r>
    </w:p>
    <w:p>
      <w:pPr>
        <w:spacing w:after="0" w:line="110" w:lineRule="exact"/>
        <w:rPr>
          <w:sz w:val="20"/>
          <w:szCs w:val="20"/>
          <w:color w:val="auto"/>
        </w:rPr>
      </w:pPr>
    </w:p>
    <w:p>
      <w:pPr>
        <w:ind w:left="6" w:right="1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Tax </w:t>
      </w:r>
      <w:r>
        <w:rPr>
          <w:rFonts w:ascii="Times New Roman" w:cs="Times New Roman" w:eastAsia="Times New Roman" w:hAnsi="Times New Roman"/>
          <w:sz w:val="18"/>
          <w:szCs w:val="18"/>
          <w:color w:val="auto"/>
        </w:rPr>
        <w:t>means any tax, levy, impost, duty or other charge or withholding of a similar nature (including any penalty or interest payable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failure to pay or any delay in paying any of the same).</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Tax Deduction </w:t>
      </w:r>
      <w:r>
        <w:rPr>
          <w:rFonts w:ascii="Times New Roman" w:cs="Times New Roman" w:eastAsia="Times New Roman" w:hAnsi="Times New Roman"/>
          <w:sz w:val="18"/>
          <w:szCs w:val="18"/>
          <w:color w:val="auto"/>
        </w:rPr>
        <w:t>has the meaning given to such term in paragraph (a) of Clause 12.1 (Definitions).</w:t>
      </w:r>
    </w:p>
    <w:p>
      <w:pPr>
        <w:spacing w:after="0" w:line="110" w:lineRule="exact"/>
        <w:rPr>
          <w:sz w:val="20"/>
          <w:szCs w:val="20"/>
          <w:color w:val="auto"/>
        </w:rPr>
      </w:pPr>
    </w:p>
    <w:p>
      <w:pPr>
        <w:ind w:left="6"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Total Book Equity </w:t>
      </w:r>
      <w:r>
        <w:rPr>
          <w:rFonts w:ascii="Times New Roman" w:cs="Times New Roman" w:eastAsia="Times New Roman" w:hAnsi="Times New Roman"/>
          <w:sz w:val="18"/>
          <w:szCs w:val="18"/>
          <w:color w:val="auto"/>
        </w:rPr>
        <w:t>means, at any time, the amount specified on the consolidated balance sheet of the Guarantor as “Total shareholders’ equity”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consolidated financial statements of the Guarantor then most recently delivered pursuant to Clause 19.1 (Financial statements) (or, if no such consolidated statements of the Guarantor have been so delivered as at such time, the Original Financial Statements).</w:t>
      </w:r>
    </w:p>
    <w:p>
      <w:pPr>
        <w:spacing w:after="0" w:line="7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Total Commitments </w:t>
      </w:r>
      <w:r>
        <w:rPr>
          <w:rFonts w:ascii="Times New Roman" w:cs="Times New Roman" w:eastAsia="Times New Roman" w:hAnsi="Times New Roman"/>
          <w:sz w:val="18"/>
          <w:szCs w:val="18"/>
          <w:color w:val="auto"/>
        </w:rPr>
        <w:t>means the aggregate of the Commitments, being EUR768,000,000 at the date of this Agreement.</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Transaction Documents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626" w:hanging="626"/>
        <w:spacing w:after="0"/>
        <w:tabs>
          <w:tab w:leader="none" w:pos="626"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Finance Documents (as defined in the Facility Agreement (Facility A)); and</w:t>
      </w:r>
    </w:p>
    <w:p>
      <w:pPr>
        <w:spacing w:after="0" w:line="123"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Documents.</w:t>
      </w:r>
    </w:p>
    <w:p>
      <w:pPr>
        <w:spacing w:after="0" w:line="108" w:lineRule="exact"/>
        <w:rPr>
          <w:sz w:val="20"/>
          <w:szCs w:val="20"/>
          <w:color w:val="auto"/>
        </w:rPr>
      </w:pPr>
    </w:p>
    <w:p>
      <w:pPr>
        <w:ind w:left="6" w:right="2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Transfer Certificate </w:t>
      </w:r>
      <w:r>
        <w:rPr>
          <w:rFonts w:ascii="Times New Roman" w:cs="Times New Roman" w:eastAsia="Times New Roman" w:hAnsi="Times New Roman"/>
          <w:sz w:val="18"/>
          <w:szCs w:val="18"/>
          <w:color w:val="auto"/>
        </w:rPr>
        <w:t>means a certificate substantially in the form set out in Schedule 4 (Form of Transfer Certificate) or any other form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Agent and the Borrower(s).</w:t>
      </w:r>
    </w:p>
    <w:p>
      <w:pPr>
        <w:spacing w:after="0" w:line="58" w:lineRule="exact"/>
        <w:rPr>
          <w:sz w:val="20"/>
          <w:szCs w:val="20"/>
          <w:color w:val="auto"/>
        </w:rPr>
      </w:pPr>
    </w:p>
    <w:p>
      <w:pPr>
        <w:ind w:left="6" w:right="10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Transfer Date </w:t>
      </w:r>
      <w:r>
        <w:rPr>
          <w:rFonts w:ascii="Times New Roman" w:cs="Times New Roman" w:eastAsia="Times New Roman" w:hAnsi="Times New Roman"/>
          <w:sz w:val="18"/>
          <w:szCs w:val="18"/>
          <w:color w:val="auto"/>
        </w:rPr>
        <w:t>means, in relation to an assignment by a Lender of any or all of its rights under this Agreement or a transfer by a Lender of 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its rights and obligations under this Agreement, the later of:</w:t>
      </w:r>
    </w:p>
    <w:p>
      <w:pPr>
        <w:spacing w:after="0" w:line="73" w:lineRule="exact"/>
        <w:rPr>
          <w:sz w:val="20"/>
          <w:szCs w:val="20"/>
          <w:color w:val="auto"/>
        </w:rPr>
      </w:pPr>
    </w:p>
    <w:p>
      <w:pPr>
        <w:ind w:left="626" w:right="440" w:hanging="626"/>
        <w:spacing w:after="0" w:line="270" w:lineRule="auto"/>
        <w:tabs>
          <w:tab w:leader="none" w:pos="62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Transfer Date specified in the Assignment Agreement relating to such assignment or (as the case may be) the Transfer Certificate relating to such transfer; and</w:t>
      </w:r>
    </w:p>
    <w:p>
      <w:pPr>
        <w:spacing w:after="0" w:line="76" w:lineRule="exact"/>
        <w:rPr>
          <w:rFonts w:ascii="Times New Roman" w:cs="Times New Roman" w:eastAsia="Times New Roman" w:hAnsi="Times New Roman"/>
          <w:sz w:val="18"/>
          <w:szCs w:val="18"/>
          <w:color w:val="auto"/>
        </w:rPr>
      </w:pPr>
    </w:p>
    <w:p>
      <w:pPr>
        <w:ind w:left="626" w:right="580" w:hanging="626"/>
        <w:spacing w:after="0" w:line="270" w:lineRule="auto"/>
        <w:tabs>
          <w:tab w:leader="none" w:pos="626"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Agent executes the Assignment Agreement relating to such assignment or (as the case may be) the Transfer Certificate relating to such transfer.</w:t>
      </w:r>
    </w:p>
    <w:p>
      <w:pPr>
        <w:spacing w:after="0" w:line="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Unpaid Sum </w:t>
      </w:r>
      <w:r>
        <w:rPr>
          <w:rFonts w:ascii="Times New Roman" w:cs="Times New Roman" w:eastAsia="Times New Roman" w:hAnsi="Times New Roman"/>
          <w:sz w:val="18"/>
          <w:szCs w:val="18"/>
          <w:color w:val="auto"/>
        </w:rPr>
        <w:t>means any sum due and payable but unpaid by an Obligor under any or all of the Finance Documents.</w:t>
      </w:r>
    </w:p>
    <w:p>
      <w:pPr>
        <w:spacing w:after="0" w:line="110" w:lineRule="exact"/>
        <w:rPr>
          <w:sz w:val="20"/>
          <w:szCs w:val="20"/>
          <w:color w:val="auto"/>
        </w:rPr>
      </w:pPr>
    </w:p>
    <w:p>
      <w:pPr>
        <w:ind w:left="6" w:right="500"/>
        <w:spacing w:after="0" w:line="273" w:lineRule="auto"/>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United States </w:t>
      </w:r>
      <w:r>
        <w:rPr>
          <w:rFonts w:ascii="Times New Roman" w:cs="Times New Roman" w:eastAsia="Times New Roman" w:hAnsi="Times New Roman"/>
          <w:sz w:val="18"/>
          <w:szCs w:val="18"/>
          <w:color w:val="auto"/>
        </w:rPr>
        <w:t>means the United States of America, its territories, possessions and other areas subject to the jurisdiction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of America.</w:t>
      </w:r>
    </w:p>
    <w:p>
      <w:pPr>
        <w:spacing w:after="0" w:line="58" w:lineRule="exact"/>
        <w:rPr>
          <w:sz w:val="20"/>
          <w:szCs w:val="20"/>
          <w:color w:val="auto"/>
        </w:rPr>
      </w:pPr>
    </w:p>
    <w:p>
      <w:pPr>
        <w:ind w:left="6" w:right="1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2001, Public Law 107-56.</w:t>
      </w:r>
    </w:p>
    <w:p>
      <w:pPr>
        <w:spacing w:after="0" w:line="5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 xml:space="preserve">US Bankruptcy Code </w:t>
      </w:r>
      <w:r>
        <w:rPr>
          <w:rFonts w:ascii="Times New Roman" w:cs="Times New Roman" w:eastAsia="Times New Roman" w:hAnsi="Times New Roman"/>
          <w:sz w:val="18"/>
          <w:szCs w:val="18"/>
          <w:color w:val="auto"/>
        </w:rPr>
        <w:t>means Title 11 of the United States Code, 11 USC. 101 et seq., entitled “Bankruptcy”.</w:t>
      </w:r>
    </w:p>
    <w:p>
      <w:pPr>
        <w:spacing w:after="0" w:line="152"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346"/>
          </w:cols>
          <w:pgMar w:left="974" w:top="264" w:right="579" w:bottom="1440" w:gutter="0" w:footer="0" w:header="0"/>
        </w:sectPr>
      </w:pPr>
    </w:p>
    <w:bookmarkStart w:id="600" w:name="page601"/>
    <w:bookmarkEnd w:id="600"/>
    <w:p>
      <w:pPr>
        <w:ind w:left="43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6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US Tax Obligor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resident for tax purposes in the US; or</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some or all of whose payments under the Finance Documents are from sources within the US for United States federal income tax purposes.</w:t>
      </w:r>
    </w:p>
    <w:p>
      <w:pPr>
        <w:spacing w:after="0" w:line="6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w:t>
      </w:r>
      <w:r>
        <w:rPr>
          <w:rFonts w:ascii="Times New Roman" w:cs="Times New Roman" w:eastAsia="Times New Roman" w:hAnsi="Times New Roman"/>
          <w:sz w:val="18"/>
          <w:szCs w:val="18"/>
          <w:color w:val="auto"/>
        </w:rPr>
        <w:t>means a utilisation of the Facility.</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Date </w:t>
      </w:r>
      <w:r>
        <w:rPr>
          <w:rFonts w:ascii="Times New Roman" w:cs="Times New Roman" w:eastAsia="Times New Roman" w:hAnsi="Times New Roman"/>
          <w:sz w:val="18"/>
          <w:szCs w:val="18"/>
          <w:color w:val="auto"/>
        </w:rPr>
        <w:t>means the date of a Utilisation, being the date on which the Loan (the subject of such Utilisation) is made or to be made.</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Utilisation Request </w:t>
      </w:r>
      <w:r>
        <w:rPr>
          <w:rFonts w:ascii="Times New Roman" w:cs="Times New Roman" w:eastAsia="Times New Roman" w:hAnsi="Times New Roman"/>
          <w:sz w:val="18"/>
          <w:szCs w:val="18"/>
          <w:color w:val="auto"/>
        </w:rPr>
        <w:t>means a notice substantially in the form set out in Part 1 (Form of Utilisation Request) of Schedule 3 (Requests).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VAT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United Kingdom Value Added Tax Act 1994;</w:t>
      </w:r>
    </w:p>
    <w:p>
      <w:pPr>
        <w:spacing w:after="0" w:line="123" w:lineRule="exact"/>
        <w:rPr>
          <w:rFonts w:ascii="Times New Roman" w:cs="Times New Roman" w:eastAsia="Times New Roman" w:hAnsi="Times New Roman"/>
          <w:sz w:val="18"/>
          <w:szCs w:val="18"/>
          <w:color w:val="auto"/>
        </w:rPr>
      </w:pPr>
    </w:p>
    <w:p>
      <w:pPr>
        <w:ind w:left="1050" w:right="680" w:hanging="626"/>
        <w:spacing w:after="0" w:line="270" w:lineRule="auto"/>
        <w:tabs>
          <w:tab w:leader="none" w:pos="1050"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in compliance with the Council Directive of 28 November 2006 on the common system of value added tax (EC Directive 2006/112); and</w:t>
      </w:r>
    </w:p>
    <w:p>
      <w:pPr>
        <w:spacing w:after="0" w:line="76"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whether imposed in the United Kingdom or a member state of the European Union in substitution for, or levied in addition to, such tax referred to in paragraphs (a) of (b) above, or imposed elsewhere.</w:t>
      </w:r>
    </w:p>
    <w:p>
      <w:pPr>
        <w:spacing w:after="0" w:line="61" w:lineRule="exact"/>
        <w:rPr>
          <w:sz w:val="20"/>
          <w:szCs w:val="20"/>
          <w:color w:val="auto"/>
        </w:rPr>
      </w:pPr>
    </w:p>
    <w:p>
      <w:pPr>
        <w:ind w:left="43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VIE Contract </w:t>
      </w:r>
      <w:r>
        <w:rPr>
          <w:rFonts w:ascii="Times New Roman" w:cs="Times New Roman" w:eastAsia="Times New Roman" w:hAnsi="Times New Roman"/>
          <w:sz w:val="18"/>
          <w:szCs w:val="18"/>
          <w:color w:val="auto"/>
        </w:rPr>
        <w:t>means any agreement, instrument or arrangement that constitutes, or forms part of, any contractual arrangements enabling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Member to exercise Control over a person (in respect of whom the Guarantor does not beneficially own, directly or indirectly, more than half of its Equity Interests) (a </w:t>
      </w:r>
      <w:r>
        <w:rPr>
          <w:rFonts w:ascii="Times New Roman" w:cs="Times New Roman" w:eastAsia="Times New Roman" w:hAnsi="Times New Roman"/>
          <w:sz w:val="18"/>
          <w:szCs w:val="18"/>
          <w:b w:val="1"/>
          <w:bCs w:val="1"/>
          <w:color w:val="auto"/>
        </w:rPr>
        <w:t>VIE Entity</w:t>
      </w:r>
      <w:r>
        <w:rPr>
          <w:rFonts w:ascii="Times New Roman" w:cs="Times New Roman" w:eastAsia="Times New Roman" w:hAnsi="Times New Roman"/>
          <w:sz w:val="18"/>
          <w:szCs w:val="18"/>
          <w:color w:val="auto"/>
        </w:rPr>
        <w:t xml:space="preserve">) or consolidate the financial condition or results of operation of any VIE Entity for the purposes of the consolidated financial statements of the Group or any Group Member, including any loan agreement between any Group Member and any VIE Entity or any holder of any Equity Interest in any VIE Entity, any pledge agreement relating to any Equity Interest in any VIE Entity and any proxy relating to any Equity Interest in any </w:t>
      </w:r>
      <w:r>
        <w:rPr>
          <w:rFonts w:ascii="Times New Roman" w:cs="Times New Roman" w:eastAsia="Times New Roman" w:hAnsi="Times New Roman"/>
          <w:sz w:val="18"/>
          <w:szCs w:val="18"/>
          <w:b w:val="1"/>
          <w:bCs w:val="1"/>
          <w:color w:val="auto"/>
        </w:rPr>
        <w:t>VIE Entity</w:t>
      </w:r>
      <w:r>
        <w:rPr>
          <w:rFonts w:ascii="Times New Roman" w:cs="Times New Roman" w:eastAsia="Times New Roman" w:hAnsi="Times New Roman"/>
          <w:sz w:val="18"/>
          <w:szCs w:val="18"/>
          <w:color w:val="auto"/>
        </w:rPr>
        <w:t>.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in relation to any person, the possession, directly or indirectly, of the power to direct or cause the direction of the management, policies or affairs of such person, whether through the ownership of voting securities, by contract or otherwise.</w:t>
      </w:r>
    </w:p>
    <w:p>
      <w:pPr>
        <w:spacing w:after="0" w:line="8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VIE Entity </w:t>
      </w:r>
      <w:r>
        <w:rPr>
          <w:rFonts w:ascii="Times New Roman" w:cs="Times New Roman" w:eastAsia="Times New Roman" w:hAnsi="Times New Roman"/>
          <w:sz w:val="18"/>
          <w:szCs w:val="18"/>
          <w:color w:val="auto"/>
        </w:rPr>
        <w:t>has the meaning in the definition of “VIE Contract”.</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Construction</w:t>
      </w:r>
    </w:p>
    <w:p>
      <w:pPr>
        <w:spacing w:after="0" w:line="126" w:lineRule="exact"/>
        <w:rPr>
          <w:sz w:val="20"/>
          <w:szCs w:val="20"/>
          <w:color w:val="auto"/>
        </w:rPr>
      </w:pPr>
    </w:p>
    <w:p>
      <w:pPr>
        <w:ind w:left="430" w:hanging="430"/>
        <w:spacing w:after="0"/>
        <w:tabs>
          <w:tab w:leader="none" w:pos="43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any reference in this Agreement to:</w:t>
      </w:r>
    </w:p>
    <w:p>
      <w:pPr>
        <w:spacing w:after="0" w:line="121" w:lineRule="exact"/>
        <w:rPr>
          <w:rFonts w:ascii="Times New Roman" w:cs="Times New Roman" w:eastAsia="Times New Roman" w:hAnsi="Times New Roman"/>
          <w:sz w:val="18"/>
          <w:szCs w:val="18"/>
          <w:color w:val="auto"/>
        </w:rPr>
      </w:pPr>
    </w:p>
    <w:p>
      <w:pPr>
        <w:ind w:left="1050" w:right="200" w:hanging="626"/>
        <w:spacing w:after="0" w:line="273"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MLABU</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Arranger</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Administrative Party</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Finance Party</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any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shall be construed so as to include its successors in title, permitted assigns and permitted transferees;</w:t>
      </w:r>
    </w:p>
    <w:p>
      <w:pPr>
        <w:spacing w:after="0" w:line="71" w:lineRule="exact"/>
        <w:rPr>
          <w:rFonts w:ascii="Times New Roman" w:cs="Times New Roman" w:eastAsia="Times New Roman" w:hAnsi="Times New Roman"/>
          <w:sz w:val="18"/>
          <w:szCs w:val="18"/>
          <w:color w:val="auto"/>
        </w:rPr>
      </w:pPr>
    </w:p>
    <w:p>
      <w:pPr>
        <w:ind w:left="1050" w:right="120" w:hanging="626"/>
        <w:spacing w:after="0" w:line="273"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Finance Document</w:t>
      </w:r>
      <w:r>
        <w:rPr>
          <w:rFonts w:ascii="Times New Roman" w:cs="Times New Roman" w:eastAsia="Times New Roman" w:hAnsi="Times New Roman"/>
          <w:sz w:val="18"/>
          <w:szCs w:val="18"/>
          <w:color w:val="auto"/>
        </w:rPr>
        <w:t xml:space="preserve"> or any other agreement or instrument is a reference to that Finance Document or other agreement or instrument as amended, novated, supplemented, extended and/or restated from time to time;</w:t>
      </w:r>
    </w:p>
    <w:p>
      <w:pPr>
        <w:spacing w:after="0" w:line="71"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xml:space="preserve"> is a document which is in the form agreed in writing by or on behalf of the Borrower(s) and the Agent;</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includes present and future properties, revenues and rights of every description;</w:t>
      </w:r>
    </w:p>
    <w:p>
      <w:pPr>
        <w:spacing w:after="0" w:line="121" w:lineRule="exact"/>
        <w:rPr>
          <w:rFonts w:ascii="Times New Roman" w:cs="Times New Roman" w:eastAsia="Times New Roman" w:hAnsi="Times New Roman"/>
          <w:sz w:val="18"/>
          <w:szCs w:val="18"/>
          <w:color w:val="auto"/>
        </w:rPr>
      </w:pPr>
    </w:p>
    <w:p>
      <w:pPr>
        <w:ind w:left="1050" w:right="160" w:hanging="626"/>
        <w:spacing w:after="0" w:line="259"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disposal </w:t>
      </w:r>
      <w:r>
        <w:rPr>
          <w:rFonts w:ascii="Times New Roman" w:cs="Times New Roman" w:eastAsia="Times New Roman" w:hAnsi="Times New Roman"/>
          <w:sz w:val="18"/>
          <w:szCs w:val="18"/>
          <w:color w:val="auto"/>
        </w:rPr>
        <w:t>includes any sale, lease, transfer, conveyance, assignment and other disposal of any asset or any interest therein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transaction or arrangement pursuant to which the economic benefit of or beneficial interest in such asset is lost or diluted) and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shall be construed accordingly;</w:t>
      </w:r>
    </w:p>
    <w:p>
      <w:pPr>
        <w:spacing w:after="0" w:line="83" w:lineRule="exact"/>
        <w:rPr>
          <w:rFonts w:ascii="Times New Roman" w:cs="Times New Roman" w:eastAsia="Times New Roman" w:hAnsi="Times New Roman"/>
          <w:sz w:val="18"/>
          <w:szCs w:val="18"/>
          <w:color w:val="auto"/>
        </w:rPr>
      </w:pPr>
    </w:p>
    <w:p>
      <w:pPr>
        <w:ind w:left="1050" w:right="80" w:hanging="626"/>
        <w:spacing w:after="0" w:line="254"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w:t>
      </w:r>
      <w:r>
        <w:rPr>
          <w:rFonts w:ascii="Times New Roman" w:cs="Times New Roman" w:eastAsia="Times New Roman" w:hAnsi="Times New Roman"/>
          <w:sz w:val="18"/>
          <w:szCs w:val="18"/>
          <w:color w:val="auto"/>
        </w:rPr>
        <w:t>includes any guarantee, letter of credit, bond, indemnity or similar assurance against loss, or any obligation, direct or indirect,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be construed accordingly);</w:t>
      </w:r>
    </w:p>
    <w:p>
      <w:pPr>
        <w:spacing w:after="0" w:line="88" w:lineRule="exact"/>
        <w:rPr>
          <w:rFonts w:ascii="Times New Roman" w:cs="Times New Roman" w:eastAsia="Times New Roman" w:hAnsi="Times New Roman"/>
          <w:sz w:val="18"/>
          <w:szCs w:val="18"/>
          <w:color w:val="auto"/>
        </w:rPr>
      </w:pPr>
    </w:p>
    <w:p>
      <w:pPr>
        <w:ind w:left="1050" w:right="680" w:hanging="626"/>
        <w:spacing w:after="0" w:line="273"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shall be construed as “including without limitation” (other than when used in references to time periods) (and cognate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expressions shall be construed similarly);</w:t>
      </w:r>
    </w:p>
    <w:p>
      <w:pPr>
        <w:spacing w:after="0" w:line="71" w:lineRule="exact"/>
        <w:rPr>
          <w:rFonts w:ascii="Times New Roman" w:cs="Times New Roman" w:eastAsia="Times New Roman" w:hAnsi="Times New Roman"/>
          <w:sz w:val="18"/>
          <w:szCs w:val="18"/>
          <w:color w:val="auto"/>
        </w:rPr>
      </w:pPr>
    </w:p>
    <w:p>
      <w:pPr>
        <w:ind w:left="1050" w:right="500" w:hanging="626"/>
        <w:spacing w:after="0" w:line="273" w:lineRule="auto"/>
        <w:tabs>
          <w:tab w:leader="none" w:pos="1050"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indebtedness </w:t>
      </w:r>
      <w:r>
        <w:rPr>
          <w:rFonts w:ascii="Times New Roman" w:cs="Times New Roman" w:eastAsia="Times New Roman" w:hAnsi="Times New Roman"/>
          <w:sz w:val="18"/>
          <w:szCs w:val="18"/>
          <w:color w:val="auto"/>
        </w:rPr>
        <w:t>includes any obligation (whether incurred as principal or as surety) for the payment or repayment of money,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or future, actual or contingent;</w:t>
      </w:r>
    </w:p>
    <w:p>
      <w:pPr>
        <w:spacing w:after="0" w:line="1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90"/>
          </w:cols>
          <w:pgMar w:left="550" w:top="264" w:right="559" w:bottom="1440" w:gutter="0" w:footer="0" w:header="0"/>
        </w:sectPr>
      </w:pPr>
    </w:p>
    <w:bookmarkStart w:id="601" w:name="page602"/>
    <w:bookmarkEnd w:id="601"/>
    <w:p>
      <w:pPr>
        <w:ind w:left="1050" w:right="80" w:hanging="626"/>
        <w:spacing w:after="0" w:line="254" w:lineRule="auto"/>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2">
                      <a:extLst>
                        <a:ext uri="{28A0092B-C50C-407E-A947-70E740481C1C}"/>
                      </a:extLst>
                    </a:blip>
                    <a:srcRect/>
                    <a:stretch>
                      <a:fillRect/>
                    </a:stretch>
                  </pic:blipFill>
                  <pic:spPr bwMode="auto">
                    <a:xfrm>
                      <a:off x="0" y="0"/>
                      <a:ext cx="7177405" cy="38100"/>
                    </a:xfrm>
                    <a:prstGeom prst="rect">
                      <a:avLst/>
                    </a:prstGeom>
                    <a:noFill/>
                  </pic:spPr>
                </pic:pic>
              </a:graphicData>
            </a:graphic>
          </wp:anchor>
        </w:drawing>
        <w:t xml:space="preserve">a Finance Party’s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xml:space="preserve"> in any Loan or Unpaid Sum includes an amount (in the currency of such Loan or Unpaid Sum) representing the fraction or portion (attributable to such Finance Party by virtue of the provisions of this Agreement) of the total amount of such Loan or Unpaid Sum and such Finance Party’s rights under this Agreement and/or any other Finance Document in respect thereof;</w:t>
      </w:r>
    </w:p>
    <w:p>
      <w:pPr>
        <w:spacing w:after="0" w:line="88" w:lineRule="exact"/>
        <w:rPr>
          <w:rFonts w:ascii="Times New Roman" w:cs="Times New Roman" w:eastAsia="Times New Roman" w:hAnsi="Times New Roman"/>
          <w:sz w:val="18"/>
          <w:szCs w:val="18"/>
          <w:color w:val="auto"/>
        </w:rPr>
      </w:pPr>
    </w:p>
    <w:p>
      <w:pPr>
        <w:ind w:left="1050" w:right="60" w:hanging="626"/>
        <w:spacing w:after="0" w:line="259" w:lineRule="auto"/>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includes any individual, firm, limited liability company or other company, corporation, vessel, government, government authority, state or agency of a state or any association, trust, joint venture, consortium, partnership or other entity (whether or not having separate legal personality);</w:t>
      </w:r>
    </w:p>
    <w:p>
      <w:pPr>
        <w:spacing w:after="0" w:line="83" w:lineRule="exact"/>
        <w:rPr>
          <w:rFonts w:ascii="Times New Roman" w:cs="Times New Roman" w:eastAsia="Times New Roman" w:hAnsi="Times New Roman"/>
          <w:sz w:val="18"/>
          <w:szCs w:val="18"/>
          <w:color w:val="auto"/>
        </w:rPr>
      </w:pPr>
    </w:p>
    <w:p>
      <w:pPr>
        <w:ind w:left="1050" w:right="140" w:hanging="626"/>
        <w:spacing w:after="0" w:line="259" w:lineRule="auto"/>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regulation</w:t>
      </w:r>
      <w:r>
        <w:rPr>
          <w:rFonts w:ascii="Times New Roman" w:cs="Times New Roman" w:eastAsia="Times New Roman" w:hAnsi="Times New Roman"/>
          <w:sz w:val="18"/>
          <w:szCs w:val="18"/>
          <w:color w:val="auto"/>
        </w:rPr>
        <w:t xml:space="preserve"> includes any regulation, rule, official directive, request or guideline (whether or not having the force of law but, if not having the force of law, which is generally complied with by those to whom it is addressed) of any governmental, intergovernmental or supranational body, agency, department or regulatory, self-regulatory or other authority or organisation;</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gender shall be construed to include a reference to each other gender;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law is a reference to that provision as amended or re-enacted;</w:t>
      </w:r>
    </w:p>
    <w:p>
      <w:pPr>
        <w:spacing w:after="0" w:line="121" w:lineRule="exact"/>
        <w:rPr>
          <w:rFonts w:ascii="Times New Roman" w:cs="Times New Roman" w:eastAsia="Times New Roman" w:hAnsi="Times New Roman"/>
          <w:sz w:val="18"/>
          <w:szCs w:val="18"/>
          <w:color w:val="auto"/>
        </w:rPr>
      </w:pPr>
    </w:p>
    <w:p>
      <w:pPr>
        <w:ind w:left="1050" w:right="80" w:hanging="626"/>
        <w:spacing w:after="0" w:line="259" w:lineRule="auto"/>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 </w:t>
      </w:r>
      <w:r>
        <w:rPr>
          <w:rFonts w:ascii="Times New Roman" w:cs="Times New Roman" w:eastAsia="Times New Roman" w:hAnsi="Times New Roman"/>
          <w:sz w:val="18"/>
          <w:szCs w:val="18"/>
          <w:color w:val="auto"/>
        </w:rPr>
        <w:t>includes any statutory legal representative(s) (</w:t>
      </w:r>
      <w:r>
        <w:rPr>
          <w:rFonts w:ascii="Times New Roman" w:cs="Times New Roman" w:eastAsia="Times New Roman" w:hAnsi="Times New Roman"/>
          <w:sz w:val="18"/>
          <w:szCs w:val="18"/>
          <w:i w:val="1"/>
          <w:iCs w:val="1"/>
          <w:color w:val="auto"/>
        </w:rPr>
        <w:t>organschaftlicher Vertreter</w:t>
      </w:r>
      <w:r>
        <w:rPr>
          <w:rFonts w:ascii="Times New Roman" w:cs="Times New Roman" w:eastAsia="Times New Roman" w:hAnsi="Times New Roman"/>
          <w:sz w:val="18"/>
          <w:szCs w:val="18"/>
          <w:color w:val="auto"/>
        </w:rPr>
        <w:t>) of a person pursuant to the laws of its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including but not limited to, in relation to a person incorporated or established in Germany, a managing director (</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or member of the board of directors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time of day is a reference to Hong Kong time.</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Clause and Schedule headings are for ease of reference only.</w:t>
      </w:r>
    </w:p>
    <w:p>
      <w:pPr>
        <w:spacing w:after="0" w:line="123"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7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(including an Event of Default) is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xml:space="preserve"> if it has not been remedied or waived.</w:t>
      </w:r>
    </w:p>
    <w:p>
      <w:pPr>
        <w:spacing w:after="0" w:line="123" w:lineRule="exact"/>
        <w:rPr>
          <w:rFonts w:ascii="Times New Roman" w:cs="Times New Roman" w:eastAsia="Times New Roman" w:hAnsi="Times New Roman"/>
          <w:sz w:val="18"/>
          <w:szCs w:val="18"/>
          <w:color w:val="auto"/>
        </w:rPr>
      </w:pPr>
    </w:p>
    <w:p>
      <w:pPr>
        <w:ind w:left="430" w:right="60" w:hanging="430"/>
        <w:spacing w:after="0" w:line="254" w:lineRule="auto"/>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equivalent</w:t>
      </w:r>
      <w:r>
        <w:rPr>
          <w:rFonts w:ascii="Times New Roman" w:cs="Times New Roman" w:eastAsia="Times New Roman" w:hAnsi="Times New Roman"/>
          <w:sz w:val="18"/>
          <w:szCs w:val="18"/>
          <w:color w:val="auto"/>
        </w:rPr>
        <w:t xml:space="preserve"> of an amount in a given currency (the </w:t>
      </w:r>
      <w:r>
        <w:rPr>
          <w:rFonts w:ascii="Times New Roman" w:cs="Times New Roman" w:eastAsia="Times New Roman" w:hAnsi="Times New Roman"/>
          <w:sz w:val="18"/>
          <w:szCs w:val="18"/>
          <w:b w:val="1"/>
          <w:bCs w:val="1"/>
          <w:color w:val="auto"/>
        </w:rPr>
        <w:t>specified currency</w:t>
      </w:r>
      <w:r>
        <w:rPr>
          <w:rFonts w:ascii="Times New Roman" w:cs="Times New Roman" w:eastAsia="Times New Roman" w:hAnsi="Times New Roman"/>
          <w:sz w:val="18"/>
          <w:szCs w:val="18"/>
          <w:color w:val="auto"/>
        </w:rPr>
        <w:t>) is a reference to the amount of any other currency which, when converted into the specified currency utilising the Agent’s spot rate of exchange (or, if no such spot rate of exchange is quoted by the Agent, such other prevailing market rate of exchange selected by the Agent) for the purchase of the specified currency with that other currency at or about 11am on the applicable date of determination, is equal to the applicable amount in the specified currency.</w:t>
      </w:r>
    </w:p>
    <w:p>
      <w:pPr>
        <w:spacing w:after="0" w:line="88" w:lineRule="exact"/>
        <w:rPr>
          <w:rFonts w:ascii="Times New Roman" w:cs="Times New Roman" w:eastAsia="Times New Roman" w:hAnsi="Times New Roman"/>
          <w:sz w:val="18"/>
          <w:szCs w:val="18"/>
          <w:color w:val="auto"/>
        </w:rPr>
      </w:pPr>
    </w:p>
    <w:p>
      <w:pPr>
        <w:ind w:left="430" w:right="320" w:hanging="430"/>
        <w:spacing w:after="0" w:line="273" w:lineRule="auto"/>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 contrary indication appears,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xml:space="preserve"> means, in respect of any Borrower, to the best of the knowledge and belief of that Borrower, having made due and careful enquiry.</w:t>
      </w:r>
    </w:p>
    <w:p>
      <w:pPr>
        <w:spacing w:after="0" w:line="73"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relation to a company incorporated or established under the laws of Germany or a person which has its centre of main interest (as that term is used in Article 3(1) of the Regulation (EU) 2015/848 of 20 May 2015 on insolvency proceedings (recast) in Germany, a reference in this Agreement to:</w:t>
      </w:r>
    </w:p>
    <w:p>
      <w:pPr>
        <w:spacing w:after="0" w:line="85"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person being “unable to pay its debts as they fall due” (or similar expressions) shall be construed as a reference to that person being unable to pay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within the meaning of section 17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xml:space="preserve">) and/or that person being in a state of </w:t>
      </w:r>
      <w:r>
        <w:rPr>
          <w:rFonts w:ascii="Times New Roman" w:cs="Times New Roman" w:eastAsia="Times New Roman" w:hAnsi="Times New Roman"/>
          <w:sz w:val="18"/>
          <w:szCs w:val="18"/>
          <w:i w:val="1"/>
          <w:iCs w:val="1"/>
          <w:color w:val="auto"/>
        </w:rPr>
        <w:t>Überschuldung</w:t>
      </w:r>
      <w:r>
        <w:rPr>
          <w:rFonts w:ascii="Times New Roman" w:cs="Times New Roman" w:eastAsia="Times New Roman" w:hAnsi="Times New Roman"/>
          <w:sz w:val="18"/>
          <w:szCs w:val="18"/>
          <w:color w:val="auto"/>
        </w:rPr>
        <w:t xml:space="preserve"> within the meaning of section 19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50" w:right="120" w:hanging="626"/>
        <w:spacing w:after="0" w:line="258" w:lineRule="auto"/>
        <w:tabs>
          <w:tab w:leader="none" w:pos="1050"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“liquidator”, “administrator” or “provisional administrator” (or similar expressions) shall be construed as a reference to an insolvency administrator (</w:t>
      </w:r>
      <w:r>
        <w:rPr>
          <w:rFonts w:ascii="Times New Roman" w:cs="Times New Roman" w:eastAsia="Times New Roman" w:hAnsi="Times New Roman"/>
          <w:sz w:val="18"/>
          <w:szCs w:val="18"/>
          <w:i w:val="1"/>
          <w:iCs w:val="1"/>
          <w:color w:val="auto"/>
        </w:rPr>
        <w:t>Insolvenzverwalter</w:t>
      </w:r>
      <w:r>
        <w:rPr>
          <w:rFonts w:ascii="Times New Roman" w:cs="Times New Roman" w:eastAsia="Times New Roman" w:hAnsi="Times New Roman"/>
          <w:sz w:val="18"/>
          <w:szCs w:val="18"/>
          <w:color w:val="auto"/>
        </w:rPr>
        <w:t>), preliminary insolvency administrator (</w:t>
      </w:r>
      <w:r>
        <w:rPr>
          <w:rFonts w:ascii="Times New Roman" w:cs="Times New Roman" w:eastAsia="Times New Roman" w:hAnsi="Times New Roman"/>
          <w:sz w:val="18"/>
          <w:szCs w:val="18"/>
          <w:i w:val="1"/>
          <w:iCs w:val="1"/>
          <w:color w:val="auto"/>
        </w:rPr>
        <w:t>vorläufiger Insolvenzverwalter</w:t>
      </w:r>
      <w:r>
        <w:rPr>
          <w:rFonts w:ascii="Times New Roman" w:cs="Times New Roman" w:eastAsia="Times New Roman" w:hAnsi="Times New Roman"/>
          <w:sz w:val="18"/>
          <w:szCs w:val="18"/>
          <w:color w:val="auto"/>
        </w:rPr>
        <w:t>), procurator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or preliminary procurator (</w:t>
      </w:r>
      <w:r>
        <w:rPr>
          <w:rFonts w:ascii="Times New Roman" w:cs="Times New Roman" w:eastAsia="Times New Roman" w:hAnsi="Times New Roman"/>
          <w:sz w:val="18"/>
          <w:szCs w:val="18"/>
          <w:i w:val="1"/>
          <w:iCs w:val="1"/>
          <w:color w:val="auto"/>
        </w:rPr>
        <w:t>vorläufiger Sachwalter</w:t>
      </w:r>
      <w:r>
        <w:rPr>
          <w:rFonts w:ascii="Times New Roman" w:cs="Times New Roman" w:eastAsia="Times New Roman" w:hAnsi="Times New Roman"/>
          <w:sz w:val="18"/>
          <w:szCs w:val="18"/>
          <w:color w:val="auto"/>
        </w:rPr>
        <w:t>); or</w:t>
      </w:r>
    </w:p>
    <w:p>
      <w:pPr>
        <w:spacing w:after="0" w:line="85" w:lineRule="exact"/>
        <w:rPr>
          <w:rFonts w:ascii="Times New Roman" w:cs="Times New Roman" w:eastAsia="Times New Roman" w:hAnsi="Times New Roman"/>
          <w:sz w:val="18"/>
          <w:szCs w:val="18"/>
          <w:color w:val="auto"/>
        </w:rPr>
      </w:pPr>
    </w:p>
    <w:p>
      <w:pPr>
        <w:ind w:left="1050" w:right="80" w:hanging="626"/>
        <w:spacing w:after="0" w:line="250" w:lineRule="auto"/>
        <w:tabs>
          <w:tab w:leader="none" w:pos="1050"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action, legal proceeding or other procedure or step taken in relation to the “suspension of payments, a moratorium of any indebtedness, winding-up, dissolution, bankruptcy, administration, judicial management or reorganisation” (or similar expressions) includes an application or filing for, or an institution of, insolvency proceedings (</w:t>
      </w:r>
      <w:r>
        <w:rPr>
          <w:rFonts w:ascii="Times New Roman" w:cs="Times New Roman" w:eastAsia="Times New Roman" w:hAnsi="Times New Roman"/>
          <w:sz w:val="18"/>
          <w:szCs w:val="18"/>
          <w:i w:val="1"/>
          <w:iCs w:val="1"/>
          <w:color w:val="auto"/>
        </w:rPr>
        <w:t>Antrag auf Eröffnung eines Insolvenzverfahrens</w:t>
      </w:r>
      <w:r>
        <w:rPr>
          <w:rFonts w:ascii="Times New Roman" w:cs="Times New Roman" w:eastAsia="Times New Roman" w:hAnsi="Times New Roman"/>
          <w:sz w:val="18"/>
          <w:szCs w:val="18"/>
          <w:color w:val="auto"/>
        </w:rPr>
        <w:t>) (including by way of (</w:t>
      </w:r>
      <w:r>
        <w:rPr>
          <w:rFonts w:ascii="Times New Roman" w:cs="Times New Roman" w:eastAsia="Times New Roman" w:hAnsi="Times New Roman"/>
          <w:sz w:val="18"/>
          <w:szCs w:val="18"/>
          <w:i w:val="1"/>
          <w:iCs w:val="1"/>
          <w:color w:val="auto"/>
        </w:rPr>
        <w:t>vorläufige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vorläufiges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an ordering of provisional measures pursuant to section 21 of the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Anordnung vorläufiger Maßnahmen</w:t>
      </w:r>
      <w:r>
        <w:rPr>
          <w:rFonts w:ascii="Times New Roman" w:cs="Times New Roman" w:eastAsia="Times New Roman" w:hAnsi="Times New Roman"/>
          <w:sz w:val="18"/>
          <w:szCs w:val="18"/>
          <w:color w:val="auto"/>
        </w:rPr>
        <w:t>) or a rejection of insolvency proceedings on the grounds of insufficiency of assets (</w:t>
      </w:r>
      <w:r>
        <w:rPr>
          <w:rFonts w:ascii="Times New Roman" w:cs="Times New Roman" w:eastAsia="Times New Roman" w:hAnsi="Times New Roman"/>
          <w:sz w:val="18"/>
          <w:szCs w:val="18"/>
          <w:i w:val="1"/>
          <w:iCs w:val="1"/>
          <w:color w:val="auto"/>
        </w:rPr>
        <w:t>Abweisung mangels Masse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Currency symbols and definitions</w:t>
      </w:r>
    </w:p>
    <w:p>
      <w:pPr>
        <w:spacing w:after="0" w:line="124" w:lineRule="exact"/>
        <w:rPr>
          <w:sz w:val="20"/>
          <w:szCs w:val="20"/>
          <w:color w:val="auto"/>
        </w:rPr>
      </w:pPr>
    </w:p>
    <w:p>
      <w:pPr>
        <w:ind w:left="5310" w:right="3920" w:hanging="5310"/>
        <w:spacing w:after="0" w:line="441" w:lineRule="auto"/>
        <w:tabs>
          <w:tab w:leader="none" w:pos="427"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US dollar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US dollars </w:t>
      </w:r>
      <w:r>
        <w:rPr>
          <w:rFonts w:ascii="Times New Roman" w:cs="Times New Roman" w:eastAsia="Times New Roman" w:hAnsi="Times New Roman"/>
          <w:sz w:val="18"/>
          <w:szCs w:val="18"/>
          <w:color w:val="auto"/>
        </w:rPr>
        <w:t>denote the lawful currency of the United States of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w:t>
      </w:r>
    </w:p>
    <w:p>
      <w:pPr>
        <w:sectPr>
          <w:pgSz w:w="11900" w:h="16838" w:orient="portrait"/>
          <w:cols w:equalWidth="0" w:num="1">
            <w:col w:w="10730"/>
          </w:cols>
          <w:pgMar w:left="550" w:top="265" w:right="619" w:bottom="1440" w:gutter="0" w:footer="0" w:header="0"/>
        </w:sectPr>
      </w:pPr>
    </w:p>
    <w:bookmarkStart w:id="602" w:name="page603"/>
    <w:bookmarkEnd w:id="602"/>
    <w:p>
      <w:pPr>
        <w:ind w:left="430" w:hanging="430"/>
        <w:spacing w:after="0"/>
        <w:tabs>
          <w:tab w:leader="none" w:pos="430"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 EUR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euro </w:t>
      </w:r>
      <w:r>
        <w:rPr>
          <w:rFonts w:ascii="Times New Roman" w:cs="Times New Roman" w:eastAsia="Times New Roman" w:hAnsi="Times New Roman"/>
          <w:sz w:val="18"/>
          <w:szCs w:val="18"/>
          <w:color w:val="auto"/>
        </w:rPr>
        <w:t>denote the single currency of the Participating Member States.</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Renminbi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RMB </w:t>
      </w:r>
      <w:r>
        <w:rPr>
          <w:rFonts w:ascii="Times New Roman" w:cs="Times New Roman" w:eastAsia="Times New Roman" w:hAnsi="Times New Roman"/>
          <w:sz w:val="18"/>
          <w:szCs w:val="18"/>
          <w:color w:val="auto"/>
        </w:rPr>
        <w:t>denote the lawful currency of the PRC.</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Third party rights</w:t>
      </w:r>
    </w:p>
    <w:p>
      <w:pPr>
        <w:spacing w:after="0" w:line="124" w:lineRule="exact"/>
        <w:rPr>
          <w:sz w:val="20"/>
          <w:szCs w:val="20"/>
          <w:color w:val="auto"/>
        </w:rPr>
      </w:pPr>
    </w:p>
    <w:p>
      <w:pPr>
        <w:ind w:left="430" w:right="60" w:hanging="430"/>
        <w:spacing w:after="0" w:line="273" w:lineRule="auto"/>
        <w:tabs>
          <w:tab w:leader="none" w:pos="430"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who is not a Party has no right under the Contracts (Rights of Third Parties) Act 1999 (the </w:t>
      </w:r>
      <w:r>
        <w:rPr>
          <w:rFonts w:ascii="Times New Roman" w:cs="Times New Roman" w:eastAsia="Times New Roman" w:hAnsi="Times New Roman"/>
          <w:sz w:val="18"/>
          <w:szCs w:val="18"/>
          <w:b w:val="1"/>
          <w:bCs w:val="1"/>
          <w:color w:val="auto"/>
        </w:rPr>
        <w:t>Third Parties Act</w:t>
      </w:r>
      <w:r>
        <w:rPr>
          <w:rFonts w:ascii="Times New Roman" w:cs="Times New Roman" w:eastAsia="Times New Roman" w:hAnsi="Times New Roman"/>
          <w:sz w:val="18"/>
          <w:szCs w:val="18"/>
          <w:color w:val="auto"/>
        </w:rPr>
        <w:t>) to enforce or to enjoy the benefit of any term of this Agreement, except as otherwise provided in paragraph (b) of Clause 26.10 (Exclusion of liability).</w:t>
      </w:r>
    </w:p>
    <w:p>
      <w:pPr>
        <w:spacing w:after="0" w:line="73"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(including paragraph (a) above), the Parties do not require the consent of any person who is not a Party to rescind, amend, vary or waive any provision of this Agreement at any time.</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German terminology</w:t>
      </w:r>
    </w:p>
    <w:p>
      <w:pPr>
        <w:spacing w:after="0" w:line="112" w:lineRule="exact"/>
        <w:rPr>
          <w:sz w:val="20"/>
          <w:szCs w:val="20"/>
          <w:color w:val="auto"/>
        </w:rPr>
      </w:pPr>
    </w:p>
    <w:p>
      <w:pPr>
        <w:jc w:val="both"/>
        <w:ind w:left="430" w:right="200"/>
        <w:spacing w:after="0" w:line="258" w:lineRule="auto"/>
        <w:rPr>
          <w:sz w:val="20"/>
          <w:szCs w:val="20"/>
          <w:color w:val="auto"/>
        </w:rPr>
      </w:pPr>
      <w:r>
        <w:rPr>
          <w:rFonts w:ascii="Times New Roman" w:cs="Times New Roman" w:eastAsia="Times New Roman" w:hAnsi="Times New Roman"/>
          <w:sz w:val="18"/>
          <w:szCs w:val="18"/>
          <w:color w:val="auto"/>
        </w:rPr>
        <w:t>This Agreement is made in the English language. For the avoidance of doubt, the English language version of this Agreement shall prevail over any translation of this Agreement. However, where a German translation of a word or phrase appears in the text of this Agreement, the German meaning and the underlying German law legal concept shall prevail.</w:t>
      </w:r>
    </w:p>
    <w:p>
      <w:pPr>
        <w:spacing w:after="0" w:line="8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Sanctions</w:t>
      </w:r>
    </w:p>
    <w:p>
      <w:pPr>
        <w:spacing w:after="0" w:line="110" w:lineRule="exact"/>
        <w:rPr>
          <w:sz w:val="20"/>
          <w:szCs w:val="20"/>
          <w:color w:val="auto"/>
        </w:rPr>
      </w:pPr>
    </w:p>
    <w:p>
      <w:pPr>
        <w:ind w:left="430" w:right="140"/>
        <w:spacing w:after="0" w:line="248" w:lineRule="auto"/>
        <w:rPr>
          <w:sz w:val="20"/>
          <w:szCs w:val="20"/>
          <w:color w:val="auto"/>
        </w:rPr>
      </w:pPr>
      <w:r>
        <w:rPr>
          <w:rFonts w:ascii="Times New Roman" w:cs="Times New Roman" w:eastAsia="Times New Roman" w:hAnsi="Times New Roman"/>
          <w:sz w:val="18"/>
          <w:szCs w:val="18"/>
          <w:color w:val="auto"/>
        </w:rPr>
        <w:t>In relation to each Finance Party resident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or any (other) Finance Party that otherwise notifies the Agent to this effect (each a </w:t>
      </w:r>
      <w:r>
        <w:rPr>
          <w:rFonts w:ascii="Times New Roman" w:cs="Times New Roman" w:eastAsia="Times New Roman" w:hAnsi="Times New Roman"/>
          <w:sz w:val="18"/>
          <w:szCs w:val="18"/>
          <w:b w:val="1"/>
          <w:bCs w:val="1"/>
          <w:color w:val="auto"/>
        </w:rPr>
        <w:t>Restricted Finance Party</w:t>
      </w:r>
      <w:r>
        <w:rPr>
          <w:rFonts w:ascii="Times New Roman" w:cs="Times New Roman" w:eastAsia="Times New Roman" w:hAnsi="Times New Roman"/>
          <w:sz w:val="18"/>
          <w:szCs w:val="18"/>
          <w:color w:val="auto"/>
        </w:rPr>
        <w:t>), the Sanctions Provisions shall only apply for the benefit of that Restricted Finance Party to the extent that it would not result in any violation of, conflict with or liability under any Anti-Boycott Regulations. In addition, in connection with any amendment, waiver, determination or direction relating to any part of the Sanctions Provisions to which a Restricted Finance Party does not have the benefit, the commitments under this Agreement of that Restricted Finance Party will be excluded from the numerator and denominator for the purposes of determining whether the consent of the Lenders has been obtained or whether the determination or direction of the Lenders has been made. As long as a Finance Party is not incorporated in Germany or has not given to the Agent any such notice the Agent shall assume that such Finance Party is not a Restricted Finance Party and that the Sanctions Provisions shall apply for the benefit of that Finance Party where relevant for the Agent when exercising its functions under this Agreement.</w:t>
      </w:r>
    </w:p>
    <w:p>
      <w:pPr>
        <w:spacing w:after="0" w:line="333" w:lineRule="exact"/>
        <w:rPr>
          <w:sz w:val="20"/>
          <w:szCs w:val="20"/>
          <w:color w:val="auto"/>
        </w:rPr>
      </w:pPr>
    </w:p>
    <w:p>
      <w:pPr>
        <w:ind w:left="10" w:right="9080" w:hanging="10"/>
        <w:spacing w:after="0" w:line="398" w:lineRule="auto"/>
        <w:tabs>
          <w:tab w:leader="none" w:pos="433"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FACILITY 2.1 The Facility</w:t>
      </w:r>
    </w:p>
    <w:p>
      <w:pPr>
        <w:spacing w:after="0" w:line="1" w:lineRule="exact"/>
        <w:rPr>
          <w:sz w:val="20"/>
          <w:szCs w:val="20"/>
          <w:color w:val="auto"/>
        </w:rPr>
      </w:pPr>
    </w:p>
    <w:p>
      <w:pPr>
        <w:ind w:left="430" w:right="20"/>
        <w:spacing w:after="0" w:line="270" w:lineRule="auto"/>
        <w:rPr>
          <w:sz w:val="20"/>
          <w:szCs w:val="20"/>
          <w:color w:val="auto"/>
        </w:rPr>
      </w:pPr>
      <w:r>
        <w:rPr>
          <w:rFonts w:ascii="Times New Roman" w:cs="Times New Roman" w:eastAsia="Times New Roman" w:hAnsi="Times New Roman"/>
          <w:sz w:val="18"/>
          <w:szCs w:val="18"/>
          <w:color w:val="auto"/>
        </w:rPr>
        <w:t>Subject to the terms of this Agreement, the Lenders agree to make available to the Borrower(s) a euro term loan facility in an aggregate amount of up to the Total Commitments.</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Finance Parties’ rights and obligations</w:t>
      </w:r>
    </w:p>
    <w:p>
      <w:pPr>
        <w:spacing w:after="0" w:line="126" w:lineRule="exact"/>
        <w:rPr>
          <w:sz w:val="20"/>
          <w:szCs w:val="20"/>
          <w:color w:val="auto"/>
        </w:rPr>
      </w:pPr>
    </w:p>
    <w:p>
      <w:pPr>
        <w:ind w:left="430" w:hanging="430"/>
        <w:spacing w:after="0" w:line="258" w:lineRule="auto"/>
        <w:tabs>
          <w:tab w:leader="none" w:pos="43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Finance Party under the Finance Documents are several. Failure by a Finance Party to perform its obligations under any or all of the Finance Documents does not affect the obligations of any other Party under the Finance Documents. No Finance Party is responsible for the obligations of any other Finance Party under any or all of the Finance Documents.</w:t>
      </w:r>
    </w:p>
    <w:p>
      <w:pPr>
        <w:spacing w:after="0" w:line="85" w:lineRule="exact"/>
        <w:rPr>
          <w:rFonts w:ascii="Times New Roman" w:cs="Times New Roman" w:eastAsia="Times New Roman" w:hAnsi="Times New Roman"/>
          <w:sz w:val="18"/>
          <w:szCs w:val="18"/>
          <w:color w:val="auto"/>
        </w:rPr>
      </w:pPr>
    </w:p>
    <w:p>
      <w:pPr>
        <w:ind w:left="430" w:right="160" w:hanging="430"/>
        <w:spacing w:after="0" w:line="250" w:lineRule="auto"/>
        <w:tabs>
          <w:tab w:leader="none" w:pos="43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each Finance Party under or in connection with the Finance Documents are separate and independent rights and any debt arising under any or all of the Finance Documents to a Finance Party from an Obligor shall be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94" w:lineRule="exact"/>
        <w:rPr>
          <w:rFonts w:ascii="Times New Roman" w:cs="Times New Roman" w:eastAsia="Times New Roman" w:hAnsi="Times New Roman"/>
          <w:sz w:val="18"/>
          <w:szCs w:val="18"/>
          <w:color w:val="auto"/>
        </w:rPr>
      </w:pPr>
    </w:p>
    <w:p>
      <w:pPr>
        <w:ind w:left="430" w:right="440" w:hanging="430"/>
        <w:spacing w:after="0" w:line="270" w:lineRule="auto"/>
        <w:tabs>
          <w:tab w:leader="none" w:pos="430"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may, except as specifically provided in the Finance Documents, separately enforce its rights under or in connection with the Finance Documents.</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70"/>
          </w:cols>
          <w:pgMar w:left="550" w:top="263" w:right="579" w:bottom="1440" w:gutter="0" w:footer="0" w:header="0"/>
        </w:sectPr>
      </w:pPr>
    </w:p>
    <w:bookmarkStart w:id="603" w:name="page604"/>
    <w:bookmarkEnd w:id="603"/>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2.3</w:t>
      </w:r>
      <w:r>
        <w:rPr>
          <w:sz w:val="20"/>
          <w:szCs w:val="20"/>
          <w:color w:val="auto"/>
        </w:rPr>
        <w:tab/>
      </w:r>
      <w:r>
        <w:rPr>
          <w:rFonts w:ascii="Times New Roman" w:cs="Times New Roman" w:eastAsia="Times New Roman" w:hAnsi="Times New Roman"/>
          <w:sz w:val="17"/>
          <w:szCs w:val="17"/>
          <w:b w:val="1"/>
          <w:bCs w:val="1"/>
          <w:color w:val="auto"/>
        </w:rPr>
        <w:t>Increase</w:t>
      </w:r>
    </w:p>
    <w:p>
      <w:pPr>
        <w:spacing w:after="0" w:line="126" w:lineRule="exact"/>
        <w:rPr>
          <w:sz w:val="20"/>
          <w:szCs w:val="20"/>
          <w:color w:val="auto"/>
        </w:rPr>
      </w:pPr>
    </w:p>
    <w:p>
      <w:pPr>
        <w:ind w:left="430" w:right="120" w:hanging="430"/>
        <w:spacing w:after="0" w:line="251" w:lineRule="auto"/>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by giving prior notice to the Agent by no later than the date falling fifteen (15) Business Days after the effective date of a cancellation of the Available Commitment or the Commitment of a Lender (a </w:t>
      </w:r>
      <w:r>
        <w:rPr>
          <w:rFonts w:ascii="Times New Roman" w:cs="Times New Roman" w:eastAsia="Times New Roman" w:hAnsi="Times New Roman"/>
          <w:sz w:val="18"/>
          <w:szCs w:val="18"/>
          <w:b w:val="1"/>
          <w:bCs w:val="1"/>
          <w:color w:val="auto"/>
        </w:rPr>
        <w:t>Cancelled Lender</w:t>
      </w:r>
      <w:r>
        <w:rPr>
          <w:rFonts w:ascii="Times New Roman" w:cs="Times New Roman" w:eastAsia="Times New Roman" w:hAnsi="Times New Roman"/>
          <w:sz w:val="18"/>
          <w:szCs w:val="18"/>
          <w:color w:val="auto"/>
        </w:rPr>
        <w:t xml:space="preserve">) in accordance with paragraph (a) of Clause 7.4 (Right of repayment and cancellation in relation to a single Lender) (such Available Commitment or Commitment so cancelled being the </w:t>
      </w:r>
      <w:r>
        <w:rPr>
          <w:rFonts w:ascii="Times New Roman" w:cs="Times New Roman" w:eastAsia="Times New Roman" w:hAnsi="Times New Roman"/>
          <w:sz w:val="18"/>
          <w:szCs w:val="18"/>
          <w:b w:val="1"/>
          <w:bCs w:val="1"/>
          <w:color w:val="auto"/>
        </w:rPr>
        <w:t>Cancelled Commitment</w:t>
      </w:r>
      <w:r>
        <w:rPr>
          <w:rFonts w:ascii="Times New Roman" w:cs="Times New Roman" w:eastAsia="Times New Roman" w:hAnsi="Times New Roman"/>
          <w:sz w:val="18"/>
          <w:szCs w:val="18"/>
          <w:color w:val="auto"/>
        </w:rPr>
        <w:t>) request that the Commitments be increased (and the Commitments shall be so increased) up to an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Cancelled Commitment as follows:</w:t>
      </w:r>
    </w:p>
    <w:p>
      <w:pPr>
        <w:spacing w:after="0" w:line="94" w:lineRule="exact"/>
        <w:rPr>
          <w:rFonts w:ascii="Times New Roman" w:cs="Times New Roman" w:eastAsia="Times New Roman" w:hAnsi="Times New Roman"/>
          <w:sz w:val="18"/>
          <w:szCs w:val="18"/>
          <w:color w:val="auto"/>
        </w:rPr>
      </w:pPr>
    </w:p>
    <w:p>
      <w:pPr>
        <w:ind w:left="1050" w:right="20" w:hanging="626"/>
        <w:spacing w:after="0" w:line="248"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increased Commitments will be assumed by one or more Lenders or other banks, financial institutions, trusts, funds or other entities (each an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xml:space="preserve">) selected by the Borrower(s) (which is not a Group Member and which satisfies the criteria for a Lender under Clause 23.1 (Assignments and transfers by the Lenders)) each of which confirms in writing (whether in the relevant Increase Confirmation or otherwise) its willingness to assume and does assume all the obligations of a Lender corresponding to that part of such increased Commitments which it is to assume (the </w:t>
      </w:r>
      <w:r>
        <w:rPr>
          <w:rFonts w:ascii="Times New Roman" w:cs="Times New Roman" w:eastAsia="Times New Roman" w:hAnsi="Times New Roman"/>
          <w:sz w:val="18"/>
          <w:szCs w:val="18"/>
          <w:b w:val="1"/>
          <w:bCs w:val="1"/>
          <w:color w:val="auto"/>
        </w:rPr>
        <w:t>Assumed Commitment</w:t>
      </w:r>
      <w:r>
        <w:rPr>
          <w:rFonts w:ascii="Times New Roman" w:cs="Times New Roman" w:eastAsia="Times New Roman" w:hAnsi="Times New Roman"/>
          <w:sz w:val="18"/>
          <w:szCs w:val="18"/>
          <w:color w:val="auto"/>
        </w:rPr>
        <w:t xml:space="preserve"> of such Increase Lender), as if it had been an Original Lender with such Assumed Commitment in addition to any other Commitment which it may otherwise have in accordance with this Agreement (for the avoidance of doubt, the aggregate Assumed Commitments of all of the Increase Lenders shall not exceed such Cancelled Commitment);</w:t>
      </w:r>
    </w:p>
    <w:p>
      <w:pPr>
        <w:spacing w:after="0" w:line="99" w:lineRule="exact"/>
        <w:rPr>
          <w:rFonts w:ascii="Times New Roman" w:cs="Times New Roman" w:eastAsia="Times New Roman" w:hAnsi="Times New Roman"/>
          <w:sz w:val="18"/>
          <w:szCs w:val="18"/>
          <w:color w:val="auto"/>
        </w:rPr>
      </w:pPr>
    </w:p>
    <w:p>
      <w:pPr>
        <w:ind w:left="1050" w:right="160" w:hanging="626"/>
        <w:spacing w:after="0" w:line="253"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any Increase Lender shall assume obligations towards one another and/or acquire rights against one another as the Obligors and that Increase Lender would have assumed and/or acquired had that Increase Lender been an Original Lender (with the Assumed Commitment in respect of such Increase Lender, in addition to any other Commitment which such Increase Lender may otherwise have in accordance with this Agreement);</w:t>
      </w:r>
    </w:p>
    <w:p>
      <w:pPr>
        <w:spacing w:after="0" w:line="92" w:lineRule="exact"/>
        <w:rPr>
          <w:rFonts w:ascii="Times New Roman" w:cs="Times New Roman" w:eastAsia="Times New Roman" w:hAnsi="Times New Roman"/>
          <w:sz w:val="18"/>
          <w:szCs w:val="18"/>
          <w:color w:val="auto"/>
        </w:rPr>
      </w:pPr>
    </w:p>
    <w:p>
      <w:pPr>
        <w:ind w:left="1050" w:right="40" w:hanging="626"/>
        <w:spacing w:after="0" w:line="253"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shall become a Party as a “Lender” (with the Assumed Commitment so assumed by it, in addition to any other Commitment which that Increase Lender may otherwise have in accordance with this Agreement) and any Increase Lender and each of the other Finance Parties shall assume obligations towards one another and acquire rights against one another as that Increase Lender and those Finance Parties would have assumed and/or acquired had that Increase Lender been an Original Lender;</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of the other Lenders shall continue in full force and effect; and</w:t>
      </w:r>
    </w:p>
    <w:p>
      <w:pPr>
        <w:spacing w:after="0" w:line="123" w:lineRule="exact"/>
        <w:rPr>
          <w:rFonts w:ascii="Times New Roman" w:cs="Times New Roman" w:eastAsia="Times New Roman" w:hAnsi="Times New Roman"/>
          <w:sz w:val="18"/>
          <w:szCs w:val="18"/>
          <w:color w:val="auto"/>
        </w:rPr>
      </w:pPr>
    </w:p>
    <w:p>
      <w:pPr>
        <w:ind w:left="1050" w:right="160" w:hanging="626"/>
        <w:spacing w:after="0" w:line="270"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increase in the Commitments shall take effect on the later of (A) the date specified by the Borrower(s) in the notice referred to above or (B) the date on which the conditions set out in paragraph (b) below are satisfied in respect of such increase.</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Commitments pursuant to paragraph (a) will only be effective on:</w:t>
      </w:r>
    </w:p>
    <w:p>
      <w:pPr>
        <w:spacing w:after="0" w:line="123" w:lineRule="exact"/>
        <w:rPr>
          <w:rFonts w:ascii="Times New Roman" w:cs="Times New Roman" w:eastAsia="Times New Roman" w:hAnsi="Times New Roman"/>
          <w:sz w:val="18"/>
          <w:szCs w:val="18"/>
          <w:color w:val="auto"/>
        </w:rPr>
      </w:pPr>
    </w:p>
    <w:p>
      <w:pPr>
        <w:ind w:left="1050" w:right="160" w:hanging="626"/>
        <w:spacing w:after="0" w:line="270"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Agent of an Increase Confirmation from each Increase Lender in respect of such increase (setting out the Assumed Commitment which such Increase Lender is assuming in accordance with paragraph (a)); and</w:t>
      </w:r>
    </w:p>
    <w:p>
      <w:pPr>
        <w:spacing w:after="0" w:line="76" w:lineRule="exact"/>
        <w:rPr>
          <w:rFonts w:ascii="Times New Roman" w:cs="Times New Roman" w:eastAsia="Times New Roman" w:hAnsi="Times New Roman"/>
          <w:sz w:val="18"/>
          <w:szCs w:val="18"/>
          <w:color w:val="auto"/>
        </w:rPr>
      </w:pPr>
    </w:p>
    <w:p>
      <w:pPr>
        <w:ind w:left="1050" w:hanging="626"/>
        <w:spacing w:after="0" w:line="258" w:lineRule="auto"/>
        <w:tabs>
          <w:tab w:leader="none" w:pos="1050"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Increase Lender which is not a Lender immediately prior to such increase in Commitments, the Agent being satisfied that it has completed all necessary “know your customer” or other similar checks under all applicable laws and regulations in relation to the assumption of the Assumed Commitment by that Increase Lender.</w:t>
      </w:r>
    </w:p>
    <w:p>
      <w:pPr>
        <w:spacing w:after="0" w:line="83" w:lineRule="exact"/>
        <w:rPr>
          <w:rFonts w:ascii="Times New Roman" w:cs="Times New Roman" w:eastAsia="Times New Roman" w:hAnsi="Times New Roman"/>
          <w:sz w:val="18"/>
          <w:szCs w:val="18"/>
          <w:color w:val="auto"/>
        </w:rPr>
      </w:pPr>
    </w:p>
    <w:p>
      <w:pPr>
        <w:ind w:left="430" w:right="100" w:hanging="430"/>
        <w:spacing w:after="0" w:line="281" w:lineRule="auto"/>
        <w:tabs>
          <w:tab w:leader="none" w:pos="430" w:val="left"/>
        </w:tabs>
        <w:numPr>
          <w:ilvl w:val="0"/>
          <w:numId w:val="7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Agent shall promptly notify the Borrower(s) and that Increase Lender upon the effectiveness of such increase,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the Agent shall have received confirmation from either such Cancelled Lender or the Borrower(s) of the completion of all necessary “know your customer” or other similar checks under all applicable laws and regulations in relation to the assumption of the Assumed Commitment by that Increase Lender.</w:t>
      </w:r>
    </w:p>
    <w:p>
      <w:pPr>
        <w:spacing w:after="0" w:line="68" w:lineRule="exact"/>
        <w:rPr>
          <w:rFonts w:ascii="Times New Roman" w:cs="Times New Roman" w:eastAsia="Times New Roman" w:hAnsi="Times New Roman"/>
          <w:sz w:val="17"/>
          <w:szCs w:val="17"/>
          <w:color w:val="auto"/>
        </w:rPr>
      </w:pPr>
    </w:p>
    <w:p>
      <w:pPr>
        <w:ind w:left="430" w:right="80" w:hanging="430"/>
        <w:spacing w:after="0" w:line="253" w:lineRule="auto"/>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Increase Lender, by executing an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in Commitments (to which such Increase Confirmation relates) becomes effective in accordance with this Agreement and that it is bound by that decision to the same extent as it would have been had it been an Original Lender.</w:t>
      </w:r>
    </w:p>
    <w:p>
      <w:pPr>
        <w:spacing w:after="0" w:line="92"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promptly on demand pay the Agent the amount of all costs and expenses (including legal fees) reasonably incurred by it in connection with any increase in Commitments under this Clause 2.3.</w:t>
      </w:r>
    </w:p>
    <w:p>
      <w:pPr>
        <w:spacing w:after="0" w:line="76" w:lineRule="exact"/>
        <w:rPr>
          <w:rFonts w:ascii="Times New Roman" w:cs="Times New Roman" w:eastAsia="Times New Roman" w:hAnsi="Times New Roman"/>
          <w:sz w:val="18"/>
          <w:szCs w:val="18"/>
          <w:color w:val="auto"/>
        </w:rPr>
      </w:pPr>
    </w:p>
    <w:p>
      <w:pPr>
        <w:ind w:left="430" w:right="60" w:hanging="430"/>
        <w:spacing w:after="0" w:line="253" w:lineRule="auto"/>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Lender shall, on the date upon which the assumption of any Assumed Commitment takes effect, pay to the Agent (for its own account) a fee in an amount equal to the fee which would be payable under Clause 23.3 (Assignment or transfer fee) if such assumption were a transfer of such Assumed Commitment to such Increase Lender pursuant to Clause 23.6 (Procedure for transfer) and if such Increase Lender were a New Lender.</w:t>
      </w:r>
    </w:p>
    <w:p>
      <w:pPr>
        <w:spacing w:after="0" w:line="92"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pay to an Increase Lender a fee in the amount and at the times agreed between the Borrower(s) and that Increase Lender in a Fee Letter.</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70"/>
          </w:cols>
          <w:pgMar w:left="550" w:top="264" w:right="579" w:bottom="1440" w:gutter="0" w:footer="0" w:header="0"/>
        </w:sectPr>
      </w:pPr>
    </w:p>
    <w:bookmarkStart w:id="604" w:name="page605"/>
    <w:bookmarkEnd w:id="604"/>
    <w:p>
      <w:pPr>
        <w:ind w:left="430" w:hanging="430"/>
        <w:spacing w:after="0" w:line="258" w:lineRule="auto"/>
        <w:tabs>
          <w:tab w:leader="none" w:pos="43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Neither the Agent nor any Lender shall have any obligation to find an Increase Lender and in no event shall any Lender whose Cancelled Commitment is assumed or replaced by an Increase Lender be required to pay or surrender any of the fees received by such Lender pursuant to the Finance Documents.</w:t>
      </w:r>
    </w:p>
    <w:p>
      <w:pPr>
        <w:spacing w:after="0" w:line="85"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23.5 (Limitation of responsibility of Existing Lenders) shall apply mutatis mutandis in this Clause 2.3 in relation to an Increase Lender as if references in that Clause to:</w:t>
      </w:r>
    </w:p>
    <w:p>
      <w:pPr>
        <w:spacing w:after="0" w:line="74" w:lineRule="exact"/>
        <w:rPr>
          <w:rFonts w:ascii="Times New Roman" w:cs="Times New Roman" w:eastAsia="Times New Roman" w:hAnsi="Times New Roman"/>
          <w:sz w:val="18"/>
          <w:szCs w:val="18"/>
          <w:color w:val="auto"/>
        </w:rPr>
      </w:pPr>
    </w:p>
    <w:p>
      <w:pPr>
        <w:ind w:left="1050" w:right="180" w:hanging="626"/>
        <w:spacing w:after="0" w:line="273" w:lineRule="auto"/>
        <w:tabs>
          <w:tab w:leader="none" w:pos="1050"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xml:space="preserve"> were references to all the Lenders immediately prior to the relevant increase in Commitments or the assumption of any Assumed Commitment by such Increase Lender;</w:t>
      </w:r>
    </w:p>
    <w:p>
      <w:pPr>
        <w:spacing w:after="0" w:line="71"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 xml:space="preserve"> were references to that </w:t>
      </w:r>
      <w:r>
        <w:rPr>
          <w:rFonts w:ascii="Times New Roman" w:cs="Times New Roman" w:eastAsia="Times New Roman" w:hAnsi="Times New Roman"/>
          <w:sz w:val="18"/>
          <w:szCs w:val="18"/>
          <w:b w:val="1"/>
          <w:bCs w:val="1"/>
          <w:color w:val="auto"/>
        </w:rPr>
        <w:t>Increase Lender;</w:t>
      </w:r>
      <w:r>
        <w:rPr>
          <w:rFonts w:ascii="Times New Roman" w:cs="Times New Roman" w:eastAsia="Times New Roman" w:hAnsi="Times New Roman"/>
          <w:sz w:val="18"/>
          <w:szCs w:val="18"/>
          <w:color w:val="auto"/>
        </w:rPr>
        <w:t xml:space="preserve">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re-transfer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re-assignment</w:t>
      </w:r>
      <w:r>
        <w:rPr>
          <w:rFonts w:ascii="Times New Roman" w:cs="Times New Roman" w:eastAsia="Times New Roman" w:hAnsi="Times New Roman"/>
          <w:sz w:val="18"/>
          <w:szCs w:val="18"/>
          <w:color w:val="auto"/>
        </w:rPr>
        <w:t xml:space="preserve"> were references to respectively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assignment.</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Relationship of the Borrowers</w:t>
      </w:r>
    </w:p>
    <w:p>
      <w:pPr>
        <w:spacing w:after="0" w:line="112" w:lineRule="exact"/>
        <w:rPr>
          <w:sz w:val="20"/>
          <w:szCs w:val="20"/>
          <w:color w:val="auto"/>
        </w:rPr>
      </w:pPr>
    </w:p>
    <w:p>
      <w:pPr>
        <w:ind w:left="430" w:right="320"/>
        <w:spacing w:after="0" w:line="270" w:lineRule="auto"/>
        <w:rPr>
          <w:sz w:val="20"/>
          <w:szCs w:val="20"/>
          <w:color w:val="auto"/>
        </w:rPr>
      </w:pPr>
      <w:r>
        <w:rPr>
          <w:rFonts w:ascii="Times New Roman" w:cs="Times New Roman" w:eastAsia="Times New Roman" w:hAnsi="Times New Roman"/>
          <w:sz w:val="18"/>
          <w:szCs w:val="18"/>
          <w:color w:val="auto"/>
        </w:rPr>
        <w:t>This Clause 2.4 (Relationship of the Borrowers) applies from the date (if any) on which the Target accedes to this Agreement as an Additional Borrower in accordance with Clause 24.2 (Additional Borrower).</w:t>
      </w:r>
    </w:p>
    <w:p>
      <w:pPr>
        <w:spacing w:after="0" w:line="76" w:lineRule="exact"/>
        <w:rPr>
          <w:sz w:val="20"/>
          <w:szCs w:val="20"/>
          <w:color w:val="auto"/>
        </w:rPr>
      </w:pPr>
    </w:p>
    <w:p>
      <w:pPr>
        <w:ind w:left="430" w:hanging="430"/>
        <w:spacing w:after="0"/>
        <w:tabs>
          <w:tab w:leader="none" w:pos="43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and several liability</w:t>
      </w:r>
    </w:p>
    <w:p>
      <w:pPr>
        <w:spacing w:after="0" w:line="110" w:lineRule="exact"/>
        <w:rPr>
          <w:rFonts w:ascii="Times New Roman" w:cs="Times New Roman" w:eastAsia="Times New Roman" w:hAnsi="Times New Roman"/>
          <w:sz w:val="18"/>
          <w:szCs w:val="18"/>
          <w:color w:val="auto"/>
        </w:rPr>
      </w:pPr>
    </w:p>
    <w:p>
      <w:pPr>
        <w:ind w:left="430" w:righ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proceeds of the Loans may be made available to one Borrower only, each of the Borrowers irrevocably and unconditionally agrees that it will be jointly and severally liable as co-borrower and principal obligor for the full amount of the Loans, together with all other amounts owing under or in connection with the Finance Documents.</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obligation</w:t>
      </w:r>
    </w:p>
    <w:p>
      <w:pPr>
        <w:spacing w:after="0" w:line="110" w:lineRule="exact"/>
        <w:rPr>
          <w:rFonts w:ascii="Times New Roman" w:cs="Times New Roman" w:eastAsia="Times New Roman" w:hAnsi="Times New Roman"/>
          <w:sz w:val="18"/>
          <w:szCs w:val="18"/>
          <w:color w:val="auto"/>
        </w:rPr>
      </w:pPr>
    </w:p>
    <w:p>
      <w:pPr>
        <w:ind w:left="430" w:right="10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Borrowers are continuing obligations and will extend to the ultimate balance of all sums payable by either Borrower under the Finance Documents, regardless of any intermediate payment or discharge in part.</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Reinstatement</w:t>
      </w:r>
    </w:p>
    <w:p>
      <w:pPr>
        <w:spacing w:after="0" w:line="123" w:lineRule="exact"/>
        <w:rPr>
          <w:rFonts w:ascii="Times New Roman" w:cs="Times New Roman" w:eastAsia="Times New Roman" w:hAnsi="Times New Roman"/>
          <w:sz w:val="18"/>
          <w:szCs w:val="18"/>
          <w:color w:val="auto"/>
        </w:rPr>
      </w:pPr>
    </w:p>
    <w:p>
      <w:pPr>
        <w:ind w:left="1050" w:right="40" w:hanging="626"/>
        <w:spacing w:after="0" w:line="253" w:lineRule="auto"/>
        <w:tabs>
          <w:tab w:leader="none" w:pos="1050" w:val="left"/>
        </w:tabs>
        <w:numPr>
          <w:ilvl w:val="1"/>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discharge (whether in respect of the obligations of a Borrower or any security for those obligations or otherwise) or arrangement is made in whole or in part on the faith of any payment, security or other disposition which is avoided or must be restored on insolvency, liquidation, administration, judicial management or otherwise without limitation, the liability of each of the Borrowers under the Finance Documents will continue or be reinstated as if the discharge or arrangement had not occurred.</w:t>
      </w:r>
    </w:p>
    <w:p>
      <w:pPr>
        <w:spacing w:after="0" w:line="92" w:lineRule="exact"/>
        <w:rPr>
          <w:rFonts w:ascii="Times New Roman" w:cs="Times New Roman" w:eastAsia="Times New Roman" w:hAnsi="Times New Roman"/>
          <w:sz w:val="18"/>
          <w:szCs w:val="18"/>
          <w:color w:val="auto"/>
        </w:rPr>
      </w:pPr>
    </w:p>
    <w:p>
      <w:pPr>
        <w:ind w:left="1050" w:right="480" w:hanging="626"/>
        <w:spacing w:after="0" w:line="270" w:lineRule="auto"/>
        <w:tabs>
          <w:tab w:leader="none" w:pos="1050" w:val="left"/>
        </w:tabs>
        <w:numPr>
          <w:ilvl w:val="1"/>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may concede or compromise any claim that any payment, security or other disposition is liable to avoidance or restoration.</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recourse</w:t>
      </w:r>
    </w:p>
    <w:p>
      <w:pPr>
        <w:spacing w:after="0" w:line="110" w:lineRule="exact"/>
        <w:rPr>
          <w:rFonts w:ascii="Times New Roman" w:cs="Times New Roman" w:eastAsia="Times New Roman" w:hAnsi="Times New Roman"/>
          <w:sz w:val="18"/>
          <w:szCs w:val="18"/>
          <w:color w:val="auto"/>
        </w:rPr>
      </w:pPr>
    </w:p>
    <w:p>
      <w:pPr>
        <w:ind w:left="430"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Borrowers waives any right it may have of first requiring any Finance Party (or any trustee or agent on its behalf) to proceed against or enforce any other right or security or claim payment from the other Borrower or any other person before claiming from it under any of the Finance Documents.</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Appropriations</w:t>
      </w:r>
    </w:p>
    <w:p>
      <w:pPr>
        <w:spacing w:after="0" w:line="110" w:lineRule="exact"/>
        <w:rPr>
          <w:rFonts w:ascii="Times New Roman" w:cs="Times New Roman" w:eastAsia="Times New Roman" w:hAnsi="Times New Roman"/>
          <w:sz w:val="18"/>
          <w:szCs w:val="18"/>
          <w:color w:val="auto"/>
        </w:rPr>
      </w:pPr>
    </w:p>
    <w:p>
      <w:pPr>
        <w:ind w:left="430"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all amounts which may be or become payable by the Borrowers under or in connection with the Finance Documents have been irrevocably paid in full, each Finance Party (or any trustee or agent on its behalf) may without affecting the liability of either of the Borrowers under the Finance Documents:</w:t>
      </w:r>
    </w:p>
    <w:p>
      <w:pPr>
        <w:spacing w:after="0" w:line="85"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1"/>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refrain from applying or enforcing any other moneys, security or rights held or received by that Finance Party (or any trustee or agent on its behalf) against those amounts;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and enforce them in such manner and order as it sees fit (whether against those amounts or otherwise);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in a suspense account any moneys received from a Borrower or on account of its liability under this Clause 2.4.</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70"/>
          </w:cols>
          <w:pgMar w:left="550" w:top="266" w:right="579" w:bottom="1440" w:gutter="0" w:footer="0" w:header="0"/>
        </w:sectPr>
      </w:pPr>
    </w:p>
    <w:bookmarkStart w:id="605" w:name="page606"/>
    <w:bookmarkEnd w:id="605"/>
    <w:p>
      <w:pPr>
        <w:ind w:left="430" w:hanging="430"/>
        <w:spacing w:after="0"/>
        <w:tabs>
          <w:tab w:leader="none" w:pos="43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Non-competition</w:t>
      </w:r>
    </w:p>
    <w:p>
      <w:pPr>
        <w:spacing w:after="0" w:line="123" w:lineRule="exact"/>
        <w:rPr>
          <w:rFonts w:ascii="Times New Roman" w:cs="Times New Roman" w:eastAsia="Times New Roman" w:hAnsi="Times New Roman"/>
          <w:sz w:val="18"/>
          <w:szCs w:val="18"/>
          <w:color w:val="auto"/>
        </w:rPr>
      </w:pPr>
    </w:p>
    <w:p>
      <w:pPr>
        <w:ind w:left="950" w:hanging="632"/>
        <w:spacing w:after="0"/>
        <w:tabs>
          <w:tab w:leader="none" w:pos="950" w:val="left"/>
        </w:tabs>
        <w:numPr>
          <w:ilvl w:val="1"/>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w:t>
      </w:r>
    </w:p>
    <w:p>
      <w:pPr>
        <w:spacing w:after="0" w:line="123" w:lineRule="exact"/>
        <w:rPr>
          <w:rFonts w:ascii="Times New Roman" w:cs="Times New Roman" w:eastAsia="Times New Roman" w:hAnsi="Times New Roman"/>
          <w:sz w:val="18"/>
          <w:szCs w:val="18"/>
          <w:color w:val="auto"/>
        </w:rPr>
      </w:pPr>
    </w:p>
    <w:p>
      <w:pPr>
        <w:ind w:left="1610" w:right="180" w:hanging="644"/>
        <w:spacing w:after="0" w:line="270" w:lineRule="auto"/>
        <w:tabs>
          <w:tab w:leader="none" w:pos="1610" w:val="left"/>
        </w:tabs>
        <w:numPr>
          <w:ilvl w:val="2"/>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which may be or become payable by the Borrowers under or in connection with the Finance Documents have been irrevocably paid in full; or</w:t>
      </w:r>
    </w:p>
    <w:p>
      <w:pPr>
        <w:spacing w:after="0" w:line="76" w:lineRule="exact"/>
        <w:rPr>
          <w:rFonts w:ascii="Times New Roman" w:cs="Times New Roman" w:eastAsia="Times New Roman" w:hAnsi="Times New Roman"/>
          <w:sz w:val="18"/>
          <w:szCs w:val="18"/>
          <w:color w:val="auto"/>
        </w:rPr>
      </w:pPr>
    </w:p>
    <w:p>
      <w:pPr>
        <w:ind w:left="1610" w:hanging="644"/>
        <w:spacing w:after="0"/>
        <w:tabs>
          <w:tab w:leader="none" w:pos="1610" w:val="left"/>
        </w:tabs>
        <w:numPr>
          <w:ilvl w:val="2"/>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otherwise directs,</w:t>
      </w:r>
    </w:p>
    <w:p>
      <w:pPr>
        <w:spacing w:after="0" w:line="110" w:lineRule="exact"/>
        <w:rPr>
          <w:sz w:val="20"/>
          <w:szCs w:val="20"/>
          <w:color w:val="auto"/>
        </w:rPr>
      </w:pPr>
    </w:p>
    <w:p>
      <w:pPr>
        <w:ind w:left="970" w:right="380"/>
        <w:spacing w:after="0" w:line="270" w:lineRule="auto"/>
        <w:rPr>
          <w:sz w:val="20"/>
          <w:szCs w:val="20"/>
          <w:color w:val="auto"/>
        </w:rPr>
      </w:pPr>
      <w:r>
        <w:rPr>
          <w:rFonts w:ascii="Times New Roman" w:cs="Times New Roman" w:eastAsia="Times New Roman" w:hAnsi="Times New Roman"/>
          <w:sz w:val="18"/>
          <w:szCs w:val="18"/>
          <w:color w:val="auto"/>
        </w:rPr>
        <w:t>neither of the Borrowers will, after a claim has been made or by virtue of any payment or performance by it under any of the Finance Documents:</w:t>
      </w:r>
    </w:p>
    <w:p>
      <w:pPr>
        <w:spacing w:after="0" w:line="76" w:lineRule="exact"/>
        <w:rPr>
          <w:sz w:val="20"/>
          <w:szCs w:val="20"/>
          <w:color w:val="auto"/>
        </w:rPr>
      </w:pPr>
    </w:p>
    <w:p>
      <w:pPr>
        <w:ind w:left="1930" w:right="40" w:hanging="528"/>
        <w:spacing w:after="0" w:line="270" w:lineRule="auto"/>
        <w:tabs>
          <w:tab w:leader="none" w:pos="193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subrogated to any rights, security or moneys held, received or receivable by any Finance Party (or any trustee or agent on its behalf);</w:t>
      </w:r>
    </w:p>
    <w:p>
      <w:pPr>
        <w:spacing w:after="0" w:line="76" w:lineRule="exact"/>
        <w:rPr>
          <w:sz w:val="20"/>
          <w:szCs w:val="20"/>
          <w:color w:val="auto"/>
        </w:rPr>
      </w:pPr>
    </w:p>
    <w:p>
      <w:pPr>
        <w:ind w:left="1930" w:right="240" w:hanging="528"/>
        <w:spacing w:after="0" w:line="270" w:lineRule="auto"/>
        <w:tabs>
          <w:tab w:leader="none" w:pos="193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entitled to any right of contribution or indemnity in respect of any payment made or moneys received on account of its liability under any of the Finance Documents;</w:t>
      </w:r>
    </w:p>
    <w:p>
      <w:pPr>
        <w:spacing w:after="0" w:line="76" w:lineRule="exact"/>
        <w:rPr>
          <w:sz w:val="20"/>
          <w:szCs w:val="20"/>
          <w:color w:val="auto"/>
        </w:rPr>
      </w:pPr>
    </w:p>
    <w:p>
      <w:pPr>
        <w:ind w:left="1930" w:right="360" w:hanging="528"/>
        <w:spacing w:after="0" w:line="270" w:lineRule="auto"/>
        <w:tabs>
          <w:tab w:leader="none" w:pos="1930"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rank, prove or vote as a creditor of the other Borrower or its estate in competition with any Finance Party (or any trustee or agent on its behalf); or</w:t>
      </w:r>
    </w:p>
    <w:p>
      <w:pPr>
        <w:sectPr>
          <w:pgSz w:w="11900" w:h="16838" w:orient="portrait"/>
          <w:cols w:equalWidth="0" w:num="1">
            <w:col w:w="10730"/>
          </w:cols>
          <w:pgMar w:left="550" w:top="266" w:right="619" w:bottom="1440" w:gutter="0" w:footer="0" w:header="0"/>
        </w:sectPr>
      </w:pPr>
    </w:p>
    <w:p>
      <w:pPr>
        <w:spacing w:after="0" w:line="76" w:lineRule="exact"/>
        <w:rPr>
          <w:sz w:val="20"/>
          <w:szCs w:val="20"/>
          <w:color w:val="auto"/>
        </w:rPr>
      </w:pPr>
    </w:p>
    <w:p>
      <w:pPr>
        <w:ind w:left="1410"/>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8"/>
          <w:szCs w:val="18"/>
          <w:color w:val="auto"/>
        </w:rPr>
        <w:t>receive, claim or have the benefit of any payment, distribution or security from or on account of the other Borrower, or exercise any right of set-off as against the other Borrower.</w:t>
      </w:r>
    </w:p>
    <w:p>
      <w:pPr>
        <w:spacing w:after="0" w:line="76" w:lineRule="exact"/>
        <w:rPr>
          <w:sz w:val="20"/>
          <w:szCs w:val="20"/>
          <w:color w:val="auto"/>
        </w:rPr>
      </w:pPr>
    </w:p>
    <w:p>
      <w:pPr>
        <w:sectPr>
          <w:pgSz w:w="11900" w:h="16838" w:orient="portrait"/>
          <w:cols w:equalWidth="0" w:num="2">
            <w:col w:w="1610" w:space="320"/>
            <w:col w:w="8800"/>
          </w:cols>
          <w:pgMar w:left="550" w:top="266" w:right="619" w:bottom="1440" w:gutter="0" w:footer="0" w:header="0"/>
          <w:type w:val="continuous"/>
        </w:sectPr>
      </w:pPr>
    </w:p>
    <w:p>
      <w:pPr>
        <w:ind w:left="1050" w:right="80" w:hanging="626"/>
        <w:spacing w:after="0" w:line="258" w:lineRule="auto"/>
        <w:tabs>
          <w:tab w:leader="none" w:pos="1050" w:val="left"/>
        </w:tabs>
        <w:numPr>
          <w:ilvl w:val="1"/>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must each hold in trust for and immediately pay or transfer to the Agent for the Finance Parties any payment or distribution or benefit of security received by it contrary to any of the Finance Documents or in accordance with any directions given by the Agent under this Clause 2.4.</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security</w:t>
      </w:r>
    </w:p>
    <w:p>
      <w:pPr>
        <w:spacing w:after="0" w:line="110" w:lineRule="exact"/>
        <w:rPr>
          <w:rFonts w:ascii="Times New Roman" w:cs="Times New Roman" w:eastAsia="Times New Roman" w:hAnsi="Times New Roman"/>
          <w:sz w:val="18"/>
          <w:szCs w:val="18"/>
          <w:color w:val="auto"/>
        </w:rPr>
      </w:pPr>
    </w:p>
    <w:p>
      <w:pPr>
        <w:ind w:left="43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Borrowers as co-borrowers is in addition to and is not in any way prejudiced by any guarantee or security now or subsequently held by any Finance Party.</w:t>
      </w:r>
    </w:p>
    <w:p>
      <w:pPr>
        <w:spacing w:after="0" w:line="312" w:lineRule="exact"/>
        <w:rPr>
          <w:sz w:val="20"/>
          <w:szCs w:val="20"/>
          <w:color w:val="auto"/>
        </w:rPr>
      </w:pPr>
    </w:p>
    <w:p>
      <w:pPr>
        <w:ind w:left="430" w:hanging="430"/>
        <w:spacing w:after="0"/>
        <w:tabs>
          <w:tab w:leader="none" w:pos="430" w:val="left"/>
        </w:tabs>
        <w:numPr>
          <w:ilvl w:val="0"/>
          <w:numId w:val="7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123" w:lineRule="exact"/>
        <w:rPr>
          <w:rFonts w:ascii="Times New Roman" w:cs="Times New Roman" w:eastAsia="Times New Roman" w:hAnsi="Times New Roman"/>
          <w:sz w:val="18"/>
          <w:szCs w:val="18"/>
          <w:b w:val="1"/>
          <w:bCs w:val="1"/>
          <w:color w:val="auto"/>
        </w:rPr>
      </w:pPr>
    </w:p>
    <w:p>
      <w:pPr>
        <w:ind w:left="1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Purpose</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Borrower(s) shall ensure that all amounts borrowed by it under the Facility are applied towards:</w:t>
      </w:r>
    </w:p>
    <w:p>
      <w:pPr>
        <w:spacing w:after="0" w:line="123" w:lineRule="exact"/>
        <w:rPr>
          <w:rFonts w:ascii="Times New Roman" w:cs="Times New Roman" w:eastAsia="Times New Roman" w:hAnsi="Times New Roman"/>
          <w:sz w:val="18"/>
          <w:szCs w:val="18"/>
          <w:b w:val="1"/>
          <w:bCs w:val="1"/>
          <w:color w:val="auto"/>
        </w:rPr>
      </w:pPr>
    </w:p>
    <w:p>
      <w:pPr>
        <w:ind w:left="1050" w:right="120" w:hanging="626"/>
        <w:spacing w:after="0" w:line="258" w:lineRule="auto"/>
        <w:tabs>
          <w:tab w:leader="none" w:pos="1050" w:val="left"/>
        </w:tabs>
        <w:numPr>
          <w:ilvl w:val="1"/>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refinancing the Financial Indebtedness incurred by any Target Group Member under any Target Group Facility which is required to be refinanced by that Target Group Member after the Offer Closing Date as a consequence of the change of control of the Target pursuant to the Acquisition; and</w:t>
      </w:r>
    </w:p>
    <w:p>
      <w:pPr>
        <w:spacing w:after="0" w:line="85" w:lineRule="exact"/>
        <w:rPr>
          <w:rFonts w:ascii="Times New Roman" w:cs="Times New Roman" w:eastAsia="Times New Roman" w:hAnsi="Times New Roman"/>
          <w:sz w:val="18"/>
          <w:szCs w:val="18"/>
          <w:color w:val="auto"/>
        </w:rPr>
      </w:pPr>
    </w:p>
    <w:p>
      <w:pPr>
        <w:jc w:val="both"/>
        <w:ind w:left="1050" w:right="220" w:hanging="626"/>
        <w:spacing w:after="0" w:line="300" w:lineRule="auto"/>
        <w:tabs>
          <w:tab w:leader="none" w:pos="1050" w:val="left"/>
        </w:tabs>
        <w:numPr>
          <w:ilvl w:val="1"/>
          <w:numId w:val="7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fees, costs and expenses incurred by the Target or the applicable Target Group Member in connection with refinancing the Financial Indebtedness incurred by the applicable Target Group Member under any Target Group Facility referred to in paragraph (a),</w:t>
      </w:r>
    </w:p>
    <w:p>
      <w:pPr>
        <w:spacing w:after="0" w:line="40" w:lineRule="exact"/>
        <w:rPr>
          <w:sz w:val="20"/>
          <w:szCs w:val="20"/>
          <w:color w:val="auto"/>
        </w:rPr>
      </w:pPr>
    </w:p>
    <w:p>
      <w:pPr>
        <w:ind w:left="430" w:right="100"/>
        <w:spacing w:after="0" w:line="258" w:lineRule="auto"/>
        <w:rPr>
          <w:sz w:val="20"/>
          <w:szCs w:val="20"/>
          <w:color w:val="auto"/>
        </w:rPr>
      </w:pPr>
      <w:r>
        <w:rPr>
          <w:rFonts w:ascii="Times New Roman" w:cs="Times New Roman" w:eastAsia="Times New Roman" w:hAnsi="Times New Roman"/>
          <w:sz w:val="18"/>
          <w:szCs w:val="18"/>
          <w:color w:val="auto"/>
        </w:rPr>
        <w:t>provided, that in no case amounts borrowed under the Facility may be applied towards financing or refinancing any acquisition of shares in the Target (including via the Acquisition) or the payment of any fees, costs and/or expenses (including the Acquisition Costs) incurred in connection with any such acquisition.</w:t>
      </w:r>
    </w:p>
    <w:p>
      <w:pPr>
        <w:spacing w:after="0" w:line="8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Monitoring</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Finance Party is bound to monitor or verify the application of any amount borrowed pursuant to this Agreement.</w:t>
      </w:r>
    </w:p>
    <w:p>
      <w:pPr>
        <w:spacing w:after="0" w:line="359" w:lineRule="exact"/>
        <w:rPr>
          <w:sz w:val="20"/>
          <w:szCs w:val="20"/>
          <w:color w:val="auto"/>
        </w:rPr>
      </w:pPr>
    </w:p>
    <w:p>
      <w:pPr>
        <w:ind w:left="10" w:right="7680" w:hanging="10"/>
        <w:spacing w:after="0" w:line="406" w:lineRule="auto"/>
        <w:tabs>
          <w:tab w:leader="none" w:pos="433" w:val="left"/>
        </w:tabs>
        <w:numPr>
          <w:ilvl w:val="0"/>
          <w:numId w:val="7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UTILISATION 4.1 Initial conditions precedent</w:t>
      </w:r>
    </w:p>
    <w:p>
      <w:pPr>
        <w:spacing w:after="0" w:line="2" w:lineRule="exact"/>
        <w:rPr>
          <w:sz w:val="20"/>
          <w:szCs w:val="20"/>
          <w:color w:val="auto"/>
        </w:rPr>
      </w:pPr>
    </w:p>
    <w:p>
      <w:pPr>
        <w:ind w:left="430" w:right="40" w:hanging="430"/>
        <w:spacing w:after="0" w:line="253" w:lineRule="auto"/>
        <w:tabs>
          <w:tab w:leader="none" w:pos="43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deliver a Utilisation Request unless the Agent has received (or the Agent has waived the requirement to receive (acting on the instructions of the Majority Lenders)) all of the documents and other evidence listed in Part 1 (Conditions Precedent to Initial Utilisation) of Schedule 2 (Conditions Precedent) in form and substance satisfactory to the Agent (acting on the instructions of the Majority Lenders (acting reasonably)). The Agent shall notify the Borrower(s) and the Lenders promptly upon being so satisfied.</w:t>
      </w:r>
    </w:p>
    <w:p>
      <w:pPr>
        <w:spacing w:after="0" w:line="92" w:lineRule="exact"/>
        <w:rPr>
          <w:rFonts w:ascii="Times New Roman" w:cs="Times New Roman" w:eastAsia="Times New Roman" w:hAnsi="Times New Roman"/>
          <w:sz w:val="18"/>
          <w:szCs w:val="18"/>
          <w:color w:val="auto"/>
        </w:rPr>
      </w:pPr>
    </w:p>
    <w:p>
      <w:pPr>
        <w:ind w:left="430" w:right="60" w:hanging="430"/>
        <w:spacing w:after="0" w:line="258" w:lineRule="auto"/>
        <w:tabs>
          <w:tab w:leader="none" w:pos="430"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12"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30"/>
          </w:cols>
          <w:pgMar w:left="550" w:top="266" w:right="619" w:bottom="1440" w:gutter="0" w:footer="0" w:header="0"/>
          <w:type w:val="continuous"/>
        </w:sectPr>
      </w:pPr>
    </w:p>
    <w:bookmarkStart w:id="606" w:name="page607"/>
    <w:bookmarkEnd w:id="606"/>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7"/>
          <w:szCs w:val="17"/>
          <w:b w:val="1"/>
          <w:bCs w:val="1"/>
          <w:color w:val="auto"/>
        </w:rPr>
        <w:t>Further conditions precedent</w:t>
      </w:r>
    </w:p>
    <w:p>
      <w:pPr>
        <w:spacing w:after="0" w:line="112" w:lineRule="exact"/>
        <w:rPr>
          <w:sz w:val="20"/>
          <w:szCs w:val="20"/>
          <w:color w:val="auto"/>
        </w:rPr>
      </w:pPr>
    </w:p>
    <w:p>
      <w:pPr>
        <w:ind w:left="430" w:right="60"/>
        <w:spacing w:after="0" w:line="270" w:lineRule="auto"/>
        <w:rPr>
          <w:sz w:val="20"/>
          <w:szCs w:val="20"/>
          <w:color w:val="auto"/>
        </w:rPr>
      </w:pPr>
      <w:r>
        <w:rPr>
          <w:rFonts w:ascii="Times New Roman" w:cs="Times New Roman" w:eastAsia="Times New Roman" w:hAnsi="Times New Roman"/>
          <w:sz w:val="18"/>
          <w:szCs w:val="18"/>
          <w:color w:val="auto"/>
        </w:rPr>
        <w:t>The Lenders will only be obliged to comply with Clause 5.4 (Lenders’ participation) in relation to any Utilisation if, on the date of the Utilisation Request (relating to such Loan) and on the proposed Utilisation Date (for such Loan):</w:t>
      </w:r>
    </w:p>
    <w:p>
      <w:pPr>
        <w:spacing w:after="0" w:line="76" w:lineRule="exact"/>
        <w:rPr>
          <w:sz w:val="20"/>
          <w:szCs w:val="20"/>
          <w:color w:val="auto"/>
        </w:rPr>
      </w:pPr>
    </w:p>
    <w:p>
      <w:pPr>
        <w:ind w:left="1050" w:hanging="626"/>
        <w:spacing w:after="0"/>
        <w:tabs>
          <w:tab w:leader="none" w:pos="105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is continuing or would result from such proposed Loan;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Repeating Representations are true in all material respects (whether before or after giving effect to such proposed Loan).</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Maximum number of Loans</w:t>
      </w:r>
    </w:p>
    <w:p>
      <w:pPr>
        <w:spacing w:after="0" w:line="126" w:lineRule="exact"/>
        <w:rPr>
          <w:sz w:val="20"/>
          <w:szCs w:val="20"/>
          <w:color w:val="auto"/>
        </w:rPr>
      </w:pPr>
    </w:p>
    <w:p>
      <w:pPr>
        <w:ind w:left="430" w:right="340" w:hanging="430"/>
        <w:spacing w:after="0" w:line="270" w:lineRule="auto"/>
        <w:tabs>
          <w:tab w:leader="none" w:pos="430"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not deliver a Utilisation Request if as a result of the proposed Utilisation, more than ten (10) Utilisations of the Facility would have occurred.</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not request that any Loan be divided.</w:t>
      </w:r>
    </w:p>
    <w:p>
      <w:pPr>
        <w:spacing w:after="0" w:line="359" w:lineRule="exact"/>
        <w:rPr>
          <w:sz w:val="20"/>
          <w:szCs w:val="20"/>
          <w:color w:val="auto"/>
        </w:rPr>
      </w:pPr>
    </w:p>
    <w:p>
      <w:pPr>
        <w:ind w:left="430" w:hanging="430"/>
        <w:spacing w:after="0"/>
        <w:tabs>
          <w:tab w:leader="none" w:pos="430" w:val="left"/>
        </w:tabs>
        <w:numPr>
          <w:ilvl w:val="0"/>
          <w:numId w:val="7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UTILISATION</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Delivery of a Utilisation Request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Borrower(s) may utilise the Facility by delivery to the Agent of a duly completed Utilisation Request not later than the Specified Time.</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Completion of a Utilisation Request</w:t>
      </w:r>
    </w:p>
    <w:p>
      <w:pPr>
        <w:spacing w:after="0" w:line="126" w:lineRule="exact"/>
        <w:rPr>
          <w:sz w:val="20"/>
          <w:szCs w:val="20"/>
          <w:color w:val="auto"/>
        </w:rPr>
      </w:pPr>
    </w:p>
    <w:p>
      <w:pPr>
        <w:ind w:left="430" w:hanging="430"/>
        <w:spacing w:after="0"/>
        <w:tabs>
          <w:tab w:leader="none" w:pos="430"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Utilisation Request for a Loan is irrevocable and will not be regarded as having been duly completed unless: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a Business Day within the Availability Period;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Utilisation Date is not a Syndication Date;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and amount of such Loan comply with Clause 5.3 (Currency and amount);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first Interest Period complies with Clause 9 (Interest Periods);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Agreement (Facility A) Initial Utilisation Date has occurred;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Closing Date has occurred.</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Loan may be requested in each Utilisation Request.</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Currency and amount</w:t>
      </w:r>
    </w:p>
    <w:p>
      <w:pPr>
        <w:spacing w:after="0" w:line="126" w:lineRule="exact"/>
        <w:rPr>
          <w:sz w:val="20"/>
          <w:szCs w:val="20"/>
          <w:color w:val="auto"/>
        </w:rPr>
      </w:pPr>
    </w:p>
    <w:p>
      <w:pPr>
        <w:ind w:left="430" w:hanging="430"/>
        <w:spacing w:after="0"/>
        <w:tabs>
          <w:tab w:leader="none" w:pos="430"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specified in a Utilisation Request must be euro.</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the proposed Loan specified in a Utilisation Request must be an amount which does not exceed the Available Facility and which is</w:t>
      </w:r>
    </w:p>
    <w:p>
      <w:pPr>
        <w:spacing w:after="0" w:line="33" w:lineRule="exact"/>
        <w:rPr>
          <w:rFonts w:ascii="Times New Roman" w:cs="Times New Roman" w:eastAsia="Times New Roman" w:hAnsi="Times New Roman"/>
          <w:sz w:val="17"/>
          <w:szCs w:val="17"/>
          <w:color w:val="auto"/>
        </w:rPr>
      </w:pP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 minimum of EUR50,000,000 and an integral multiple of EUR10,000,000, or (ii) if less, the Available Facility.</w:t>
      </w:r>
    </w:p>
    <w:p>
      <w:pPr>
        <w:spacing w:after="0" w:line="10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Lenders’ participation</w:t>
      </w:r>
    </w:p>
    <w:p>
      <w:pPr>
        <w:spacing w:after="0" w:line="126" w:lineRule="exact"/>
        <w:rPr>
          <w:sz w:val="20"/>
          <w:szCs w:val="20"/>
          <w:color w:val="auto"/>
        </w:rPr>
      </w:pPr>
    </w:p>
    <w:p>
      <w:pPr>
        <w:ind w:left="430" w:right="300" w:hanging="430"/>
        <w:spacing w:after="0" w:line="270" w:lineRule="auto"/>
        <w:tabs>
          <w:tab w:leader="none" w:pos="43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conditions set out in this Agreement have been met and subject to Clause 7.1 (Illegality) and Clause 7.5 (Change of Control), each Lender shall make its participation in each Loan available by the Utilisation Date for such Loan through its Facility Office.</w:t>
      </w:r>
    </w:p>
    <w:p>
      <w:pPr>
        <w:spacing w:after="0" w:line="76" w:lineRule="exact"/>
        <w:rPr>
          <w:rFonts w:ascii="Times New Roman" w:cs="Times New Roman" w:eastAsia="Times New Roman" w:hAnsi="Times New Roman"/>
          <w:sz w:val="18"/>
          <w:szCs w:val="18"/>
          <w:color w:val="auto"/>
        </w:rPr>
      </w:pPr>
    </w:p>
    <w:p>
      <w:pPr>
        <w:ind w:left="430" w:hanging="430"/>
        <w:spacing w:after="0" w:line="270" w:lineRule="auto"/>
        <w:tabs>
          <w:tab w:leader="none" w:pos="43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Lender’s participation in each Loan under the Facility will be equal to a proportion of such Loan, such proportion being equal to the proportion borne by such Lender’s Available Commitment to the Available Facility immediately prior to making such Loan.</w:t>
      </w:r>
    </w:p>
    <w:p>
      <w:pPr>
        <w:spacing w:after="0" w:line="76"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each Lender of the amount of each Loan and the amount of its participation in that Loan in each case by the Specified Time.</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Cancellation of Available Facility</w:t>
      </w:r>
    </w:p>
    <w:p>
      <w:pPr>
        <w:spacing w:after="0" w:line="112" w:lineRule="exact"/>
        <w:rPr>
          <w:sz w:val="20"/>
          <w:szCs w:val="20"/>
          <w:color w:val="auto"/>
        </w:rPr>
      </w:pPr>
    </w:p>
    <w:p>
      <w:pPr>
        <w:ind w:left="430" w:right="320"/>
        <w:spacing w:after="0" w:line="270" w:lineRule="auto"/>
        <w:rPr>
          <w:sz w:val="20"/>
          <w:szCs w:val="20"/>
          <w:color w:val="auto"/>
        </w:rPr>
      </w:pPr>
      <w:r>
        <w:rPr>
          <w:rFonts w:ascii="Times New Roman" w:cs="Times New Roman" w:eastAsia="Times New Roman" w:hAnsi="Times New Roman"/>
          <w:sz w:val="18"/>
          <w:szCs w:val="18"/>
          <w:color w:val="auto"/>
        </w:rPr>
        <w:t>The Commitments which, at that time, are unutilised (being, in respect of each Lender, the amount by which the Commitment of such Lender exceeds its aggregate participation in the Loans) shall be immediately cancelled at 5pm on the last day of the Availability Period.</w:t>
      </w:r>
    </w:p>
    <w:p>
      <w:pPr>
        <w:spacing w:after="0" w:line="10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30"/>
          </w:cols>
          <w:pgMar w:left="550" w:top="264" w:right="619" w:bottom="1440" w:gutter="0" w:footer="0" w:header="0"/>
        </w:sectPr>
      </w:pPr>
    </w:p>
    <w:bookmarkStart w:id="607" w:name="page608"/>
    <w:bookmarkEnd w:id="607"/>
    <w:p>
      <w:pPr>
        <w:ind w:left="430" w:hanging="430"/>
        <w:spacing w:after="0"/>
        <w:tabs>
          <w:tab w:leader="none" w:pos="430" w:val="left"/>
        </w:tabs>
        <w:numPr>
          <w:ilvl w:val="0"/>
          <w:numId w:val="7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REPAYMENT</w:t>
      </w:r>
    </w:p>
    <w:p>
      <w:pPr>
        <w:spacing w:after="0" w:line="126" w:lineRule="exact"/>
        <w:rPr>
          <w:sz w:val="20"/>
          <w:szCs w:val="20"/>
          <w:color w:val="auto"/>
        </w:rPr>
      </w:pPr>
    </w:p>
    <w:p>
      <w:pPr>
        <w:ind w:left="430" w:hanging="430"/>
        <w:spacing w:after="0"/>
        <w:tabs>
          <w:tab w:leader="none" w:pos="430"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repay each Loan in full on the Final Maturity Date.</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not re-borrow any part of the Facility which is repaid.</w:t>
      </w:r>
    </w:p>
    <w:p>
      <w:pPr>
        <w:spacing w:after="0" w:line="359" w:lineRule="exact"/>
        <w:rPr>
          <w:sz w:val="20"/>
          <w:szCs w:val="20"/>
          <w:color w:val="auto"/>
        </w:rPr>
      </w:pPr>
    </w:p>
    <w:p>
      <w:pPr>
        <w:ind w:left="10" w:right="7260" w:hanging="10"/>
        <w:spacing w:after="0" w:line="376" w:lineRule="auto"/>
        <w:tabs>
          <w:tab w:leader="none" w:pos="433" w:val="left"/>
        </w:tabs>
        <w:numPr>
          <w:ilvl w:val="0"/>
          <w:numId w:val="7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 AND CANCELLATION 7.1 Illegality</w:t>
      </w:r>
    </w:p>
    <w:p>
      <w:pPr>
        <w:spacing w:after="0" w:line="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If, at any time, it is or will become unlawful in any applicable jurisdiction for a Lender to perform any of its obligations as contemplated by this</w:t>
      </w:r>
    </w:p>
    <w:p>
      <w:pPr>
        <w:spacing w:after="0" w:line="2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Agreement or to fund or maintain its participation in any Loan or any part thereof:</w:t>
      </w:r>
    </w:p>
    <w:p>
      <w:pPr>
        <w:spacing w:after="0" w:line="106" w:lineRule="exact"/>
        <w:rPr>
          <w:sz w:val="20"/>
          <w:szCs w:val="20"/>
          <w:color w:val="auto"/>
        </w:rPr>
      </w:pPr>
    </w:p>
    <w:p>
      <w:pPr>
        <w:ind w:left="1050" w:hanging="626"/>
        <w:spacing w:after="0" w:line="270" w:lineRule="auto"/>
        <w:tabs>
          <w:tab w:leader="none" w:pos="1050"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Lender shall promptly notify the Agent upon becoming aware of that event and the Agent shall promptly notify the Borrower(s) upon the receipt of such notification from that Lender;</w:t>
      </w:r>
    </w:p>
    <w:p>
      <w:pPr>
        <w:spacing w:after="0" w:line="76" w:lineRule="exact"/>
        <w:rPr>
          <w:rFonts w:ascii="Times New Roman" w:cs="Times New Roman" w:eastAsia="Times New Roman" w:hAnsi="Times New Roman"/>
          <w:sz w:val="18"/>
          <w:szCs w:val="18"/>
          <w:color w:val="auto"/>
        </w:rPr>
      </w:pPr>
    </w:p>
    <w:p>
      <w:pPr>
        <w:ind w:left="1050" w:right="60" w:hanging="626"/>
        <w:spacing w:after="0" w:line="258" w:lineRule="auto"/>
        <w:tabs>
          <w:tab w:leader="none" w:pos="1050"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Agent notifying the Borrower(s), the Available Commitment of that Lender will be immediately cancelled and reduced to zero and the Commitment of that Lender shall be reduced by the amount of the Available Commitment so cancelled (and that Lender shall not be obliged to participate in the making of any Loan); and</w:t>
      </w:r>
    </w:p>
    <w:p>
      <w:pPr>
        <w:spacing w:after="0" w:line="85" w:lineRule="exact"/>
        <w:rPr>
          <w:rFonts w:ascii="Times New Roman" w:cs="Times New Roman" w:eastAsia="Times New Roman" w:hAnsi="Times New Roman"/>
          <w:sz w:val="18"/>
          <w:szCs w:val="18"/>
          <w:color w:val="auto"/>
        </w:rPr>
      </w:pPr>
    </w:p>
    <w:p>
      <w:pPr>
        <w:ind w:left="1050" w:hanging="626"/>
        <w:spacing w:after="0" w:line="250" w:lineRule="auto"/>
        <w:tabs>
          <w:tab w:leader="none" w:pos="1050"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that Lender’s participation in each Loan has not been transferred to another person pursuant to Clause 7.4 (Right of repayment and cancellation in relation to a single Lender), the Borrower(s) shall repay that Lender’s participation in each Loan on the last day of the Interest Period for such Loan occurring after the Agent has notified the Borrower(s) or, if earlier, the date specified by that Lender in the notice delivered to the Agent (being no earlier than the last day of any applicable grace period permitted by law). Upon such prepayment of that Lender’s participation in any Loan, the Commitment of that Lender shall be cancelled and reduced by the amount of such prepayment.</w:t>
      </w:r>
    </w:p>
    <w:p>
      <w:pPr>
        <w:spacing w:after="0" w:line="9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7"/>
          <w:szCs w:val="17"/>
          <w:b w:val="1"/>
          <w:bCs w:val="1"/>
          <w:color w:val="auto"/>
        </w:rPr>
        <w:t>Voluntary cancellation</w:t>
      </w:r>
    </w:p>
    <w:p>
      <w:pPr>
        <w:spacing w:after="0" w:line="126" w:lineRule="exact"/>
        <w:rPr>
          <w:sz w:val="20"/>
          <w:szCs w:val="20"/>
          <w:color w:val="auto"/>
        </w:rPr>
      </w:pPr>
    </w:p>
    <w:p>
      <w:pPr>
        <w:ind w:left="430" w:right="80" w:hanging="430"/>
        <w:spacing w:after="0" w:line="258" w:lineRule="auto"/>
        <w:tabs>
          <w:tab w:leader="none" w:pos="43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if it gives the Agent not less than three (3) Business Days’ (or such shorter period as the Majority Lenders may agree) prior notice, reduce the Available Facility to zero or by such amount (being a minimum amount of EUR50,000,000 and an integral multiple of EUR10,000,000) as the Borrower(s) may specify in such notice.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reduction of the Available Facility under this Clause 7.2 shall reduce the Commitments of the Lenders rateably.</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b w:val="1"/>
          <w:bCs w:val="1"/>
          <w:color w:val="auto"/>
        </w:rPr>
        <w:t>Voluntary prepayment</w:t>
      </w:r>
    </w:p>
    <w:p>
      <w:pPr>
        <w:spacing w:after="0" w:line="126" w:lineRule="exact"/>
        <w:rPr>
          <w:sz w:val="20"/>
          <w:szCs w:val="20"/>
          <w:color w:val="auto"/>
        </w:rPr>
      </w:pPr>
    </w:p>
    <w:p>
      <w:pPr>
        <w:jc w:val="both"/>
        <w:ind w:left="430" w:right="20" w:hanging="430"/>
        <w:spacing w:after="0" w:line="258" w:lineRule="auto"/>
        <w:tabs>
          <w:tab w:leader="none" w:pos="43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may, if it gives the Agent not less than three (3) Business Days’ prior notice in writing, prepay the whole or any part of any Loan,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in the case of any prepayment of any Loan in part, the amount of such prepayment reduces the amount of such Loan by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is (i) not less than EUR50,000,000 and (ii) if in excess of EUR50,000,000, an integral multiple of EUR10,000,000.</w:t>
      </w:r>
    </w:p>
    <w:p>
      <w:pPr>
        <w:spacing w:after="0" w:line="85" w:lineRule="exact"/>
        <w:rPr>
          <w:rFonts w:ascii="Times New Roman" w:cs="Times New Roman" w:eastAsia="Times New Roman" w:hAnsi="Times New Roman"/>
          <w:sz w:val="18"/>
          <w:szCs w:val="18"/>
          <w:color w:val="auto"/>
        </w:rPr>
      </w:pPr>
    </w:p>
    <w:p>
      <w:pPr>
        <w:ind w:left="430" w:right="580" w:hanging="430"/>
        <w:spacing w:after="0" w:line="270" w:lineRule="auto"/>
        <w:tabs>
          <w:tab w:leader="none" w:pos="430"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Loan may only be prepaid under this Clause 7.3 after the last day of the Availability Period (or, if earlier, the day on which the Available Facility is zero).</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Right of repayment and cancellation in relation to a single Lender</w:t>
      </w:r>
    </w:p>
    <w:p>
      <w:pPr>
        <w:spacing w:after="0" w:line="126" w:lineRule="exact"/>
        <w:rPr>
          <w:sz w:val="20"/>
          <w:szCs w:val="20"/>
          <w:color w:val="auto"/>
        </w:rPr>
      </w:pPr>
    </w:p>
    <w:p>
      <w:pPr>
        <w:ind w:left="430" w:hanging="430"/>
        <w:spacing w:after="0"/>
        <w:tabs>
          <w:tab w:leader="none" w:pos="430"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Clause 12.2 (Tax gross-up);</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an Obligor under Clause 12.3 (Tax indemnity) or Clause 13 (Increased Costs);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 Defaulting Lender,</w:t>
      </w:r>
    </w:p>
    <w:p>
      <w:pPr>
        <w:spacing w:after="0" w:line="110" w:lineRule="exact"/>
        <w:rPr>
          <w:sz w:val="20"/>
          <w:szCs w:val="20"/>
          <w:color w:val="auto"/>
        </w:rPr>
      </w:pPr>
    </w:p>
    <w:p>
      <w:pPr>
        <w:ind w:left="430" w:right="40"/>
        <w:spacing w:after="0" w:line="253" w:lineRule="auto"/>
        <w:rPr>
          <w:sz w:val="20"/>
          <w:szCs w:val="20"/>
          <w:color w:val="auto"/>
        </w:rPr>
      </w:pPr>
      <w:r>
        <w:rPr>
          <w:rFonts w:ascii="Times New Roman" w:cs="Times New Roman" w:eastAsia="Times New Roman" w:hAnsi="Times New Roman"/>
          <w:sz w:val="18"/>
          <w:szCs w:val="18"/>
          <w:color w:val="auto"/>
        </w:rPr>
        <w:t xml:space="preserve">the Borrower(s) may, whilst (in the case of paragraph (i)) the circumstance giving rise to such requirement continues (in the case of paragraph (ii)) the circumstance giving rise to such indemnification continues or (in the case of paragraph (iii)) such Lender continues to be a Defaulting Lender, give the Agent and that Lender written notice of its intention to procure the repayment of that Lender’s participation (if any) in the Loans and the cancellation of the Commitment of that Lender (a </w:t>
      </w:r>
      <w:r>
        <w:rPr>
          <w:rFonts w:ascii="Times New Roman" w:cs="Times New Roman" w:eastAsia="Times New Roman" w:hAnsi="Times New Roman"/>
          <w:sz w:val="18"/>
          <w:szCs w:val="18"/>
          <w:b w:val="1"/>
          <w:bCs w:val="1"/>
          <w:color w:val="auto"/>
        </w:rPr>
        <w:t>Cancellation Notice</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430" w:right="120" w:hanging="430"/>
        <w:spacing w:after="0" w:line="258" w:lineRule="auto"/>
        <w:tabs>
          <w:tab w:leader="none" w:pos="430"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receipt of a Cancellation Notice referred to in paragraph (a) above in respect of any Lender, the Available Commitment of that Lender shall immediately be cancelled and reduced to zero (and the Commitment of that Lender shall be reduced by the amount of the Available Commitment so cancelled).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90"/>
          </w:cols>
          <w:pgMar w:left="550" w:top="264" w:right="559" w:bottom="1440" w:gutter="0" w:footer="0" w:header="0"/>
        </w:sectPr>
      </w:pPr>
    </w:p>
    <w:bookmarkStart w:id="608" w:name="page609"/>
    <w:bookmarkEnd w:id="608"/>
    <w:p>
      <w:pPr>
        <w:ind w:left="430" w:hanging="430"/>
        <w:spacing w:after="0"/>
        <w:tabs>
          <w:tab w:leader="none" w:pos="43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On the last day of each Interest Period relating to any Loan which ends after the Borrower(s) has given a Cancellation Notice under paragraph</w:t>
      </w:r>
    </w:p>
    <w:p>
      <w:pPr>
        <w:spacing w:after="0" w:line="22" w:lineRule="exact"/>
        <w:rPr>
          <w:rFonts w:ascii="Times New Roman" w:cs="Times New Roman" w:eastAsia="Times New Roman" w:hAnsi="Times New Roman"/>
          <w:sz w:val="18"/>
          <w:szCs w:val="18"/>
          <w:color w:val="auto"/>
        </w:rPr>
      </w:pPr>
    </w:p>
    <w:p>
      <w:pPr>
        <w:ind w:left="430" w:right="40" w:hanging="6"/>
        <w:spacing w:after="0" w:line="246" w:lineRule="auto"/>
        <w:tabs>
          <w:tab w:leader="none" w:pos="669"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respect of any Lender (or, if earlier, the date specified by the Borrower(s) in that notice), the Borrower(s) shall repay that Lender’s participation (if any) in that Loan (for the avoidance of doubt, together with all accrued interest on that Loan and all other amounts owing or payable to such Lender under the Finance Documents). Upon such prepayment of that Lender’s participation in any Loan, the Commitment of that Lender shall be reduced by the amount of such prepayment.</w:t>
      </w:r>
    </w:p>
    <w:p>
      <w:pPr>
        <w:spacing w:after="0" w:line="98"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payable to any Lender by an Obligor is required to be increased under Clause 12.2 (Tax gross-up);</w:t>
      </w:r>
    </w:p>
    <w:p>
      <w:pPr>
        <w:spacing w:after="0" w:line="124" w:lineRule="exact"/>
        <w:rPr>
          <w:sz w:val="20"/>
          <w:szCs w:val="20"/>
          <w:color w:val="auto"/>
        </w:rPr>
      </w:pPr>
    </w:p>
    <w:p>
      <w:pPr>
        <w:ind w:left="1050" w:hanging="626"/>
        <w:spacing w:after="0"/>
        <w:tabs>
          <w:tab w:leader="none" w:pos="105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claims indemnification from an Obligor under Clause 12.3 (Tax indemnity) or Clause 13 (Increased Costs);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becomes obliged to repay any Loan in accordance with Clause 7.1 (Illegality);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 Non-Consenting Lender (as defined in paragraph (f) below);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becomes and continues to be a Defaulting Lender,</w:t>
      </w:r>
    </w:p>
    <w:p>
      <w:pPr>
        <w:spacing w:after="0" w:line="110" w:lineRule="exact"/>
        <w:rPr>
          <w:sz w:val="20"/>
          <w:szCs w:val="20"/>
          <w:color w:val="auto"/>
        </w:rPr>
      </w:pPr>
    </w:p>
    <w:p>
      <w:pPr>
        <w:ind w:left="430" w:right="40"/>
        <w:spacing w:after="0" w:line="261" w:lineRule="auto"/>
        <w:rPr>
          <w:sz w:val="20"/>
          <w:szCs w:val="20"/>
          <w:color w:val="auto"/>
        </w:rPr>
      </w:pPr>
      <w:r>
        <w:rPr>
          <w:rFonts w:ascii="Times New Roman" w:cs="Times New Roman" w:eastAsia="Times New Roman" w:hAnsi="Times New Roman"/>
          <w:sz w:val="17"/>
          <w:szCs w:val="17"/>
          <w:color w:val="auto"/>
        </w:rPr>
        <w:t xml:space="preserve">the Borrower(s) may, on not less than five (5) Business Days’ prior written notice to the Agent and that Lender of its intention to replace that Lender (a </w:t>
      </w:r>
      <w:r>
        <w:rPr>
          <w:rFonts w:ascii="Times New Roman" w:cs="Times New Roman" w:eastAsia="Times New Roman" w:hAnsi="Times New Roman"/>
          <w:sz w:val="17"/>
          <w:szCs w:val="17"/>
          <w:b w:val="1"/>
          <w:bCs w:val="1"/>
          <w:color w:val="auto"/>
        </w:rPr>
        <w:t>Replacement Notice</w:t>
      </w:r>
      <w:r>
        <w:rPr>
          <w:rFonts w:ascii="Times New Roman" w:cs="Times New Roman" w:eastAsia="Times New Roman" w:hAnsi="Times New Roman"/>
          <w:sz w:val="17"/>
          <w:szCs w:val="17"/>
          <w:color w:val="auto"/>
        </w:rPr>
        <w:t xml:space="preserve">), replace that Lender (a </w:t>
      </w:r>
      <w:r>
        <w:rPr>
          <w:rFonts w:ascii="Times New Roman" w:cs="Times New Roman" w:eastAsia="Times New Roman" w:hAnsi="Times New Roman"/>
          <w:sz w:val="17"/>
          <w:szCs w:val="17"/>
          <w:b w:val="1"/>
          <w:bCs w:val="1"/>
          <w:color w:val="auto"/>
        </w:rPr>
        <w:t>Replaced Lender</w:t>
      </w:r>
      <w:r>
        <w:rPr>
          <w:rFonts w:ascii="Times New Roman" w:cs="Times New Roman" w:eastAsia="Times New Roman" w:hAnsi="Times New Roman"/>
          <w:sz w:val="17"/>
          <w:szCs w:val="17"/>
          <w:color w:val="auto"/>
        </w:rPr>
        <w:t xml:space="preserve">) by requiring such Replaced Lender to (and, to the extent permitted by law, such Replaced Lender shall) transfer pursuant to Clause 23 (Changes to the Lenders) all (and not part only) of its rights and obligations under this Agreement to a Lender or any other bank, financial institution, trust fund or other entity selected by the Borrower(s) (which satisfies the criteria for a Lender under Clause 23.1 (Assignments and transfers by the Lenders) and does not contravene Clause 35 (Restrictions on Debt Purchase Transactions)) (a </w:t>
      </w:r>
      <w:r>
        <w:rPr>
          <w:rFonts w:ascii="Times New Roman" w:cs="Times New Roman" w:eastAsia="Times New Roman" w:hAnsi="Times New Roman"/>
          <w:sz w:val="17"/>
          <w:szCs w:val="17"/>
          <w:b w:val="1"/>
          <w:bCs w:val="1"/>
          <w:color w:val="auto"/>
        </w:rPr>
        <w:t>Replacement Lender</w:t>
      </w:r>
      <w:r>
        <w:rPr>
          <w:rFonts w:ascii="Times New Roman" w:cs="Times New Roman" w:eastAsia="Times New Roman" w:hAnsi="Times New Roman"/>
          <w:sz w:val="17"/>
          <w:szCs w:val="17"/>
          <w:color w:val="auto"/>
        </w:rPr>
        <w:t>) which confirms (x) its willingness to assume and does assume all the obligations of such Replaced Lender in accordance with Clause 23 (Changes to the Lenders) for a purchase price in cash payable, free and clear from any and all withholdings and deductions, at the time of such transfer equal to the sum of (and in the currency of) (A) the aggregate outstanding principal amount of such Replaced Lender’s participation in each of the outstanding Loans, (B) all accrued interest (whether or not due) thereon, (C) any Break Costs that would have been payable to such Replaced Lender had such Replaced Lender received payment of its participation in each of the Loans and accrued interest thereon and other sums payable under the Finance Documents from the Obligors on the date of such transfer and</w:t>
      </w:r>
    </w:p>
    <w:p>
      <w:pPr>
        <w:spacing w:after="0" w:line="6" w:lineRule="exact"/>
        <w:rPr>
          <w:sz w:val="20"/>
          <w:szCs w:val="20"/>
          <w:color w:val="auto"/>
        </w:rPr>
      </w:pPr>
    </w:p>
    <w:p>
      <w:pPr>
        <w:ind w:left="430"/>
        <w:spacing w:after="0" w:line="247" w:lineRule="auto"/>
        <w:rPr>
          <w:sz w:val="20"/>
          <w:szCs w:val="20"/>
          <w:color w:val="auto"/>
        </w:rPr>
      </w:pPr>
      <w:r>
        <w:rPr>
          <w:rFonts w:ascii="Times New Roman" w:cs="Times New Roman" w:eastAsia="Times New Roman" w:hAnsi="Times New Roman"/>
          <w:sz w:val="18"/>
          <w:szCs w:val="18"/>
          <w:color w:val="auto"/>
        </w:rPr>
        <w:t>(D) all other amounts owing or payable to such Replaced Lender under the Finance Documents, and (y) (in the case where such Replaced Lender is a Non-Consenting Lender) its consent to the waiver or amendment (that is the subject of the applicable Non-Consenting Event which constitutes such Replaced Lender as a Non-Consenting Lender).</w:t>
      </w:r>
    </w:p>
    <w:p>
      <w:pPr>
        <w:spacing w:after="0" w:line="96" w:lineRule="exact"/>
        <w:rPr>
          <w:sz w:val="20"/>
          <w:szCs w:val="20"/>
          <w:color w:val="auto"/>
        </w:rPr>
      </w:pPr>
    </w:p>
    <w:p>
      <w:pPr>
        <w:ind w:left="430" w:right="220" w:hanging="430"/>
        <w:spacing w:after="0" w:line="270" w:lineRule="auto"/>
        <w:tabs>
          <w:tab w:leader="none" w:pos="430"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replacement of a Replaced Lender and the transfer of rights and obligations of such Replaced Lender to the applicable Replacement Lender pursuant to paragraph (d) above shall be subject to the following conditions: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have no right to replace the Agent;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Finance Parties (including without limitation such Replaced Lender) shall have any obligation to find a Replacement Lender;</w:t>
      </w:r>
    </w:p>
    <w:p>
      <w:pPr>
        <w:spacing w:after="0" w:line="135" w:lineRule="exact"/>
        <w:rPr>
          <w:rFonts w:ascii="Times New Roman" w:cs="Times New Roman" w:eastAsia="Times New Roman" w:hAnsi="Times New Roman"/>
          <w:sz w:val="17"/>
          <w:szCs w:val="17"/>
          <w:color w:val="auto"/>
        </w:rPr>
      </w:pPr>
    </w:p>
    <w:p>
      <w:pPr>
        <w:ind w:left="1050" w:right="20" w:hanging="626"/>
        <w:spacing w:after="0" w:line="253" w:lineRule="auto"/>
        <w:tabs>
          <w:tab w:leader="none" w:pos="1050"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such Replaced Lender be required to pay, account for or surrender to such Replacement Lender for any amount (including without limitation any fees) received or recovered by such Replaced Lender pursuant to the Finance Documents prior to or in respect of any time prior to such transfer (except if any portion of such recovered amount is attributable to any amount receivable by such Replacement Lender after the date of such transfer from such Replaced Lender to such Replacement Lender);</w:t>
      </w:r>
    </w:p>
    <w:p>
      <w:pPr>
        <w:spacing w:after="0" w:line="92" w:lineRule="exact"/>
        <w:rPr>
          <w:rFonts w:ascii="Times New Roman" w:cs="Times New Roman" w:eastAsia="Times New Roman" w:hAnsi="Times New Roman"/>
          <w:sz w:val="18"/>
          <w:szCs w:val="18"/>
          <w:color w:val="auto"/>
        </w:rPr>
      </w:pPr>
    </w:p>
    <w:p>
      <w:pPr>
        <w:ind w:left="1050" w:right="40" w:hanging="626"/>
        <w:spacing w:after="0" w:line="251" w:lineRule="auto"/>
        <w:tabs>
          <w:tab w:leader="none" w:pos="1050"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Replaced Lender shall not be obliged to make such transfer or execute any Transfer Certificate in respect of such transfer unless it is satisfied (acting reasonably) that it has completed all “know your customer” and other similar procedures that it is required to conduct in relation to such transfer to such Replacement Lender (and the Replaced Lender shall perform such procedures as soon as reasonably practicable following delivery of a Replacement Notice to it in respect of such transfer and shall notify the Agent and the Borrower(s) when it is satisfied that it has completed such procedures);</w:t>
      </w:r>
    </w:p>
    <w:p>
      <w:pPr>
        <w:spacing w:after="0" w:line="94" w:lineRule="exact"/>
        <w:rPr>
          <w:rFonts w:ascii="Times New Roman" w:cs="Times New Roman" w:eastAsia="Times New Roman" w:hAnsi="Times New Roman"/>
          <w:sz w:val="18"/>
          <w:szCs w:val="18"/>
          <w:color w:val="auto"/>
        </w:rPr>
      </w:pPr>
    </w:p>
    <w:p>
      <w:pPr>
        <w:ind w:left="1050" w:right="120" w:hanging="626"/>
        <w:spacing w:after="0" w:line="258" w:lineRule="auto"/>
        <w:tabs>
          <w:tab w:leader="none" w:pos="1050"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Replaced Lender shall not be required to make any such transfer to the extent that such transfer is, or would be reasonably likely to result, in breach of or non-compliance with any applicable law or regulation, or any rules or regulations of any applicable securities exchange applicable to such Replaced Lender or such Replacement Lender; and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90"/>
          </w:cols>
          <w:pgMar w:left="550" w:top="266" w:right="559" w:bottom="1440" w:gutter="0" w:footer="0" w:header="0"/>
        </w:sectPr>
      </w:pPr>
    </w:p>
    <w:bookmarkStart w:id="609" w:name="page610"/>
    <w:bookmarkEnd w:id="609"/>
    <w:p>
      <w:pPr>
        <w:ind w:left="1050" w:hanging="626"/>
        <w:spacing w:after="0"/>
        <w:tabs>
          <w:tab w:leader="none" w:pos="1050" w:val="left"/>
        </w:tabs>
        <w:numPr>
          <w:ilvl w:val="1"/>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7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such Replaced Lender shall only be obliged to make such transfer if:</w:t>
      </w:r>
    </w:p>
    <w:p>
      <w:pPr>
        <w:spacing w:after="0" w:line="123" w:lineRule="exact"/>
        <w:rPr>
          <w:rFonts w:ascii="Times New Roman" w:cs="Times New Roman" w:eastAsia="Times New Roman" w:hAnsi="Times New Roman"/>
          <w:sz w:val="18"/>
          <w:szCs w:val="18"/>
          <w:color w:val="auto"/>
        </w:rPr>
      </w:pPr>
    </w:p>
    <w:p>
      <w:pPr>
        <w:ind w:left="1710" w:hanging="639"/>
        <w:spacing w:after="0" w:line="253" w:lineRule="auto"/>
        <w:tabs>
          <w:tab w:leader="none" w:pos="1710"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(d)(i), (d)(ii) or (d)(iii), at the time of such transfer, the circumstance giving rise to such requirement for increased payments to such Replaced Lender under Clause 12.2 (Tax gross-up) or such indemnification in favour of such Replaced Lender under Clause 12.3 (Tax indemnity) or Clause 13 (Increased Costs) or the obligation of the Borrower(s) to repay any Loan in accordance with Clause 7.1 (Illegality) (as the case may be) is continuing;</w:t>
      </w:r>
    </w:p>
    <w:p>
      <w:pPr>
        <w:spacing w:after="0" w:line="92" w:lineRule="exact"/>
        <w:rPr>
          <w:rFonts w:ascii="Times New Roman" w:cs="Times New Roman" w:eastAsia="Times New Roman" w:hAnsi="Times New Roman"/>
          <w:sz w:val="18"/>
          <w:szCs w:val="18"/>
          <w:color w:val="auto"/>
        </w:rPr>
      </w:pPr>
    </w:p>
    <w:p>
      <w:pPr>
        <w:ind w:left="1710" w:right="400" w:hanging="639"/>
        <w:spacing w:after="0" w:line="258" w:lineRule="auto"/>
        <w:tabs>
          <w:tab w:leader="none" w:pos="1710"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(d)(iv), such transfer is to be made no later than thirty (30) days after the date on which the Non-Consenting Event constituting such Replaced Lender a Non-Consenting Lender first arose, and such Non-Consenting Event is continuing at the time of such transfer; or</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paragraph (d)(v), such Replaced Lender continues to be a Defaulting Lender.</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123" w:lineRule="exact"/>
        <w:rPr>
          <w:rFonts w:ascii="Times New Roman" w:cs="Times New Roman" w:eastAsia="Times New Roman" w:hAnsi="Times New Roman"/>
          <w:sz w:val="18"/>
          <w:szCs w:val="18"/>
          <w:color w:val="auto"/>
        </w:rPr>
      </w:pPr>
    </w:p>
    <w:p>
      <w:pPr>
        <w:ind w:left="1050" w:right="680" w:hanging="626"/>
        <w:spacing w:after="0" w:line="270" w:lineRule="auto"/>
        <w:tabs>
          <w:tab w:leader="none" w:pos="1050"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 or the Agent (at the request of the Obligors) has requested the Lenders to consent to a waiver or amendment of any provisions of the Finance Documents;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or amendment in question requires the consent of all the Lenders;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 Majority Lenders have consented to such waiver or amendment,</w:t>
      </w:r>
    </w:p>
    <w:p>
      <w:pPr>
        <w:spacing w:after="0" w:line="108" w:lineRule="exact"/>
        <w:rPr>
          <w:sz w:val="20"/>
          <w:szCs w:val="20"/>
          <w:color w:val="auto"/>
        </w:rPr>
      </w:pPr>
    </w:p>
    <w:p>
      <w:pPr>
        <w:ind w:left="430" w:right="180"/>
        <w:spacing w:after="0" w:line="273" w:lineRule="auto"/>
        <w:rPr>
          <w:sz w:val="20"/>
          <w:szCs w:val="20"/>
          <w:color w:val="auto"/>
        </w:rPr>
      </w:pPr>
      <w:r>
        <w:rPr>
          <w:rFonts w:ascii="Times New Roman" w:cs="Times New Roman" w:eastAsia="Times New Roman" w:hAnsi="Times New Roman"/>
          <w:sz w:val="18"/>
          <w:szCs w:val="18"/>
          <w:color w:val="auto"/>
        </w:rPr>
        <w:t xml:space="preserve">then any Lender who does not and continues not to consent to such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and such event shall be a </w:t>
      </w:r>
      <w:r>
        <w:rPr>
          <w:rFonts w:ascii="Times New Roman" w:cs="Times New Roman" w:eastAsia="Times New Roman" w:hAnsi="Times New Roman"/>
          <w:sz w:val="18"/>
          <w:szCs w:val="18"/>
          <w:b w:val="1"/>
          <w:bCs w:val="1"/>
          <w:color w:val="auto"/>
        </w:rPr>
        <w:t>Non-Consenting Event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7.5</w:t>
      </w:r>
      <w:r>
        <w:rPr>
          <w:sz w:val="20"/>
          <w:szCs w:val="20"/>
          <w:color w:val="auto"/>
        </w:rPr>
        <w:tab/>
      </w:r>
      <w:r>
        <w:rPr>
          <w:rFonts w:ascii="Times New Roman" w:cs="Times New Roman" w:eastAsia="Times New Roman" w:hAnsi="Times New Roman"/>
          <w:sz w:val="17"/>
          <w:szCs w:val="17"/>
          <w:b w:val="1"/>
          <w:bCs w:val="1"/>
          <w:color w:val="auto"/>
        </w:rPr>
        <w:t>Change of Control</w:t>
      </w:r>
    </w:p>
    <w:p>
      <w:pPr>
        <w:spacing w:after="0" w:line="126" w:lineRule="exact"/>
        <w:rPr>
          <w:sz w:val="20"/>
          <w:szCs w:val="20"/>
          <w:color w:val="auto"/>
        </w:rPr>
      </w:pPr>
    </w:p>
    <w:p>
      <w:pPr>
        <w:ind w:left="430" w:hanging="430"/>
        <w:spacing w:after="0"/>
        <w:tabs>
          <w:tab w:leader="none" w:pos="43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w:t>
      </w:r>
    </w:p>
    <w:p>
      <w:pPr>
        <w:spacing w:after="0" w:line="2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promptly notify the Agent upon becoming aware of that event; and</w:t>
      </w:r>
    </w:p>
    <w:p>
      <w:pPr>
        <w:spacing w:after="0" w:line="10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whether the Borrower(s) has complied with paragraph (i) above):</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shall be obliged to participate in the making of any Loan; and</w:t>
      </w:r>
    </w:p>
    <w:p>
      <w:pPr>
        <w:spacing w:after="0" w:line="123" w:lineRule="exact"/>
        <w:rPr>
          <w:rFonts w:ascii="Times New Roman" w:cs="Times New Roman" w:eastAsia="Times New Roman" w:hAnsi="Times New Roman"/>
          <w:sz w:val="18"/>
          <w:szCs w:val="18"/>
          <w:color w:val="auto"/>
        </w:rPr>
      </w:pPr>
    </w:p>
    <w:p>
      <w:pPr>
        <w:ind w:left="1710" w:right="80" w:hanging="639"/>
        <w:spacing w:after="0" w:line="253" w:lineRule="auto"/>
        <w:tabs>
          <w:tab w:leader="none" w:pos="1710" w:val="left"/>
        </w:tabs>
        <w:numPr>
          <w:ilvl w:val="2"/>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 less than thirty (30) days’ notice to the Borrower(s), any Lender (acting in its sole discretion) may require that its participation in the Facility be immediately cancelled and the Borrower(s) shall immediately prepay that Lender’s participation in all of the outstanding Loans, together with accrued interest and any Break Costs, and all other accrued amounts due and payable to that Lender under the Finance Documents.</w:t>
      </w:r>
    </w:p>
    <w:p>
      <w:pPr>
        <w:spacing w:after="0" w:line="90"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paragraph (a) above,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means:</w:t>
      </w:r>
    </w:p>
    <w:p>
      <w:pPr>
        <w:spacing w:after="0" w:line="125"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1"/>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ceasing to (directly or indirectly) beneficially hold and control fifty-one per cent. (51%) or more of the ordinary voting issued share capital in the Original Borrower;</w:t>
      </w:r>
    </w:p>
    <w:p>
      <w:pPr>
        <w:spacing w:after="0" w:line="76" w:lineRule="exact"/>
        <w:rPr>
          <w:rFonts w:ascii="Times New Roman" w:cs="Times New Roman" w:eastAsia="Times New Roman" w:hAnsi="Times New Roman"/>
          <w:sz w:val="18"/>
          <w:szCs w:val="18"/>
          <w:color w:val="auto"/>
        </w:rPr>
      </w:pPr>
    </w:p>
    <w:p>
      <w:pPr>
        <w:ind w:left="1050" w:right="80" w:hanging="626"/>
        <w:spacing w:after="0" w:line="300" w:lineRule="auto"/>
        <w:tabs>
          <w:tab w:leader="none" w:pos="1050" w:val="left"/>
        </w:tabs>
        <w:numPr>
          <w:ilvl w:val="1"/>
          <w:numId w:val="7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Guarantor ceasing to be able to appoint or remove such number of the directors or other equivalent officers of the Original Borrower which together control at least the majority of votes which may cast at a meeting of the board of directors of the Original Borrower; or</w:t>
      </w:r>
    </w:p>
    <w:p>
      <w:pPr>
        <w:spacing w:after="0" w:line="53" w:lineRule="exact"/>
        <w:rPr>
          <w:rFonts w:ascii="Times New Roman" w:cs="Times New Roman" w:eastAsia="Times New Roman" w:hAnsi="Times New Roman"/>
          <w:sz w:val="17"/>
          <w:szCs w:val="17"/>
          <w:color w:val="auto"/>
        </w:rPr>
      </w:pPr>
    </w:p>
    <w:p>
      <w:pPr>
        <w:ind w:left="1050" w:right="320" w:hanging="626"/>
        <w:spacing w:after="0" w:line="270" w:lineRule="auto"/>
        <w:tabs>
          <w:tab w:leader="none" w:pos="1050" w:val="left"/>
        </w:tabs>
        <w:numPr>
          <w:ilvl w:val="1"/>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acting in concert (other than any person or group of persons acting in concert who already control the Guarantor as at the date of this Agreement) gain(s) direct or indirect control of the Guarantor.</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For the purpose of this definition:</w:t>
      </w:r>
    </w:p>
    <w:p>
      <w:pPr>
        <w:spacing w:after="0" w:line="122" w:lineRule="exact"/>
        <w:rPr>
          <w:sz w:val="20"/>
          <w:szCs w:val="20"/>
          <w:color w:val="auto"/>
        </w:rPr>
      </w:pPr>
    </w:p>
    <w:p>
      <w:pPr>
        <w:ind w:left="1050" w:right="80" w:hanging="626"/>
        <w:spacing w:after="0" w:line="259" w:lineRule="auto"/>
        <w:tabs>
          <w:tab w:leader="none" w:pos="105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acting in concert </w:t>
      </w:r>
      <w:r>
        <w:rPr>
          <w:rFonts w:ascii="Times New Roman" w:cs="Times New Roman" w:eastAsia="Times New Roman" w:hAnsi="Times New Roman"/>
          <w:sz w:val="18"/>
          <w:szCs w:val="18"/>
          <w:color w:val="auto"/>
        </w:rPr>
        <w:t>means, a group of persons who, pursuant to an agreement or understanding (whether formal or informal), actively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co-operate, through the acquisition directly or indirectly of shares in the Guarantor by any of them, either directly or indirectly, to obtain or consolidate control of the Guarantor; and</w:t>
      </w:r>
    </w:p>
    <w:p>
      <w:pPr>
        <w:spacing w:after="0" w:line="8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control </w:t>
      </w:r>
      <w:r>
        <w:rPr>
          <w:rFonts w:ascii="Times New Roman" w:cs="Times New Roman" w:eastAsia="Times New Roman" w:hAnsi="Times New Roman"/>
          <w:sz w:val="18"/>
          <w:szCs w:val="18"/>
          <w:color w:val="auto"/>
        </w:rPr>
        <w:t>of a person means the power (whether by way of ownership of shares, proxy, contract, agency or otherwise) to:</w:t>
      </w:r>
    </w:p>
    <w:p>
      <w:pPr>
        <w:spacing w:after="0" w:line="125" w:lineRule="exact"/>
        <w:rPr>
          <w:rFonts w:ascii="Times New Roman" w:cs="Times New Roman" w:eastAsia="Times New Roman" w:hAnsi="Times New Roman"/>
          <w:sz w:val="18"/>
          <w:szCs w:val="18"/>
          <w:color w:val="auto"/>
        </w:rPr>
      </w:pPr>
    </w:p>
    <w:p>
      <w:pPr>
        <w:ind w:left="1710" w:right="220" w:hanging="639"/>
        <w:spacing w:after="0" w:line="270" w:lineRule="auto"/>
        <w:tabs>
          <w:tab w:leader="none" w:pos="171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or control the casting of, more than one-half of the maximum number of votes that might be cast at a general meeting of that person;</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or remove all, or the majority, of the directors or other equivalent officers of that person; or</w:t>
      </w:r>
    </w:p>
    <w:p>
      <w:pPr>
        <w:spacing w:after="0" w:line="123" w:lineRule="exact"/>
        <w:rPr>
          <w:rFonts w:ascii="Times New Roman" w:cs="Times New Roman" w:eastAsia="Times New Roman" w:hAnsi="Times New Roman"/>
          <w:sz w:val="18"/>
          <w:szCs w:val="18"/>
          <w:color w:val="auto"/>
        </w:rPr>
      </w:pPr>
    </w:p>
    <w:p>
      <w:pPr>
        <w:ind w:left="1710" w:right="260" w:hanging="639"/>
        <w:spacing w:after="0" w:line="270" w:lineRule="auto"/>
        <w:tabs>
          <w:tab w:leader="none" w:pos="1710" w:val="left"/>
        </w:tabs>
        <w:numPr>
          <w:ilvl w:val="1"/>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directions with respect to the operating and financial policies of that person with which the directors or other equivalent officers of that person are obliged to comply.</w:t>
      </w:r>
    </w:p>
    <w:p>
      <w:pPr>
        <w:spacing w:after="0" w:line="103"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50"/>
          </w:cols>
          <w:pgMar w:left="550" w:top="267" w:right="599" w:bottom="1440" w:gutter="0" w:footer="0" w:header="0"/>
        </w:sectPr>
      </w:pPr>
    </w:p>
    <w:bookmarkStart w:id="610" w:name="page611"/>
    <w:bookmarkEnd w:id="610"/>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7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7.6</w:t>
      </w:r>
      <w:r>
        <w:rPr>
          <w:sz w:val="20"/>
          <w:szCs w:val="20"/>
          <w:color w:val="auto"/>
        </w:rPr>
        <w:tab/>
      </w:r>
      <w:r>
        <w:rPr>
          <w:rFonts w:ascii="Times New Roman" w:cs="Times New Roman" w:eastAsia="Times New Roman" w:hAnsi="Times New Roman"/>
          <w:sz w:val="17"/>
          <w:szCs w:val="17"/>
          <w:b w:val="1"/>
          <w:bCs w:val="1"/>
          <w:color w:val="auto"/>
        </w:rPr>
        <w:t>Restrictions</w:t>
      </w:r>
    </w:p>
    <w:p>
      <w:pPr>
        <w:spacing w:after="0" w:line="126" w:lineRule="exact"/>
        <w:rPr>
          <w:sz w:val="20"/>
          <w:szCs w:val="20"/>
          <w:color w:val="auto"/>
        </w:rPr>
      </w:pPr>
    </w:p>
    <w:p>
      <w:pPr>
        <w:ind w:left="430" w:right="160" w:hanging="430"/>
        <w:spacing w:after="0" w:line="258" w:lineRule="auto"/>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85" w:lineRule="exact"/>
        <w:rPr>
          <w:rFonts w:ascii="Times New Roman" w:cs="Times New Roman" w:eastAsia="Times New Roman" w:hAnsi="Times New Roman"/>
          <w:sz w:val="18"/>
          <w:szCs w:val="18"/>
          <w:color w:val="auto"/>
        </w:rPr>
      </w:pPr>
    </w:p>
    <w:p>
      <w:pPr>
        <w:ind w:left="430" w:right="540" w:hanging="430"/>
        <w:spacing w:after="0" w:line="270" w:lineRule="auto"/>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under this Agreement shall be made together with accrued interest on the amount prepaid and, subject to any Break Costs, without premium or penalty.</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not re-borrow any part of the Facility which is prepaid.</w:t>
      </w:r>
    </w:p>
    <w:p>
      <w:pPr>
        <w:spacing w:after="0" w:line="123" w:lineRule="exact"/>
        <w:rPr>
          <w:rFonts w:ascii="Times New Roman" w:cs="Times New Roman" w:eastAsia="Times New Roman" w:hAnsi="Times New Roman"/>
          <w:sz w:val="18"/>
          <w:szCs w:val="18"/>
          <w:color w:val="auto"/>
        </w:rPr>
      </w:pPr>
    </w:p>
    <w:p>
      <w:pPr>
        <w:ind w:left="430" w:right="620" w:hanging="430"/>
        <w:spacing w:after="0" w:line="270" w:lineRule="auto"/>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not repay or prepay all or any part of the Loans or cancel or reduce all or any part of the Commitments or Available Commitments of the Lenders except at the times and in the manner expressly provided for in this Agreement.</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 2.3 (Increase), no amount of the Total Commitments cancelled or reduced under this Agreement may be subsequently reinstated.</w:t>
      </w:r>
    </w:p>
    <w:p>
      <w:pPr>
        <w:spacing w:after="0" w:line="135" w:lineRule="exact"/>
        <w:rPr>
          <w:rFonts w:ascii="Times New Roman" w:cs="Times New Roman" w:eastAsia="Times New Roman" w:hAnsi="Times New Roman"/>
          <w:sz w:val="17"/>
          <w:szCs w:val="17"/>
          <w:color w:val="auto"/>
        </w:rPr>
      </w:pPr>
    </w:p>
    <w:p>
      <w:pPr>
        <w:ind w:left="430" w:right="180" w:hanging="430"/>
        <w:spacing w:after="0" w:line="270" w:lineRule="auto"/>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a notice under this Clause 7 it shall promptly forward a copy of that notice to either the Borrower(s) or the affected Lender, as appropriate.</w:t>
      </w:r>
    </w:p>
    <w:p>
      <w:pPr>
        <w:spacing w:after="0" w:line="76" w:lineRule="exact"/>
        <w:rPr>
          <w:rFonts w:ascii="Times New Roman" w:cs="Times New Roman" w:eastAsia="Times New Roman" w:hAnsi="Times New Roman"/>
          <w:sz w:val="18"/>
          <w:szCs w:val="18"/>
          <w:color w:val="auto"/>
        </w:rPr>
      </w:pPr>
    </w:p>
    <w:p>
      <w:pPr>
        <w:ind w:left="430" w:right="220" w:hanging="430"/>
        <w:spacing w:after="0" w:line="300" w:lineRule="auto"/>
        <w:tabs>
          <w:tab w:leader="none" w:pos="430" w:val="left"/>
        </w:tabs>
        <w:numPr>
          <w:ilvl w:val="0"/>
          <w:numId w:val="7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prepayment or repayment of a Loan or any part thereof (other than a prepayment or repayment pursuant to Clause 7.1 (Illegality) or Clause 7.4 (Right of repayment and cancellation in relation to a single Lender)) shall be applied pro rata to each Lender’s participation in that Loan.</w:t>
      </w:r>
    </w:p>
    <w:p>
      <w:pPr>
        <w:spacing w:after="0" w:line="53" w:lineRule="exact"/>
        <w:rPr>
          <w:rFonts w:ascii="Times New Roman" w:cs="Times New Roman" w:eastAsia="Times New Roman" w:hAnsi="Times New Roman"/>
          <w:sz w:val="17"/>
          <w:szCs w:val="17"/>
          <w:color w:val="auto"/>
        </w:rPr>
      </w:pPr>
    </w:p>
    <w:p>
      <w:pPr>
        <w:ind w:left="430" w:hanging="430"/>
        <w:spacing w:after="0" w:line="258" w:lineRule="auto"/>
        <w:tabs>
          <w:tab w:leader="none" w:pos="430"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part of any Lender’s participation in a Loan is repaid or prepaid and is not available for redrawing (other than by reason of the operation of Clause 4.2 (Further conditions precedent)), an amount of that Lender’s Commitment (equal to the amount of such Lender’s participation in such Loan which is so repaid or prepaid) will be deemed to be cancelled on the date of such repayment or prepayment.</w:t>
      </w:r>
    </w:p>
    <w:p>
      <w:pPr>
        <w:spacing w:after="0" w:line="322" w:lineRule="exact"/>
        <w:rPr>
          <w:sz w:val="20"/>
          <w:szCs w:val="20"/>
          <w:color w:val="auto"/>
        </w:rPr>
      </w:pPr>
    </w:p>
    <w:p>
      <w:pPr>
        <w:ind w:left="430" w:hanging="430"/>
        <w:spacing w:after="0"/>
        <w:tabs>
          <w:tab w:leader="none" w:pos="430" w:val="left"/>
        </w:tabs>
        <w:numPr>
          <w:ilvl w:val="0"/>
          <w:numId w:val="7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Calculation of interest</w:t>
      </w:r>
    </w:p>
    <w:p>
      <w:pPr>
        <w:spacing w:after="0" w:line="112" w:lineRule="exact"/>
        <w:rPr>
          <w:sz w:val="20"/>
          <w:szCs w:val="20"/>
          <w:color w:val="auto"/>
        </w:rPr>
      </w:pPr>
    </w:p>
    <w:p>
      <w:pPr>
        <w:ind w:left="430" w:right="160"/>
        <w:spacing w:after="0" w:line="270" w:lineRule="auto"/>
        <w:rPr>
          <w:sz w:val="20"/>
          <w:szCs w:val="20"/>
          <w:color w:val="auto"/>
        </w:rPr>
      </w:pPr>
      <w:r>
        <w:rPr>
          <w:rFonts w:ascii="Times New Roman" w:cs="Times New Roman" w:eastAsia="Times New Roman" w:hAnsi="Times New Roman"/>
          <w:sz w:val="18"/>
          <w:szCs w:val="18"/>
          <w:color w:val="auto"/>
        </w:rPr>
        <w:t>The rate of interest on each Loan at any time during an Interest Period relating thereto is the percentage rate per annum which is the aggregate of the applicable:</w:t>
      </w:r>
    </w:p>
    <w:p>
      <w:pPr>
        <w:spacing w:after="0" w:line="76" w:lineRule="exact"/>
        <w:rPr>
          <w:sz w:val="20"/>
          <w:szCs w:val="20"/>
          <w:color w:val="auto"/>
        </w:rPr>
      </w:pPr>
    </w:p>
    <w:p>
      <w:pPr>
        <w:ind w:left="1050" w:hanging="626"/>
        <w:spacing w:after="0"/>
        <w:tabs>
          <w:tab w:leader="none" w:pos="1050"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EURIBOR.</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On the last day of each Interest Period relating to a Loan, the Borrower(s) shall pay accrued interest on such Loan.</w:t>
      </w:r>
    </w:p>
    <w:p>
      <w:pPr>
        <w:spacing w:after="0" w:line="1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Notification of rates of interest</w:t>
      </w:r>
    </w:p>
    <w:p>
      <w:pPr>
        <w:spacing w:after="0" w:line="126" w:lineRule="exact"/>
        <w:rPr>
          <w:sz w:val="20"/>
          <w:szCs w:val="20"/>
          <w:color w:val="auto"/>
        </w:rPr>
      </w:pPr>
    </w:p>
    <w:p>
      <w:pPr>
        <w:ind w:left="430" w:hanging="430"/>
        <w:spacing w:after="0"/>
        <w:tabs>
          <w:tab w:leader="none" w:pos="430"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Lenders and the Borrower(s) of the determination of a rate of interest under this Agreement.</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notify the Borrower(s) of each Funding Rate relating to a Loan.</w:t>
      </w:r>
    </w:p>
    <w:p>
      <w:pPr>
        <w:spacing w:after="0" w:line="359" w:lineRule="exact"/>
        <w:rPr>
          <w:sz w:val="20"/>
          <w:szCs w:val="20"/>
          <w:color w:val="auto"/>
        </w:rPr>
      </w:pPr>
    </w:p>
    <w:p>
      <w:pPr>
        <w:ind w:left="430" w:hanging="430"/>
        <w:spacing w:after="0"/>
        <w:tabs>
          <w:tab w:leader="none" w:pos="430" w:val="left"/>
        </w:tabs>
        <w:numPr>
          <w:ilvl w:val="0"/>
          <w:numId w:val="7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PERIODS</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Selection of Interest Periods</w:t>
      </w:r>
    </w:p>
    <w:p>
      <w:pPr>
        <w:spacing w:after="0" w:line="126" w:lineRule="exact"/>
        <w:rPr>
          <w:sz w:val="20"/>
          <w:szCs w:val="20"/>
          <w:color w:val="auto"/>
        </w:rPr>
      </w:pPr>
    </w:p>
    <w:p>
      <w:pPr>
        <w:ind w:left="430" w:hanging="430"/>
        <w:spacing w:after="0"/>
        <w:tabs>
          <w:tab w:leader="none" w:pos="430"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Agreement:</w:t>
      </w:r>
    </w:p>
    <w:p>
      <w:pPr>
        <w:spacing w:after="0" w:line="22" w:lineRule="exact"/>
        <w:rPr>
          <w:rFonts w:ascii="Times New Roman" w:cs="Times New Roman" w:eastAsia="Times New Roman" w:hAnsi="Times New Roman"/>
          <w:sz w:val="18"/>
          <w:szCs w:val="18"/>
          <w:color w:val="auto"/>
        </w:rPr>
      </w:pPr>
    </w:p>
    <w:p>
      <w:pPr>
        <w:ind w:left="1050" w:right="320" w:hanging="626"/>
        <w:spacing w:after="0" w:line="250" w:lineRule="auto"/>
        <w:tabs>
          <w:tab w:leader="none" w:pos="105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select an Interest Period for any Loan in the Utilisation Request for such Loan or (if such Loan has already been borrowed) in a Selection Notice;</w:t>
      </w:r>
    </w:p>
    <w:p>
      <w:pPr>
        <w:spacing w:after="0" w:line="9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Selection Notice in respect of an Interest Period for any Loan is irrevocable and must be delivered to the Agent by the Borrower by the Specified Time;</w:t>
      </w:r>
    </w:p>
    <w:p>
      <w:pPr>
        <w:spacing w:after="0" w:line="76"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fail to deliver a Selection Notice to the Agent in accordance with paragraph (a)(ii) above in relation to any Interest Period for a Loan, such Interest Period will, subject to paragraph (b), be the same as the preceding Interest Period applicable to that Loan; and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90"/>
          </w:cols>
          <w:pgMar w:left="550" w:top="265" w:right="559" w:bottom="1440" w:gutter="0" w:footer="0" w:header="0"/>
        </w:sectPr>
      </w:pPr>
    </w:p>
    <w:bookmarkStart w:id="611" w:name="page612"/>
    <w:bookmarkEnd w:id="611"/>
    <w:p>
      <w:pPr>
        <w:jc w:val="both"/>
        <w:ind w:left="1050" w:right="300" w:hanging="626"/>
        <w:spacing w:after="0" w:line="300" w:lineRule="auto"/>
        <w:tabs>
          <w:tab w:leader="none" w:pos="1050" w:val="left"/>
        </w:tabs>
        <w:numPr>
          <w:ilvl w:val="1"/>
          <w:numId w:val="7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Borrower(s) may (pursuant to paragraph (a)(i)) select an Interest Period for any Loan of one or three Month(s) or any other period agreed between the Borrower(s) and the Agent (acting on the instructions of all the Lenders that have any participation in that Loan).</w:t>
      </w:r>
    </w:p>
    <w:p>
      <w:pPr>
        <w:spacing w:after="0" w:line="53" w:lineRule="exact"/>
        <w:rPr>
          <w:rFonts w:ascii="Times New Roman" w:cs="Times New Roman" w:eastAsia="Times New Roman" w:hAnsi="Times New Roman"/>
          <w:sz w:val="17"/>
          <w:szCs w:val="17"/>
          <w:color w:val="auto"/>
        </w:rPr>
      </w:pPr>
    </w:p>
    <w:p>
      <w:pPr>
        <w:ind w:left="430" w:right="480" w:hanging="430"/>
        <w:spacing w:after="0" w:line="270" w:lineRule="auto"/>
        <w:tabs>
          <w:tab w:leader="none" w:pos="43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any Loan shall extend beyond the Final Maturity Date. The Borrower(s) may select an Interest Period of less than one Month ending on the Final Maturity Date.</w:t>
      </w:r>
    </w:p>
    <w:p>
      <w:pPr>
        <w:spacing w:after="0" w:line="76"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Syndication Date, an Interest Period for a Loan shall be one Month or such other period as the Agent (acting on the instructions of all the Lenders that have any participation in that Loan) and the Borrower(s) may agree and any Interest Period which would otherwise end during the Month preceding or extend beyond the Syndication Date shall end on the Syndication Date.</w:t>
      </w:r>
    </w:p>
    <w:p>
      <w:pPr>
        <w:spacing w:after="0" w:line="85"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Period for a Loan shall start on the Utilisation Date for such Loan or (if such Loan has already been made) on the last day of the preceding Interest Period relating to such Loan.</w:t>
      </w:r>
    </w:p>
    <w:p>
      <w:pPr>
        <w:spacing w:after="0" w:line="74" w:lineRule="exact"/>
        <w:rPr>
          <w:rFonts w:ascii="Times New Roman" w:cs="Times New Roman" w:eastAsia="Times New Roman" w:hAnsi="Times New Roman"/>
          <w:sz w:val="18"/>
          <w:szCs w:val="18"/>
          <w:color w:val="auto"/>
        </w:rPr>
      </w:pPr>
    </w:p>
    <w:p>
      <w:pPr>
        <w:ind w:left="430" w:right="360" w:hanging="430"/>
        <w:spacing w:after="0" w:line="273" w:lineRule="auto"/>
        <w:tabs>
          <w:tab w:leader="none" w:pos="43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Interest Period for the second or any subsequent Loan (each a </w:t>
      </w:r>
      <w:r>
        <w:rPr>
          <w:rFonts w:ascii="Times New Roman" w:cs="Times New Roman" w:eastAsia="Times New Roman" w:hAnsi="Times New Roman"/>
          <w:sz w:val="18"/>
          <w:szCs w:val="18"/>
          <w:b w:val="1"/>
          <w:bCs w:val="1"/>
          <w:color w:val="auto"/>
        </w:rPr>
        <w:t>Subsequent Loan</w:t>
      </w:r>
      <w:r>
        <w:rPr>
          <w:rFonts w:ascii="Times New Roman" w:cs="Times New Roman" w:eastAsia="Times New Roman" w:hAnsi="Times New Roman"/>
          <w:sz w:val="18"/>
          <w:szCs w:val="18"/>
          <w:color w:val="auto"/>
        </w:rPr>
        <w:t>) shall end on the last day of the Interest Period then current (or commencing) for each other Loan which is then outstanding when that Subsequent Loan is made.</w:t>
      </w:r>
    </w:p>
    <w:p>
      <w:pPr>
        <w:spacing w:after="0" w:line="71"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Non-Business Days</w:t>
      </w:r>
    </w:p>
    <w:p>
      <w:pPr>
        <w:spacing w:after="0" w:line="112" w:lineRule="exact"/>
        <w:rPr>
          <w:sz w:val="20"/>
          <w:szCs w:val="20"/>
          <w:color w:val="auto"/>
        </w:rPr>
      </w:pPr>
    </w:p>
    <w:p>
      <w:pPr>
        <w:ind w:left="430" w:right="180"/>
        <w:spacing w:after="0" w:line="270" w:lineRule="auto"/>
        <w:rPr>
          <w:sz w:val="20"/>
          <w:szCs w:val="20"/>
          <w:color w:val="auto"/>
        </w:rPr>
      </w:pPr>
      <w:r>
        <w:rPr>
          <w:rFonts w:ascii="Times New Roman" w:cs="Times New Roman" w:eastAsia="Times New Roman" w:hAnsi="Times New Roman"/>
          <w:sz w:val="18"/>
          <w:szCs w:val="18"/>
          <w:color w:val="auto"/>
        </w:rPr>
        <w:t>If an Interest Period would otherwise end on a day which is not a Business Day, that Interest Period will instead end on the next Business Day in that calendar month (if there is one) or the preceding Business Day (if there is no such next Business Day in that calendar month).</w:t>
      </w:r>
    </w:p>
    <w:p>
      <w:pPr>
        <w:spacing w:after="0" w:line="7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Consolidation and division of Loans</w:t>
      </w:r>
    </w:p>
    <w:p>
      <w:pPr>
        <w:spacing w:after="0" w:line="126" w:lineRule="exact"/>
        <w:rPr>
          <w:sz w:val="20"/>
          <w:szCs w:val="20"/>
          <w:color w:val="auto"/>
        </w:rPr>
      </w:pPr>
    </w:p>
    <w:p>
      <w:pPr>
        <w:ind w:left="430" w:right="260" w:hanging="430"/>
        <w:spacing w:after="0" w:line="258" w:lineRule="auto"/>
        <w:tabs>
          <w:tab w:leader="none" w:pos="430"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Interest Periods of two or more Loans end on the same date, then those Loans will, unless the Borrower(s) specify to the contrary in the Selection Notice for the immediately following Interest Period for any such Loan, be consolidated into, and treated as, a single Loan on the last day of such first mentioned Interest Periods.</w:t>
      </w:r>
    </w:p>
    <w:p>
      <w:pPr>
        <w:spacing w:after="0" w:line="85" w:lineRule="exact"/>
        <w:rPr>
          <w:rFonts w:ascii="Times New Roman" w:cs="Times New Roman" w:eastAsia="Times New Roman" w:hAnsi="Times New Roman"/>
          <w:sz w:val="18"/>
          <w:szCs w:val="18"/>
          <w:color w:val="auto"/>
        </w:rPr>
      </w:pPr>
    </w:p>
    <w:p>
      <w:pPr>
        <w:ind w:left="430" w:right="140" w:hanging="430"/>
        <w:spacing w:after="0" w:line="250" w:lineRule="auto"/>
        <w:tabs>
          <w:tab w:leader="none" w:pos="430"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4.3 (Maximum number of Loans) and Clause 5.3 (Currency and amount), if the Borrower(s) request in a Selection Notice (delivered in respect of a Loan in accordance with Clause 9.1 (Selection of Interest Periods)) that such Loan be divided into two or more Loans, then such first-mentioned Loan will, on the last day of the current Interest Period relating thereto, be so divided into such number of Loans (as specified in such Selection Notice) each in such outstanding principal amount as specified in such Selection Notice,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aggregate of such outstanding principal amounts so specified is equal to the outstanding principal amount of such first-mentioned Loan immediately before such division.</w:t>
      </w:r>
    </w:p>
    <w:p>
      <w:pPr>
        <w:spacing w:after="0" w:line="330" w:lineRule="exact"/>
        <w:rPr>
          <w:sz w:val="20"/>
          <w:szCs w:val="20"/>
          <w:color w:val="auto"/>
        </w:rPr>
      </w:pPr>
    </w:p>
    <w:p>
      <w:pPr>
        <w:ind w:left="10" w:right="6200" w:hanging="10"/>
        <w:spacing w:after="0" w:line="383" w:lineRule="auto"/>
        <w:tabs>
          <w:tab w:leader="none" w:pos="433" w:val="left"/>
        </w:tabs>
        <w:numPr>
          <w:ilvl w:val="0"/>
          <w:numId w:val="7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CALCULATION OF INTEREST 10.1 Unavailability of Screen Rate</w:t>
      </w:r>
    </w:p>
    <w:p>
      <w:pPr>
        <w:ind w:left="430" w:right="20" w:hanging="430"/>
        <w:spacing w:after="0" w:line="259" w:lineRule="auto"/>
        <w:tabs>
          <w:tab w:leader="none" w:pos="430"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Interpolated Screen Rate</w:t>
      </w:r>
      <w:r>
        <w:rPr>
          <w:rFonts w:ascii="Times New Roman" w:cs="Times New Roman" w:eastAsia="Times New Roman" w:hAnsi="Times New Roman"/>
          <w:sz w:val="18"/>
          <w:szCs w:val="18"/>
          <w:color w:val="auto"/>
        </w:rPr>
        <w:t>: If no Screen Rate is available for EURIBOR for any Loan and any Interest Period relating thereto,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EURIBOR for such Loan and such Interest Period shall be equal to the Interpolated Screen Rate for such Loan and a period equal in length to such Interest Period.</w:t>
      </w:r>
    </w:p>
    <w:p>
      <w:pPr>
        <w:spacing w:after="0" w:line="83" w:lineRule="exact"/>
        <w:rPr>
          <w:rFonts w:ascii="Times New Roman" w:cs="Times New Roman" w:eastAsia="Times New Roman" w:hAnsi="Times New Roman"/>
          <w:sz w:val="18"/>
          <w:szCs w:val="18"/>
          <w:color w:val="auto"/>
        </w:rPr>
      </w:pPr>
    </w:p>
    <w:p>
      <w:pPr>
        <w:ind w:left="430" w:right="120" w:hanging="430"/>
        <w:spacing w:after="0" w:line="259" w:lineRule="auto"/>
        <w:tabs>
          <w:tab w:leader="none" w:pos="430"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Reference Bank Rate</w:t>
      </w:r>
      <w:r>
        <w:rPr>
          <w:rFonts w:ascii="Times New Roman" w:cs="Times New Roman" w:eastAsia="Times New Roman" w:hAnsi="Times New Roman"/>
          <w:sz w:val="18"/>
          <w:szCs w:val="18"/>
          <w:color w:val="auto"/>
        </w:rPr>
        <w:t>: If no Screen Rate is available for EURIBOR for any Loan and any Interest Period relating thereto and it is not possible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 the Interpolated Screen Rate for such Loan and such Interest Period, EURIBOR for such Loan and such Interest Period shall be equal to the Reference Bank Rate as of the Specified Time and for such Loan and a period equal in length to such Interest Period.</w:t>
      </w:r>
    </w:p>
    <w:p>
      <w:pPr>
        <w:spacing w:after="0" w:line="83" w:lineRule="exact"/>
        <w:rPr>
          <w:rFonts w:ascii="Times New Roman" w:cs="Times New Roman" w:eastAsia="Times New Roman" w:hAnsi="Times New Roman"/>
          <w:sz w:val="18"/>
          <w:szCs w:val="18"/>
          <w:color w:val="auto"/>
        </w:rPr>
      </w:pPr>
    </w:p>
    <w:p>
      <w:pPr>
        <w:ind w:left="430" w:right="340" w:hanging="430"/>
        <w:spacing w:after="0" w:line="273" w:lineRule="auto"/>
        <w:tabs>
          <w:tab w:leader="none" w:pos="430" w:val="left"/>
        </w:tabs>
        <w:numPr>
          <w:ilvl w:val="0"/>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funds</w:t>
      </w:r>
      <w:r>
        <w:rPr>
          <w:rFonts w:ascii="Times New Roman" w:cs="Times New Roman" w:eastAsia="Times New Roman" w:hAnsi="Times New Roman"/>
          <w:sz w:val="18"/>
          <w:szCs w:val="18"/>
          <w:color w:val="auto"/>
        </w:rPr>
        <w:t>: If paragraph (b) above applies but no Reference Bank Rate is available for such Loan and such Interest Period, there shall be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EURIBOR for that Loan and that Interest Period and Clause 10.4 (Cost of funds) shall apply to that Loan for that Interest Period.</w:t>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10.2 Calculation of Reference Bank Rate</w:t>
      </w:r>
    </w:p>
    <w:p>
      <w:pPr>
        <w:spacing w:after="0" w:line="126" w:lineRule="exact"/>
        <w:rPr>
          <w:sz w:val="20"/>
          <w:szCs w:val="20"/>
          <w:color w:val="auto"/>
        </w:rPr>
      </w:pPr>
    </w:p>
    <w:p>
      <w:pPr>
        <w:ind w:left="430" w:right="100" w:hanging="430"/>
        <w:spacing w:after="0" w:line="258" w:lineRule="auto"/>
        <w:tabs>
          <w:tab w:leader="none" w:pos="430"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if EURIBOR for any Loan and any Interest Period relating thereto is to be determined on the basis of a Reference Bank Rate but a Reference Bank does not supply a quotation by the Specified Time, the Reference Bank Rate for such Loan and such Interest Period shall be calculated on the basis of the quotations of the remaining Reference Banks.</w:t>
      </w:r>
    </w:p>
    <w:p>
      <w:pPr>
        <w:spacing w:after="0" w:line="85" w:lineRule="exact"/>
        <w:rPr>
          <w:rFonts w:ascii="Times New Roman" w:cs="Times New Roman" w:eastAsia="Times New Roman" w:hAnsi="Times New Roman"/>
          <w:sz w:val="18"/>
          <w:szCs w:val="18"/>
          <w:color w:val="auto"/>
        </w:rPr>
      </w:pPr>
    </w:p>
    <w:p>
      <w:pPr>
        <w:jc w:val="both"/>
        <w:ind w:left="430" w:right="200" w:hanging="430"/>
        <w:spacing w:after="0" w:line="258" w:lineRule="auto"/>
        <w:tabs>
          <w:tab w:leader="none" w:pos="430"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or about noon (London time) on the Quotation Day in respect of any Interest Period for any Loan, none or only one of the Reference Banks supplies a quotation for determining the Reference Bank Rate for such Loan and such Interest Period, there shall be no Reference Bank Rate for such Loan and such Interest Period.</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90"/>
          </w:cols>
          <w:pgMar w:left="550" w:top="266" w:right="559" w:bottom="1440" w:gutter="0" w:footer="0" w:header="0"/>
        </w:sectPr>
      </w:pPr>
    </w:p>
    <w:bookmarkStart w:id="612" w:name="page613"/>
    <w:bookmarkEnd w:id="612"/>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10.3 Market disruption</w:t>
      </w:r>
    </w:p>
    <w:p>
      <w:pPr>
        <w:spacing w:after="0" w:line="112" w:lineRule="exact"/>
        <w:rPr>
          <w:sz w:val="20"/>
          <w:szCs w:val="20"/>
          <w:color w:val="auto"/>
        </w:rPr>
      </w:pPr>
    </w:p>
    <w:p>
      <w:pPr>
        <w:ind w:left="430"/>
        <w:spacing w:after="0" w:line="253" w:lineRule="auto"/>
        <w:rPr>
          <w:sz w:val="20"/>
          <w:szCs w:val="20"/>
          <w:color w:val="auto"/>
        </w:rPr>
      </w:pPr>
      <w:r>
        <w:rPr>
          <w:rFonts w:ascii="Times New Roman" w:cs="Times New Roman" w:eastAsia="Times New Roman" w:hAnsi="Times New Roman"/>
          <w:sz w:val="18"/>
          <w:szCs w:val="18"/>
          <w:color w:val="auto"/>
        </w:rPr>
        <w:t>If before 5 p.m. in Hong Kong on the Business Day immediately following the Quotation Day for an Interest Period for a Loan, the Agent receives notifications from a Lender or Lenders (whose participations in that Loan exceed 40% of that Loan) that the cost to it of funding its participation in that Loan from whatever source it may reasonably select would be in excess of EURIBOR for that Loan and that Interest Period, then Clause 10.4 (Cost of funds) shall apply to that Loan for that Interest Period.</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10.4 Cost of funds</w:t>
      </w:r>
    </w:p>
    <w:p>
      <w:pPr>
        <w:spacing w:after="0" w:line="126" w:lineRule="exact"/>
        <w:rPr>
          <w:sz w:val="20"/>
          <w:szCs w:val="20"/>
          <w:color w:val="auto"/>
        </w:rPr>
      </w:pPr>
    </w:p>
    <w:p>
      <w:pPr>
        <w:ind w:left="430" w:right="240" w:hanging="430"/>
        <w:spacing w:after="0" w:line="270" w:lineRule="auto"/>
        <w:tabs>
          <w:tab w:leader="none" w:pos="43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10.4 applies to any Loan and any Interest Period relating thereto, the rate of interest on each Lender’s share of such Loan for such Interest Period shall be the percentage rate per annum which is the sum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123" w:lineRule="exact"/>
        <w:rPr>
          <w:rFonts w:ascii="Times New Roman" w:cs="Times New Roman" w:eastAsia="Times New Roman" w:hAnsi="Times New Roman"/>
          <w:sz w:val="18"/>
          <w:szCs w:val="18"/>
          <w:color w:val="auto"/>
        </w:rPr>
      </w:pPr>
    </w:p>
    <w:p>
      <w:pPr>
        <w:ind w:left="1050" w:right="20" w:hanging="626"/>
        <w:spacing w:after="0" w:line="253" w:lineRule="auto"/>
        <w:tabs>
          <w:tab w:leader="none" w:pos="1050"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notified to the Agent by that Lender as soon as practicable and in any event within five (5) Business Days before interest is due to be paid in respect of that Interest Period, to be that which expresses as a percentage rate per annum the cost to that Lender of funding its participation in that Loan from whatever source it may reasonably select and if any such percentage rate per annum is less than zero, then such percentage rate per annum shall be deemed to be zero.</w:t>
      </w:r>
    </w:p>
    <w:p>
      <w:pPr>
        <w:spacing w:after="0" w:line="92" w:lineRule="exact"/>
        <w:rPr>
          <w:rFonts w:ascii="Times New Roman" w:cs="Times New Roman" w:eastAsia="Times New Roman" w:hAnsi="Times New Roman"/>
          <w:sz w:val="18"/>
          <w:szCs w:val="18"/>
          <w:color w:val="auto"/>
        </w:rPr>
      </w:pPr>
    </w:p>
    <w:p>
      <w:pPr>
        <w:ind w:left="430" w:right="160" w:hanging="430"/>
        <w:spacing w:after="0" w:line="270" w:lineRule="auto"/>
        <w:tabs>
          <w:tab w:leader="none" w:pos="43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Clause 10.4 applies and the Agent or the Borrower(s) so requires, the Agent and the Borrower(s) shall enter into negotiations (for a period of not more than thirty (30) days) with a view to agreeing a substitute basis for determining the rate of interest.</w:t>
      </w:r>
    </w:p>
    <w:p>
      <w:pPr>
        <w:spacing w:after="0" w:line="76" w:lineRule="exact"/>
        <w:rPr>
          <w:rFonts w:ascii="Times New Roman" w:cs="Times New Roman" w:eastAsia="Times New Roman" w:hAnsi="Times New Roman"/>
          <w:sz w:val="18"/>
          <w:szCs w:val="18"/>
          <w:color w:val="auto"/>
        </w:rPr>
      </w:pPr>
    </w:p>
    <w:p>
      <w:pPr>
        <w:ind w:left="430" w:right="40" w:hanging="430"/>
        <w:spacing w:after="0" w:line="270" w:lineRule="auto"/>
        <w:tabs>
          <w:tab w:leader="none" w:pos="43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alternative basis agreed pursuant to paragraph (b) above shall, with the prior consent of all the Lenders and the Borrower(s), be binding on all Parties.</w:t>
      </w:r>
    </w:p>
    <w:p>
      <w:pPr>
        <w:spacing w:after="0" w:line="1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430" w:hanging="430"/>
        <w:spacing w:after="0"/>
        <w:tabs>
          <w:tab w:leader="none" w:pos="430" w:val="left"/>
        </w:tabs>
        <w:numPr>
          <w:ilvl w:val="0"/>
          <w:numId w:val="7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59" w:lineRule="exact"/>
        <w:rPr>
          <w:sz w:val="20"/>
          <w:szCs w:val="20"/>
          <w:color w:val="auto"/>
        </w:rPr>
      </w:pPr>
    </w:p>
    <w:p>
      <w:pPr>
        <w:ind w:left="10" w:right="7420" w:hanging="10"/>
        <w:spacing w:after="0" w:line="384" w:lineRule="auto"/>
        <w:tabs>
          <w:tab w:leader="none" w:pos="433" w:val="left"/>
        </w:tabs>
        <w:numPr>
          <w:ilvl w:val="0"/>
          <w:numId w:val="7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GROSS UP AND INDEMNITIES 12.1 Definitions</w:t>
      </w:r>
    </w:p>
    <w:p>
      <w:pPr>
        <w:spacing w:after="0" w:line="1" w:lineRule="exact"/>
        <w:rPr>
          <w:sz w:val="20"/>
          <w:szCs w:val="20"/>
          <w:color w:val="auto"/>
        </w:rPr>
      </w:pPr>
    </w:p>
    <w:p>
      <w:pPr>
        <w:ind w:left="430" w:hanging="430"/>
        <w:spacing w:after="0"/>
        <w:tabs>
          <w:tab w:leader="none" w:pos="430"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08" w:lineRule="exact"/>
        <w:rPr>
          <w:rFonts w:ascii="Times New Roman" w:cs="Times New Roman" w:eastAsia="Times New Roman" w:hAnsi="Times New Roman"/>
          <w:sz w:val="18"/>
          <w:szCs w:val="18"/>
          <w:color w:val="auto"/>
        </w:rPr>
      </w:pPr>
    </w:p>
    <w:p>
      <w:pPr>
        <w:ind w:left="430" w:right="12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Non-Cooperative Jurisdiction </w:t>
      </w:r>
      <w:r>
        <w:rPr>
          <w:rFonts w:ascii="Times New Roman" w:cs="Times New Roman" w:eastAsia="Times New Roman" w:hAnsi="Times New Roman"/>
          <w:sz w:val="18"/>
          <w:szCs w:val="18"/>
          <w:color w:val="auto"/>
        </w:rPr>
        <w:t>means a “non-cooperative tax jurisdiction” (</w:t>
      </w:r>
      <w:r>
        <w:rPr>
          <w:rFonts w:ascii="Times New Roman" w:cs="Times New Roman" w:eastAsia="Times New Roman" w:hAnsi="Times New Roman"/>
          <w:sz w:val="18"/>
          <w:szCs w:val="18"/>
          <w:i w:val="1"/>
          <w:iCs w:val="1"/>
          <w:color w:val="auto"/>
        </w:rPr>
        <w:t>nicht kooperatives Steuerhoheitsgebiet</w:t>
      </w:r>
      <w:r>
        <w:rPr>
          <w:rFonts w:ascii="Times New Roman" w:cs="Times New Roman" w:eastAsia="Times New Roman" w:hAnsi="Times New Roman"/>
          <w:sz w:val="18"/>
          <w:szCs w:val="18"/>
          <w:color w:val="auto"/>
        </w:rPr>
        <w:t>) as set out (or will be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German Act Combating Tax Avoidance and Unfair Tax Competition (</w:t>
      </w:r>
      <w:r>
        <w:rPr>
          <w:rFonts w:ascii="Times New Roman" w:cs="Times New Roman" w:eastAsia="Times New Roman" w:hAnsi="Times New Roman"/>
          <w:sz w:val="18"/>
          <w:szCs w:val="18"/>
          <w:i w:val="1"/>
          <w:iCs w:val="1"/>
          <w:color w:val="auto"/>
        </w:rPr>
        <w:t>Gesetz zur Abwehr von Steuervermeidung und unfairem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Steuerwettbewerb</w:t>
      </w:r>
      <w:r>
        <w:rPr>
          <w:rFonts w:ascii="Times New Roman" w:cs="Times New Roman" w:eastAsia="Times New Roman" w:hAnsi="Times New Roman"/>
          <w:sz w:val="18"/>
          <w:szCs w:val="18"/>
          <w:color w:val="auto"/>
        </w:rPr>
        <w:t>) and the respective legislative decree (</w:t>
      </w:r>
      <w:r>
        <w:rPr>
          <w:rFonts w:ascii="Times New Roman" w:cs="Times New Roman" w:eastAsia="Times New Roman" w:hAnsi="Times New Roman"/>
          <w:sz w:val="18"/>
          <w:szCs w:val="18"/>
          <w:i w:val="1"/>
          <w:iCs w:val="1"/>
          <w:color w:val="auto"/>
        </w:rPr>
        <w:t>Rechtsverordnung</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430" w:right="2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Non-Cooperative Jurisdiction Lender </w:t>
      </w:r>
      <w:r>
        <w:rPr>
          <w:rFonts w:ascii="Times New Roman" w:cs="Times New Roman" w:eastAsia="Times New Roman" w:hAnsi="Times New Roman"/>
          <w:sz w:val="18"/>
          <w:szCs w:val="18"/>
          <w:color w:val="auto"/>
        </w:rPr>
        <w:t>means a Lender incorporated, domiciled, established, or having its principal place of management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Non-Cooperative Jurisdiction.</w:t>
      </w:r>
    </w:p>
    <w:p>
      <w:pPr>
        <w:spacing w:after="0" w:line="57"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Credit </w:t>
      </w:r>
      <w:r>
        <w:rPr>
          <w:rFonts w:ascii="Times New Roman" w:cs="Times New Roman" w:eastAsia="Times New Roman" w:hAnsi="Times New Roman"/>
          <w:sz w:val="18"/>
          <w:szCs w:val="18"/>
          <w:color w:val="auto"/>
        </w:rPr>
        <w:t>means a credit against, relief or remission for, or repayment of any Tax.</w:t>
      </w:r>
    </w:p>
    <w:p>
      <w:pPr>
        <w:spacing w:after="0" w:line="110" w:lineRule="exact"/>
        <w:rPr>
          <w:rFonts w:ascii="Times New Roman" w:cs="Times New Roman" w:eastAsia="Times New Roman" w:hAnsi="Times New Roman"/>
          <w:sz w:val="18"/>
          <w:szCs w:val="18"/>
          <w:color w:val="auto"/>
        </w:rPr>
      </w:pPr>
    </w:p>
    <w:p>
      <w:pPr>
        <w:ind w:left="430" w:right="46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Deduction </w:t>
      </w:r>
      <w:r>
        <w:rPr>
          <w:rFonts w:ascii="Times New Roman" w:cs="Times New Roman" w:eastAsia="Times New Roman" w:hAnsi="Times New Roman"/>
          <w:sz w:val="18"/>
          <w:szCs w:val="18"/>
          <w:color w:val="auto"/>
        </w:rPr>
        <w:t>means a deduction or withholding for or on account of Tax from a payment under a Finance Document, other than a FATCA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w:t>
      </w:r>
    </w:p>
    <w:p>
      <w:pPr>
        <w:spacing w:after="0" w:line="57" w:lineRule="exact"/>
        <w:rPr>
          <w:rFonts w:ascii="Times New Roman" w:cs="Times New Roman" w:eastAsia="Times New Roman" w:hAnsi="Times New Roman"/>
          <w:sz w:val="18"/>
          <w:szCs w:val="18"/>
          <w:color w:val="auto"/>
        </w:rPr>
      </w:pPr>
    </w:p>
    <w:p>
      <w:pPr>
        <w:ind w:left="430" w:right="20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Payment </w:t>
      </w:r>
      <w:r>
        <w:rPr>
          <w:rFonts w:ascii="Times New Roman" w:cs="Times New Roman" w:eastAsia="Times New Roman" w:hAnsi="Times New Roman"/>
          <w:sz w:val="18"/>
          <w:szCs w:val="18"/>
          <w:color w:val="auto"/>
        </w:rPr>
        <w:t>means an increased payment made by an Obligor to a Finance Party under Clause 12.2 (Tax gross-up) or a payment under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12.3 (Tax indemnity).</w:t>
      </w:r>
    </w:p>
    <w:p>
      <w:pPr>
        <w:spacing w:after="0" w:line="73" w:lineRule="exact"/>
        <w:rPr>
          <w:rFonts w:ascii="Times New Roman" w:cs="Times New Roman" w:eastAsia="Times New Roman" w:hAnsi="Times New Roman"/>
          <w:sz w:val="18"/>
          <w:szCs w:val="18"/>
          <w:color w:val="auto"/>
        </w:rPr>
      </w:pPr>
    </w:p>
    <w:p>
      <w:pPr>
        <w:ind w:left="430" w:right="240" w:hanging="430"/>
        <w:spacing w:after="0" w:line="270" w:lineRule="auto"/>
        <w:tabs>
          <w:tab w:leader="none" w:pos="430"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this Clause 12 a reference to “determines” or “determined” means a determination made in the absolute discretion of the person making the determination.</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12.2 Tax gross-up</w:t>
      </w:r>
    </w:p>
    <w:p>
      <w:pPr>
        <w:spacing w:after="0" w:line="126" w:lineRule="exact"/>
        <w:rPr>
          <w:sz w:val="20"/>
          <w:szCs w:val="20"/>
          <w:color w:val="auto"/>
        </w:rPr>
      </w:pPr>
    </w:p>
    <w:p>
      <w:pPr>
        <w:ind w:left="430" w:right="140" w:hanging="430"/>
        <w:spacing w:after="0" w:line="273" w:lineRule="auto"/>
        <w:tabs>
          <w:tab w:leader="none" w:pos="430" w:val="left"/>
        </w:tabs>
        <w:numPr>
          <w:ilvl w:val="0"/>
          <w:numId w:val="7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to be made by the Obligors to any Finance Party under any of the Finance Documents shall be made free and clear of and without any Tax Deduction unless an Obligor is required to make a Tax Deduction, in which case the sum payable by that Obligor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0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90"/>
          </w:cols>
          <w:pgMar w:left="550" w:top="264" w:right="559" w:bottom="1440" w:gutter="0" w:footer="0" w:header="0"/>
        </w:sectPr>
      </w:pPr>
    </w:p>
    <w:bookmarkStart w:id="613" w:name="page614"/>
    <w:bookmarkEnd w:id="613"/>
    <w:p>
      <w:pPr>
        <w:ind w:left="430" w:right="100" w:hanging="430"/>
        <w:spacing w:after="0" w:line="300" w:lineRule="auto"/>
        <w:tabs>
          <w:tab w:leader="none" w:pos="430" w:val="left"/>
        </w:tabs>
        <w:numPr>
          <w:ilvl w:val="0"/>
          <w:numId w:val="7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 payment shall not be increased under paragraph (a) above by reason of a Tax Deduction on account of Tax imposed by Germany if, on the date on which the payment falls due, the Tax Deduction is imposed solely due to the payment being made to a Non-Cooperative Jurisdiction Lender.</w:t>
      </w:r>
    </w:p>
    <w:p>
      <w:pPr>
        <w:spacing w:after="0" w:line="53" w:lineRule="exact"/>
        <w:rPr>
          <w:rFonts w:ascii="Times New Roman" w:cs="Times New Roman" w:eastAsia="Times New Roman" w:hAnsi="Times New Roman"/>
          <w:sz w:val="17"/>
          <w:szCs w:val="17"/>
          <w:color w:val="auto"/>
        </w:rPr>
      </w:pPr>
    </w:p>
    <w:p>
      <w:pPr>
        <w:jc w:val="both"/>
        <w:ind w:left="430" w:right="100" w:hanging="430"/>
        <w:spacing w:after="0" w:line="258" w:lineRule="auto"/>
        <w:tabs>
          <w:tab w:leader="none" w:pos="43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shall promptly upon becoming aware that it must make a Tax Deduction (or that there is any change in the rate or the basis of a Tax Deduction) notify the Agent accordingly. Similarly, a Lender shall notify the Agent on becoming so aware in respect of a payment payable by an Obligor to that Lender. If the Agent receives such notification from a Lender it shall notify that Obligor.</w:t>
      </w:r>
    </w:p>
    <w:p>
      <w:pPr>
        <w:spacing w:after="0" w:line="85" w:lineRule="exact"/>
        <w:rPr>
          <w:rFonts w:ascii="Times New Roman" w:cs="Times New Roman" w:eastAsia="Times New Roman" w:hAnsi="Times New Roman"/>
          <w:sz w:val="18"/>
          <w:szCs w:val="18"/>
          <w:color w:val="auto"/>
        </w:rPr>
      </w:pPr>
    </w:p>
    <w:p>
      <w:pPr>
        <w:ind w:left="430" w:right="140" w:hanging="430"/>
        <w:spacing w:after="0" w:line="270" w:lineRule="auto"/>
        <w:tabs>
          <w:tab w:leader="none" w:pos="43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76" w:lineRule="exact"/>
        <w:rPr>
          <w:rFonts w:ascii="Times New Roman" w:cs="Times New Roman" w:eastAsia="Times New Roman" w:hAnsi="Times New Roman"/>
          <w:sz w:val="18"/>
          <w:szCs w:val="18"/>
          <w:color w:val="auto"/>
        </w:rPr>
      </w:pPr>
    </w:p>
    <w:p>
      <w:pPr>
        <w:jc w:val="both"/>
        <w:ind w:left="430" w:right="20" w:hanging="430"/>
        <w:spacing w:after="0" w:line="253" w:lineRule="auto"/>
        <w:tabs>
          <w:tab w:leader="none" w:pos="43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of making either a Tax Deduction or any payment required in connection with that Tax Deduction, the Obligor making that Tax Deduction shall deliver to the Agent for the Finance Party entitled to the payment (to which such Tax Deduction relates) evidence reasonably satisfactory to that Finance Party that such Tax Deduction has been made or (as applicable) any appropriate payment has been paid to the relevant taxing authority.</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have any duty or obligation to facilitate the making of any Tax Deduction by the Obligors.</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12.3 Tax indemnity</w:t>
      </w:r>
    </w:p>
    <w:p>
      <w:pPr>
        <w:spacing w:after="0" w:line="126" w:lineRule="exact"/>
        <w:rPr>
          <w:sz w:val="20"/>
          <w:szCs w:val="20"/>
          <w:color w:val="auto"/>
        </w:rPr>
      </w:pPr>
    </w:p>
    <w:p>
      <w:pPr>
        <w:ind w:left="430" w:hanging="430"/>
        <w:spacing w:after="0" w:line="250" w:lineRule="auto"/>
        <w:tabs>
          <w:tab w:leader="none" w:pos="43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Clause 12.2 (Tax gross-up), if any Finance Party is required to make any payment of or on account of Tax on or in relation to any sum received or receivable under any of the Finance Documents (including any sum deemed for purposes of Tax to be received or receivable by such Finance Party whether or not actually received or receivable) or if any liability in respect of any such payment is asserted, imposed, levied or assessed against any Finance Party, the Borrower(s) shall, within ten (10) Business Days of demand of the Agent, indemnify each Finance Party which suffers a loss or liability as a result against such payment or liability, together with any interest, penalties, costs and expenses payable or incurred in connection therewith,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this Clause 12.3 shall not apply to:</w:t>
      </w:r>
    </w:p>
    <w:p>
      <w:pPr>
        <w:spacing w:after="0" w:line="94" w:lineRule="exact"/>
        <w:rPr>
          <w:rFonts w:ascii="Times New Roman" w:cs="Times New Roman" w:eastAsia="Times New Roman" w:hAnsi="Times New Roman"/>
          <w:sz w:val="18"/>
          <w:szCs w:val="18"/>
          <w:color w:val="auto"/>
        </w:rPr>
      </w:pPr>
    </w:p>
    <w:p>
      <w:pPr>
        <w:ind w:left="1050" w:right="360" w:hanging="626"/>
        <w:spacing w:after="0" w:line="258" w:lineRule="auto"/>
        <w:tabs>
          <w:tab w:leader="none" w:pos="1050" w:val="left"/>
        </w:tabs>
        <w:numPr>
          <w:ilvl w:val="1"/>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and calculated by reference to the net income actually received or receivable by such Finance Party (but, for the avoidance of doubt, not including any sum deemed for purposes of Tax to be received or receivable by such Finance Party but not actually receivable) by the jurisdiction in which such Finance Party is incorporated;</w:t>
      </w:r>
    </w:p>
    <w:p>
      <w:pPr>
        <w:spacing w:after="0" w:line="85" w:lineRule="exact"/>
        <w:rPr>
          <w:rFonts w:ascii="Times New Roman" w:cs="Times New Roman" w:eastAsia="Times New Roman" w:hAnsi="Times New Roman"/>
          <w:sz w:val="18"/>
          <w:szCs w:val="18"/>
          <w:color w:val="auto"/>
        </w:rPr>
      </w:pPr>
    </w:p>
    <w:p>
      <w:pPr>
        <w:ind w:left="1050" w:right="220" w:hanging="626"/>
        <w:spacing w:after="0" w:line="280" w:lineRule="auto"/>
        <w:tabs>
          <w:tab w:leader="none" w:pos="1050" w:val="left"/>
        </w:tabs>
        <w:numPr>
          <w:ilvl w:val="1"/>
          <w:numId w:val="7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imposed on and calculated by reference to the net income of the Facility Office of such Finance Party actually received or receivable by such Finance Party (but, for the avoidance of doubt, not including any sum deemed for purposes of Tax to be received or receivable by such Finance Party but not actually receivable) by the jurisdiction in which its Facility Office is located; or</w:t>
      </w:r>
    </w:p>
    <w:p>
      <w:pPr>
        <w:spacing w:after="0" w:line="69"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loss, liability or cost:</w:t>
      </w:r>
    </w:p>
    <w:p>
      <w:pPr>
        <w:spacing w:after="0" w:line="121"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an increased payment under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710" w:right="60" w:hanging="639"/>
        <w:spacing w:after="0" w:line="270" w:lineRule="auto"/>
        <w:tabs>
          <w:tab w:leader="none" w:pos="1710" w:val="left"/>
        </w:tabs>
        <w:numPr>
          <w:ilvl w:val="2"/>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been so compensated but was not so compensated solely because one or more of the exclusions contained in Clause 12.2 (</w:t>
      </w:r>
      <w:r>
        <w:rPr>
          <w:rFonts w:ascii="Times New Roman" w:cs="Times New Roman" w:eastAsia="Times New Roman" w:hAnsi="Times New Roman"/>
          <w:sz w:val="18"/>
          <w:szCs w:val="18"/>
          <w:i w:val="1"/>
          <w:iCs w:val="1"/>
          <w:color w:val="auto"/>
        </w:rPr>
        <w:t>Tax gross-up</w:t>
      </w:r>
      <w:r>
        <w:rPr>
          <w:rFonts w:ascii="Times New Roman" w:cs="Times New Roman" w:eastAsia="Times New Roman" w:hAnsi="Times New Roman"/>
          <w:sz w:val="18"/>
          <w:szCs w:val="18"/>
          <w:color w:val="auto"/>
        </w:rPr>
        <w:t>);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Tax imposed by Germany solely because the Lender is a Non-Cooperative Jurisdiction Lender;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FATCA Deduction required to be made by a Party;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compensated for by Clause 12.5 (Stamp taxes) or Clause 12.6 (VAT).</w:t>
      </w:r>
    </w:p>
    <w:p>
      <w:pPr>
        <w:spacing w:after="0" w:line="123"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(other than the Agent) intending to make a claim under paragraph (a) shall notify the Agent of the event giving rise to such claim, whereupon the Agent shall notify the Borrower(s) thereof.</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shall, on receiving a payment from an Obligor under this Clause 12.3, notify the Agent.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12.4 Tax Credit</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If an Obligor makes a Tax Payment in respect of a Finance Party and that Finance Party (acting in good faith) determines that:</w:t>
      </w:r>
    </w:p>
    <w:p>
      <w:pPr>
        <w:spacing w:after="0" w:line="124" w:lineRule="exact"/>
        <w:rPr>
          <w:sz w:val="20"/>
          <w:szCs w:val="20"/>
          <w:color w:val="auto"/>
        </w:rPr>
      </w:pPr>
    </w:p>
    <w:p>
      <w:pPr>
        <w:ind w:left="1050" w:right="120" w:hanging="626"/>
        <w:spacing w:after="0" w:line="270" w:lineRule="auto"/>
        <w:tabs>
          <w:tab w:leader="none" w:pos="105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Credit is attributable to an increased payment of which that Tax Payment forms part, to that Tax Payment or to a Tax Deduction in consequence of which that Tax Payment was required;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Finance Party has obtained and utilised that Tax Credit,</w:t>
      </w:r>
    </w:p>
    <w:p>
      <w:pPr>
        <w:spacing w:after="0" w:line="110"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that Finance Party shall pay an amount to the Obligor which that Finance Party determines will leave it (after that payment) in the same after-Tax position as it would have been in had the Tax Payment not been required to be made by that Obligor.</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70"/>
          </w:cols>
          <w:pgMar w:left="550" w:top="386" w:right="579" w:bottom="1440" w:gutter="0" w:footer="0" w:header="0"/>
        </w:sectPr>
      </w:pPr>
    </w:p>
    <w:bookmarkStart w:id="614" w:name="page615"/>
    <w:bookmarkEnd w:id="614"/>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12.5 Stamp taxes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Borrower(s) shall:</w:t>
      </w:r>
    </w:p>
    <w:p>
      <w:pPr>
        <w:spacing w:after="0" w:line="124" w:lineRule="exact"/>
        <w:rPr>
          <w:sz w:val="20"/>
          <w:szCs w:val="20"/>
          <w:color w:val="auto"/>
        </w:rPr>
      </w:pPr>
    </w:p>
    <w:p>
      <w:pPr>
        <w:ind w:left="1050" w:right="100" w:hanging="626"/>
        <w:spacing w:after="0" w:line="270" w:lineRule="auto"/>
        <w:tabs>
          <w:tab w:leader="none" w:pos="105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any applicable deadline or grace period required or permitted by applicable law or regulation) pay all stamp duty, registration and other similar Taxes payable in respect of any Finance Document; and</w:t>
      </w:r>
    </w:p>
    <w:p>
      <w:pPr>
        <w:spacing w:after="0" w:line="76"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of demand, indemnify each Finance Party against any cost, loss or liability which that Finance Party incurs in relation to any or all stamp duty, registration and/or other similar Taxes paid or payable in respect of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12.6 VAT</w:t>
      </w:r>
    </w:p>
    <w:p>
      <w:pPr>
        <w:spacing w:after="0" w:line="126" w:lineRule="exact"/>
        <w:rPr>
          <w:sz w:val="20"/>
          <w:szCs w:val="20"/>
          <w:color w:val="auto"/>
        </w:rPr>
      </w:pPr>
    </w:p>
    <w:p>
      <w:pPr>
        <w:ind w:left="430" w:hanging="430"/>
        <w:spacing w:after="0" w:line="250" w:lineRule="auto"/>
        <w:tabs>
          <w:tab w:leader="none" w:pos="430"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92" w:lineRule="exact"/>
        <w:rPr>
          <w:rFonts w:ascii="Times New Roman" w:cs="Times New Roman" w:eastAsia="Times New Roman" w:hAnsi="Times New Roman"/>
          <w:sz w:val="18"/>
          <w:szCs w:val="18"/>
          <w:color w:val="auto"/>
        </w:rPr>
      </w:pPr>
    </w:p>
    <w:p>
      <w:pPr>
        <w:ind w:left="1050" w:right="320" w:hanging="626"/>
        <w:spacing w:after="0" w:line="254" w:lineRule="auto"/>
        <w:tabs>
          <w:tab w:leader="none" w:pos="1050" w:val="left"/>
        </w:tabs>
        <w:numPr>
          <w:ilvl w:val="1"/>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VAT is or becomes chargeable on any supply made by any Finance Party (the </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xml:space="preserve">) to any other Finance Party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xml:space="preserve">) under a Finance Document, and any Party other than the Recipient (the </w:t>
      </w:r>
      <w:r>
        <w:rPr>
          <w:rFonts w:ascii="Times New Roman" w:cs="Times New Roman" w:eastAsia="Times New Roman" w:hAnsi="Times New Roman"/>
          <w:sz w:val="18"/>
          <w:szCs w:val="18"/>
          <w:b w:val="1"/>
          <w:bCs w:val="1"/>
          <w:color w:val="auto"/>
        </w:rPr>
        <w:t>Relevant Party</w:t>
      </w:r>
      <w:r>
        <w:rPr>
          <w:rFonts w:ascii="Times New Roman" w:cs="Times New Roman" w:eastAsia="Times New Roman" w:hAnsi="Times New Roman"/>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90" w:lineRule="exact"/>
        <w:rPr>
          <w:rFonts w:ascii="Times New Roman" w:cs="Times New Roman" w:eastAsia="Times New Roman" w:hAnsi="Times New Roman"/>
          <w:sz w:val="18"/>
          <w:szCs w:val="18"/>
          <w:color w:val="auto"/>
        </w:rPr>
      </w:pPr>
    </w:p>
    <w:p>
      <w:pPr>
        <w:ind w:left="1710" w:right="60" w:hanging="639"/>
        <w:spacing w:after="0" w:line="251" w:lineRule="auto"/>
        <w:tabs>
          <w:tab w:leader="none" w:pos="1710" w:val="left"/>
        </w:tabs>
        <w:numPr>
          <w:ilvl w:val="2"/>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94" w:lineRule="exact"/>
        <w:rPr>
          <w:rFonts w:ascii="Times New Roman" w:cs="Times New Roman" w:eastAsia="Times New Roman" w:hAnsi="Times New Roman"/>
          <w:sz w:val="18"/>
          <w:szCs w:val="18"/>
          <w:color w:val="auto"/>
        </w:rPr>
      </w:pPr>
    </w:p>
    <w:p>
      <w:pPr>
        <w:ind w:left="1710" w:right="60" w:hanging="639"/>
        <w:spacing w:after="0" w:line="253" w:lineRule="auto"/>
        <w:tabs>
          <w:tab w:leader="none" w:pos="1710" w:val="left"/>
        </w:tabs>
        <w:numPr>
          <w:ilvl w:val="2"/>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92" w:lineRule="exact"/>
        <w:rPr>
          <w:rFonts w:ascii="Times New Roman" w:cs="Times New Roman" w:eastAsia="Times New Roman" w:hAnsi="Times New Roman"/>
          <w:sz w:val="18"/>
          <w:szCs w:val="18"/>
          <w:color w:val="auto"/>
        </w:rPr>
      </w:pPr>
    </w:p>
    <w:p>
      <w:pPr>
        <w:ind w:left="1050" w:right="120" w:hanging="626"/>
        <w:spacing w:after="0" w:line="253" w:lineRule="auto"/>
        <w:tabs>
          <w:tab w:leader="none" w:pos="1050" w:val="left"/>
        </w:tabs>
        <w:numPr>
          <w:ilvl w:val="1"/>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Times New Roman" w:cs="Times New Roman" w:eastAsia="Times New Roman" w:hAnsi="Times New Roman"/>
          <w:sz w:val="18"/>
          <w:szCs w:val="18"/>
          <w:color w:val="auto"/>
        </w:rPr>
      </w:pPr>
    </w:p>
    <w:p>
      <w:pPr>
        <w:ind w:left="1050" w:right="60" w:hanging="626"/>
        <w:spacing w:after="0" w:line="267" w:lineRule="auto"/>
        <w:tabs>
          <w:tab w:leader="none" w:pos="1050" w:val="left"/>
        </w:tabs>
        <w:numPr>
          <w:ilvl w:val="1"/>
          <w:numId w:val="7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in this Clause 12.6 to any Party shall, at any time when such Party is treated as a member of a group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as amended (or as implemented by any relevant member state of the European Union)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83" w:lineRule="exact"/>
        <w:rPr>
          <w:rFonts w:ascii="Times New Roman" w:cs="Times New Roman" w:eastAsia="Times New Roman" w:hAnsi="Times New Roman"/>
          <w:sz w:val="17"/>
          <w:szCs w:val="17"/>
          <w:color w:val="auto"/>
        </w:rPr>
      </w:pPr>
    </w:p>
    <w:p>
      <w:pPr>
        <w:ind w:left="1050" w:hanging="626"/>
        <w:spacing w:after="0" w:line="258" w:lineRule="auto"/>
        <w:tabs>
          <w:tab w:leader="none" w:pos="1050" w:val="left"/>
        </w:tabs>
        <w:numPr>
          <w:ilvl w:val="1"/>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12.7 FATCA information</w:t>
      </w:r>
    </w:p>
    <w:p>
      <w:pPr>
        <w:spacing w:after="0" w:line="126" w:lineRule="exact"/>
        <w:rPr>
          <w:sz w:val="20"/>
          <w:szCs w:val="20"/>
          <w:color w:val="auto"/>
        </w:rPr>
      </w:pPr>
    </w:p>
    <w:p>
      <w:pPr>
        <w:ind w:left="430" w:hanging="430"/>
        <w:spacing w:after="0"/>
        <w:tabs>
          <w:tab w:leader="none" w:pos="430"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(c) below, each Party shall, within ten (10) Business Days of a reasonable request by another Party: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to that other Party whether it is:</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FATCA Exempt Party;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FATCA Exempt Party;</w:t>
      </w:r>
    </w:p>
    <w:p>
      <w:pPr>
        <w:spacing w:after="0" w:line="123" w:lineRule="exact"/>
        <w:rPr>
          <w:rFonts w:ascii="Times New Roman" w:cs="Times New Roman" w:eastAsia="Times New Roman" w:hAnsi="Times New Roman"/>
          <w:sz w:val="18"/>
          <w:szCs w:val="18"/>
          <w:color w:val="auto"/>
        </w:rPr>
      </w:pPr>
    </w:p>
    <w:p>
      <w:pPr>
        <w:ind w:left="1050" w:right="620" w:hanging="626"/>
        <w:spacing w:after="0" w:line="270" w:lineRule="auto"/>
        <w:tabs>
          <w:tab w:leader="none" w:pos="1050" w:val="left"/>
        </w:tabs>
        <w:numPr>
          <w:ilvl w:val="1"/>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70"/>
          </w:cols>
          <w:pgMar w:left="550" w:top="265" w:right="579" w:bottom="1440" w:gutter="0" w:footer="0" w:header="0"/>
        </w:sectPr>
      </w:pPr>
    </w:p>
    <w:bookmarkStart w:id="615" w:name="page616"/>
    <w:bookmarkEnd w:id="615"/>
    <w:p>
      <w:pPr>
        <w:ind w:left="1050" w:right="240" w:hanging="626"/>
        <w:spacing w:after="0" w:line="270" w:lineRule="auto"/>
        <w:tabs>
          <w:tab w:leader="none" w:pos="1050" w:val="left"/>
        </w:tabs>
        <w:numPr>
          <w:ilvl w:val="1"/>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6">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76"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confirms to another Party pursuant to paragraph (a)(i) above that it is a FATCA Exempt Party and it subsequently becomes aware that it is not or has ceased to be a FATCA Exempt Party, that Party shall notify that other Party as soon as reasonably practicable.</w:t>
      </w:r>
    </w:p>
    <w:p>
      <w:pPr>
        <w:spacing w:after="0" w:line="76"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w:t>
      </w:r>
    </w:p>
    <w:p>
      <w:pPr>
        <w:spacing w:after="0" w:line="124" w:lineRule="exact"/>
        <w:rPr>
          <w:sz w:val="20"/>
          <w:szCs w:val="20"/>
          <w:color w:val="auto"/>
        </w:rPr>
      </w:pPr>
    </w:p>
    <w:p>
      <w:pPr>
        <w:ind w:left="1050" w:hanging="626"/>
        <w:spacing w:after="0"/>
        <w:tabs>
          <w:tab w:leader="none" w:pos="1050" w:val="left"/>
        </w:tabs>
        <w:numPr>
          <w:ilvl w:val="1"/>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fiduciary duty;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duty of confidentiality.</w:t>
      </w:r>
    </w:p>
    <w:p>
      <w:pPr>
        <w:spacing w:after="0" w:line="123" w:lineRule="exact"/>
        <w:rPr>
          <w:rFonts w:ascii="Times New Roman" w:cs="Times New Roman" w:eastAsia="Times New Roman" w:hAnsi="Times New Roman"/>
          <w:sz w:val="18"/>
          <w:szCs w:val="18"/>
          <w:color w:val="auto"/>
        </w:rPr>
      </w:pPr>
    </w:p>
    <w:p>
      <w:pPr>
        <w:ind w:left="430" w:right="40" w:hanging="430"/>
        <w:spacing w:after="0" w:line="253" w:lineRule="auto"/>
        <w:tabs>
          <w:tab w:leader="none" w:pos="43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such requested confirmation, forms, documentation or other information.</w:t>
      </w:r>
    </w:p>
    <w:p>
      <w:pPr>
        <w:spacing w:after="0" w:line="92" w:lineRule="exact"/>
        <w:rPr>
          <w:rFonts w:ascii="Times New Roman" w:cs="Times New Roman" w:eastAsia="Times New Roman" w:hAnsi="Times New Roman"/>
          <w:sz w:val="18"/>
          <w:szCs w:val="18"/>
          <w:color w:val="auto"/>
        </w:rPr>
      </w:pPr>
    </w:p>
    <w:p>
      <w:pPr>
        <w:ind w:left="430" w:right="140" w:hanging="430"/>
        <w:spacing w:after="0" w:line="270" w:lineRule="auto"/>
        <w:tabs>
          <w:tab w:leader="none" w:pos="43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Borrower is a US Tax Obligor or the Agent reasonably believes that its obligations under FATCA or any other applicable law or regulation require it, each Lender shall, within ten (10) Business Days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a US Tax Obligor and such Lender is an Original Lender, the date of this Agreement;</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a US Tax Obligor on a Transfer Date and such Lender is a New Lender (in respect of any assignment or transfer by an Existing Lender to such New Lender), the Transfer Date in respect of such assignment or transfer;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 new US Tax Obligor accedes as a Borrower;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Borrower is not a US Tax Obligor, the date of a request from the Agent,</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supply to the Agent:</w:t>
      </w:r>
    </w:p>
    <w:p>
      <w:pPr>
        <w:spacing w:after="0" w:line="124" w:lineRule="exact"/>
        <w:rPr>
          <w:sz w:val="20"/>
          <w:szCs w:val="20"/>
          <w:color w:val="auto"/>
        </w:rPr>
      </w:pPr>
    </w:p>
    <w:p>
      <w:pPr>
        <w:ind w:left="1710" w:hanging="639"/>
        <w:spacing w:after="0"/>
        <w:tabs>
          <w:tab w:leader="none" w:pos="1710" w:val="left"/>
        </w:tabs>
        <w:numPr>
          <w:ilvl w:val="2"/>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withholding certificate on Form W-8, Form W-9 or any other relevant form; or</w:t>
      </w:r>
    </w:p>
    <w:p>
      <w:pPr>
        <w:spacing w:after="0" w:line="123" w:lineRule="exact"/>
        <w:rPr>
          <w:rFonts w:ascii="Times New Roman" w:cs="Times New Roman" w:eastAsia="Times New Roman" w:hAnsi="Times New Roman"/>
          <w:sz w:val="18"/>
          <w:szCs w:val="18"/>
          <w:color w:val="auto"/>
        </w:rPr>
      </w:pPr>
    </w:p>
    <w:p>
      <w:pPr>
        <w:ind w:left="1710" w:right="100" w:hanging="639"/>
        <w:spacing w:after="0" w:line="270" w:lineRule="auto"/>
        <w:tabs>
          <w:tab w:leader="none" w:pos="1710" w:val="left"/>
        </w:tabs>
        <w:numPr>
          <w:ilvl w:val="2"/>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statement or other document, authorisation or waiver as the Agent may require to certify or establish the status of such Lender under FATCA or that other law or regulation.</w:t>
      </w:r>
    </w:p>
    <w:p>
      <w:pPr>
        <w:spacing w:after="0" w:line="76"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provide any withholding certificate, withholding statement, document, authorisation or waiver it receives from a Lender pursuant to paragraph (e) above to the Borrower(s).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7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withholding certificate, withholding statement, document, authorisation or waiver provided to the Agent by a Lender pursuant to paragraph</w:t>
      </w:r>
    </w:p>
    <w:p>
      <w:pPr>
        <w:spacing w:after="0" w:line="33" w:lineRule="exact"/>
        <w:rPr>
          <w:rFonts w:ascii="Times New Roman" w:cs="Times New Roman" w:eastAsia="Times New Roman" w:hAnsi="Times New Roman"/>
          <w:sz w:val="17"/>
          <w:szCs w:val="17"/>
          <w:color w:val="auto"/>
        </w:rPr>
      </w:pPr>
    </w:p>
    <w:p>
      <w:pPr>
        <w:ind w:left="430" w:right="60" w:hanging="6"/>
        <w:spacing w:after="0" w:line="246" w:lineRule="auto"/>
        <w:tabs>
          <w:tab w:leader="none" w:pos="669"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or becomes materially inaccurate or incomplete, that Lender shall promptly update it and provide such updated withholding certificate, withholding statement, document, authorisation or waiver to the Agent unless it is unlawful for that Lender to do so (in which case that Lender shall promptly notify the Agent). The Agent shall provide any such updated withholding certificate, withholding statement, document, authorisation or waiver to the Borrower(s).</w:t>
      </w:r>
    </w:p>
    <w:p>
      <w:pPr>
        <w:spacing w:after="0" w:line="98" w:lineRule="exact"/>
        <w:rPr>
          <w:rFonts w:ascii="Times New Roman" w:cs="Times New Roman" w:eastAsia="Times New Roman" w:hAnsi="Times New Roman"/>
          <w:sz w:val="18"/>
          <w:szCs w:val="18"/>
          <w:color w:val="auto"/>
        </w:rPr>
      </w:pPr>
    </w:p>
    <w:p>
      <w:pPr>
        <w:ind w:left="430" w:right="160" w:hanging="430"/>
        <w:spacing w:after="0" w:line="258" w:lineRule="auto"/>
        <w:tabs>
          <w:tab w:leader="none" w:pos="430"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12.8 FATCA Deduction</w:t>
      </w:r>
    </w:p>
    <w:p>
      <w:pPr>
        <w:spacing w:after="0" w:line="126" w:lineRule="exact"/>
        <w:rPr>
          <w:sz w:val="20"/>
          <w:szCs w:val="20"/>
          <w:color w:val="auto"/>
        </w:rPr>
      </w:pPr>
    </w:p>
    <w:p>
      <w:pPr>
        <w:ind w:left="430" w:hanging="430"/>
        <w:spacing w:after="0" w:line="258" w:lineRule="auto"/>
        <w:tabs>
          <w:tab w:leader="none" w:pos="430"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that payment for that FATCA Deduction.</w:t>
      </w:r>
    </w:p>
    <w:p>
      <w:pPr>
        <w:spacing w:after="0" w:line="85" w:lineRule="exact"/>
        <w:rPr>
          <w:rFonts w:ascii="Times New Roman" w:cs="Times New Roman" w:eastAsia="Times New Roman" w:hAnsi="Times New Roman"/>
          <w:sz w:val="18"/>
          <w:szCs w:val="18"/>
          <w:color w:val="auto"/>
        </w:rPr>
      </w:pPr>
    </w:p>
    <w:p>
      <w:pPr>
        <w:jc w:val="both"/>
        <w:ind w:left="430" w:right="20" w:hanging="430"/>
        <w:spacing w:after="0" w:line="253" w:lineRule="auto"/>
        <w:tabs>
          <w:tab w:leader="none" w:pos="430"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as soon as reasonably practicable, upon becoming aware that it must make a FATCA Deduction (or that there is any change in the rate or the basis of such FATCA Deduction), and in any case at least three (3) Business Days prior to making a FATCA Deduction, notify the Party to whom it is making the payment (to which such FATCA Deduction relates) and, in addition, on or prior to the day on which it notifies that Party, shall also notify the Borrower(s), the Agent and the other Finance Parties.</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90"/>
          </w:cols>
          <w:pgMar w:left="550" w:top="267" w:right="559" w:bottom="1440" w:gutter="0" w:footer="0" w:header="0"/>
        </w:sectPr>
      </w:pPr>
    </w:p>
    <w:bookmarkStart w:id="616" w:name="page617"/>
    <w:bookmarkEnd w:id="616"/>
    <w:p>
      <w:pPr>
        <w:ind w:left="10" w:right="8640" w:hanging="10"/>
        <w:spacing w:after="0" w:line="406" w:lineRule="auto"/>
        <w:tabs>
          <w:tab w:leader="none" w:pos="433" w:val="left"/>
        </w:tabs>
        <w:numPr>
          <w:ilvl w:val="0"/>
          <w:numId w:val="8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INCREASED COSTS 13.1 Increased Costs</w:t>
      </w:r>
    </w:p>
    <w:p>
      <w:pPr>
        <w:spacing w:after="0" w:line="2" w:lineRule="exact"/>
        <w:rPr>
          <w:sz w:val="20"/>
          <w:szCs w:val="20"/>
          <w:color w:val="auto"/>
        </w:rPr>
      </w:pPr>
    </w:p>
    <w:p>
      <w:pPr>
        <w:ind w:left="430" w:right="360" w:hanging="430"/>
        <w:spacing w:after="0" w:line="270" w:lineRule="auto"/>
        <w:tabs>
          <w:tab w:leader="none" w:pos="43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13.3 (Exceptions), the Borrower(s) shall, within ten (10) Business Days of a demand by the Agent, pay for the account of a Finance Party the amount of any Increased Costs incurred by that Finance Party or any of its Affiliates as a result of: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any change in (or in the interpretation, administration or application of) any law or regulation;</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law or regulation made, enacted, issued or put into effect after the date of this Agreement; or</w:t>
      </w:r>
    </w:p>
    <w:p>
      <w:pPr>
        <w:spacing w:after="0" w:line="123"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1"/>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or application of, or compliance with, Basel III or CRD IV or any law or regulation that implements or applies Basel III or CRD IV.</w:t>
      </w:r>
    </w:p>
    <w:p>
      <w:pPr>
        <w:spacing w:after="0" w:line="63" w:lineRule="exact"/>
        <w:rPr>
          <w:sz w:val="20"/>
          <w:szCs w:val="20"/>
          <w:color w:val="auto"/>
        </w:rPr>
      </w:pPr>
    </w:p>
    <w:p>
      <w:pPr>
        <w:ind w:left="430" w:right="480"/>
        <w:spacing w:after="0" w:line="270" w:lineRule="auto"/>
        <w:rPr>
          <w:sz w:val="20"/>
          <w:szCs w:val="20"/>
          <w:color w:val="auto"/>
        </w:rPr>
      </w:pPr>
      <w:r>
        <w:rPr>
          <w:rFonts w:ascii="Times New Roman" w:cs="Times New Roman" w:eastAsia="Times New Roman" w:hAnsi="Times New Roman"/>
          <w:sz w:val="18"/>
          <w:szCs w:val="18"/>
          <w:color w:val="auto"/>
        </w:rPr>
        <w:t>The terms “law” and “regulation” in this paragraph (a) shall include, without limitation, any law or regulation concerning capital adequacy, prudential limits, liquidity, reserve assets or Tax.</w:t>
      </w:r>
    </w:p>
    <w:p>
      <w:pPr>
        <w:spacing w:after="0" w:line="76" w:lineRule="exact"/>
        <w:rPr>
          <w:sz w:val="20"/>
          <w:szCs w:val="20"/>
          <w:color w:val="auto"/>
        </w:rPr>
      </w:pPr>
    </w:p>
    <w:p>
      <w:pPr>
        <w:ind w:left="430" w:hanging="430"/>
        <w:spacing w:after="0"/>
        <w:tabs>
          <w:tab w:leader="none" w:pos="430" w:val="left"/>
        </w:tabs>
        <w:numPr>
          <w:ilvl w:val="0"/>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w:t>
      </w:r>
    </w:p>
    <w:p>
      <w:pPr>
        <w:spacing w:after="0" w:line="108" w:lineRule="exact"/>
        <w:rPr>
          <w:rFonts w:ascii="Times New Roman" w:cs="Times New Roman" w:eastAsia="Times New Roman" w:hAnsi="Times New Roman"/>
          <w:sz w:val="18"/>
          <w:szCs w:val="18"/>
          <w:color w:val="auto"/>
        </w:rPr>
      </w:pPr>
    </w:p>
    <w:p>
      <w:pPr>
        <w:ind w:left="430" w:right="28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Basel II </w:t>
      </w:r>
      <w:r>
        <w:rPr>
          <w:rFonts w:ascii="Times New Roman" w:cs="Times New Roman" w:eastAsia="Times New Roman" w:hAnsi="Times New Roman"/>
          <w:sz w:val="18"/>
          <w:szCs w:val="18"/>
          <w:color w:val="auto"/>
        </w:rPr>
        <w:t>means the “International Convergence of Capital Measurement and Capital Standards, a Revised Framework” published by the Basel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on Banking Supervision in June 2004.</w:t>
      </w:r>
    </w:p>
    <w:p>
      <w:pPr>
        <w:spacing w:after="0" w:line="57"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Basel III </w:t>
      </w:r>
      <w:r>
        <w:rPr>
          <w:rFonts w:ascii="Times New Roman" w:cs="Times New Roman" w:eastAsia="Times New Roman" w:hAnsi="Times New Roman"/>
          <w:sz w:val="18"/>
          <w:szCs w:val="18"/>
          <w:color w:val="auto"/>
        </w:rPr>
        <w:t>means:</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agreements on capital requirements, a leverage ratio and liquidity standards contained in “Basel III: A global regulatory framework</w:t>
      </w:r>
    </w:p>
    <w:p>
      <w:pPr>
        <w:spacing w:after="0" w:line="33" w:lineRule="exact"/>
        <w:rPr>
          <w:rFonts w:ascii="Times New Roman" w:cs="Times New Roman" w:eastAsia="Times New Roman" w:hAnsi="Times New Roman"/>
          <w:sz w:val="17"/>
          <w:szCs w:val="17"/>
          <w:color w:val="auto"/>
        </w:rPr>
      </w:pPr>
    </w:p>
    <w:p>
      <w:pPr>
        <w:ind w:left="1050" w:right="2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96" w:lineRule="exact"/>
        <w:rPr>
          <w:rFonts w:ascii="Times New Roman" w:cs="Times New Roman" w:eastAsia="Times New Roman" w:hAnsi="Times New Roman"/>
          <w:sz w:val="17"/>
          <w:szCs w:val="17"/>
          <w:color w:val="auto"/>
        </w:rPr>
      </w:pPr>
    </w:p>
    <w:p>
      <w:pPr>
        <w:ind w:left="1050" w:right="140" w:hanging="626"/>
        <w:spacing w:after="0" w:line="258" w:lineRule="auto"/>
        <w:tabs>
          <w:tab w:leader="none" w:pos="1050"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guidance or standards published by the Basel Committee on Banking Supervision relating to “Basel III”;</w:t>
      </w:r>
    </w:p>
    <w:p>
      <w:pPr>
        <w:spacing w:after="0" w:line="10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CRD IV </w:t>
      </w:r>
      <w:r>
        <w:rPr>
          <w:rFonts w:ascii="Times New Roman" w:cs="Times New Roman" w:eastAsia="Times New Roman" w:hAnsi="Times New Roman"/>
          <w:sz w:val="18"/>
          <w:szCs w:val="18"/>
          <w:color w:val="auto"/>
        </w:rPr>
        <w:t>means EU CRD IV and UK CRD IV;</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EU CRD IV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0" w:hanging="626"/>
        <w:spacing w:after="0" w:line="270" w:lineRule="auto"/>
        <w:tabs>
          <w:tab w:leader="none" w:pos="1050"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No 575/2013 of the European Parliament and of the Council of 26 June 2013 on prudential requirements for credit institutions and investment firms; and</w:t>
      </w:r>
    </w:p>
    <w:p>
      <w:pPr>
        <w:spacing w:after="0" w:line="76" w:lineRule="exact"/>
        <w:rPr>
          <w:rFonts w:ascii="Times New Roman" w:cs="Times New Roman" w:eastAsia="Times New Roman" w:hAnsi="Times New Roman"/>
          <w:sz w:val="18"/>
          <w:szCs w:val="18"/>
          <w:color w:val="auto"/>
        </w:rPr>
      </w:pPr>
    </w:p>
    <w:p>
      <w:pPr>
        <w:ind w:left="1050" w:right="120" w:hanging="626"/>
        <w:spacing w:after="0" w:line="258" w:lineRule="auto"/>
        <w:tabs>
          <w:tab w:leader="none" w:pos="1050"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w:t>
      </w:r>
    </w:p>
    <w:p>
      <w:pPr>
        <w:spacing w:after="0" w:line="7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Increased Costs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hanging="626"/>
        <w:spacing w:after="0"/>
        <w:tabs>
          <w:tab w:leader="none" w:pos="1050"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rate of return from the Facility (or any part thereof) or on a Finance Party’s (or its Affiliate’s) overall capital;</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or increased cost;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any amount due and payable under any Finance Document,</w:t>
      </w:r>
    </w:p>
    <w:p>
      <w:pPr>
        <w:spacing w:after="0" w:line="110"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which is incurred or suffered by a Finance Party or any of its Affiliates to the extent that it is attributable to the undertaking, funding or performance by that Finance Party of any of its obligations under any Finance Document or any participation of that Finance Party in any Loan or Unpaid Sum.</w:t>
      </w:r>
    </w:p>
    <w:p>
      <w:pPr>
        <w:spacing w:after="0" w:line="7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UK CRD IV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0" w:hanging="626"/>
        <w:spacing w:after="0" w:line="258" w:lineRule="auto"/>
        <w:tabs>
          <w:tab w:leader="none" w:pos="1050"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Regulation (EU) No 575/2013 of the European Parliament and of the Council of 26 June 2013 on prudential requirements for credit institutions and investment firms and amending Regulation (EU) No 648/2012 as it forms part of the domestic law of the United Kingdom by virtue of the European Union (Withdrawal) Act 2018 (the </w:t>
      </w:r>
      <w:r>
        <w:rPr>
          <w:rFonts w:ascii="Times New Roman" w:cs="Times New Roman" w:eastAsia="Times New Roman" w:hAnsi="Times New Roman"/>
          <w:sz w:val="18"/>
          <w:szCs w:val="18"/>
          <w:b w:val="1"/>
          <w:bCs w:val="1"/>
          <w:color w:val="auto"/>
        </w:rPr>
        <w:t>Withdrawal Act</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050" w:right="340" w:hanging="626"/>
        <w:spacing w:after="0" w:line="253" w:lineRule="auto"/>
        <w:tabs>
          <w:tab w:leader="none" w:pos="1050"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 of the United Kingdom or any part of it, which immediately before IP completion day (as defined in the European Union (Withdrawal Agreement) Act 2020 (</w:t>
      </w:r>
      <w:r>
        <w:rPr>
          <w:rFonts w:ascii="Times New Roman" w:cs="Times New Roman" w:eastAsia="Times New Roman" w:hAnsi="Times New Roman"/>
          <w:sz w:val="18"/>
          <w:szCs w:val="18"/>
          <w:b w:val="1"/>
          <w:bCs w:val="1"/>
          <w:color w:val="auto"/>
        </w:rPr>
        <w:t>WAA</w:t>
      </w:r>
      <w:r>
        <w:rPr>
          <w:rFonts w:ascii="Times New Roman" w:cs="Times New Roman" w:eastAsia="Times New Roman" w:hAnsi="Times New Roman"/>
          <w:sz w:val="18"/>
          <w:szCs w:val="18"/>
          <w:color w:val="auto"/>
        </w:rPr>
        <w:t>))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w:t>
      </w:r>
    </w:p>
    <w:p>
      <w:pPr>
        <w:spacing w:after="0" w:line="119"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30"/>
          </w:cols>
          <w:pgMar w:left="550" w:top="265" w:right="619" w:bottom="1440" w:gutter="0" w:footer="0" w:header="0"/>
        </w:sectPr>
      </w:pPr>
    </w:p>
    <w:bookmarkStart w:id="617" w:name="page618"/>
    <w:bookmarkEnd w:id="617"/>
    <w:p>
      <w:pPr>
        <w:ind w:left="1050" w:right="720" w:hanging="626"/>
        <w:spacing w:after="0" w:line="300" w:lineRule="auto"/>
        <w:tabs>
          <w:tab w:leader="none" w:pos="1050" w:val="left"/>
        </w:tabs>
        <w:numPr>
          <w:ilvl w:val="0"/>
          <w:numId w:val="8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direct EU legislation (as defined in the Withdrawal Act), which immediately before IP completion day (as defined in the WAA) implemented EU CRD IV as it forms part of domestic law of the United Kingdom by virtue of the Withdrawal Act; and</w:t>
      </w:r>
    </w:p>
    <w:p>
      <w:pPr>
        <w:spacing w:after="0" w:line="53" w:lineRule="exact"/>
        <w:rPr>
          <w:rFonts w:ascii="Times New Roman" w:cs="Times New Roman" w:eastAsia="Times New Roman" w:hAnsi="Times New Roman"/>
          <w:sz w:val="17"/>
          <w:szCs w:val="17"/>
          <w:color w:val="auto"/>
        </w:rPr>
      </w:pPr>
    </w:p>
    <w:p>
      <w:pPr>
        <w:ind w:left="1050" w:right="40" w:hanging="626"/>
        <w:spacing w:after="0" w:line="270" w:lineRule="auto"/>
        <w:tabs>
          <w:tab w:leader="none" w:pos="1050"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of the United Kingdom which introduces into domestic law of the United Kingdom a provision which is equivalent to a provision set out in EU CRD IV and/or implements Basel III standards.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13.2 Increased Cost claims</w:t>
      </w:r>
    </w:p>
    <w:p>
      <w:pPr>
        <w:spacing w:after="0" w:line="126" w:lineRule="exact"/>
        <w:rPr>
          <w:sz w:val="20"/>
          <w:szCs w:val="20"/>
          <w:color w:val="auto"/>
        </w:rPr>
      </w:pPr>
    </w:p>
    <w:p>
      <w:pPr>
        <w:ind w:left="430" w:right="300" w:hanging="430"/>
        <w:spacing w:after="0" w:line="270" w:lineRule="auto"/>
        <w:tabs>
          <w:tab w:leader="none" w:pos="430"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(other than the Agent) intending to make a claim pursuant to Clause 13.1 (Increased Costs) shall notify the Agent of the event giving rise to such claim, following which the Agent shall promptly notify the Borrower(s).</w:t>
      </w:r>
    </w:p>
    <w:p>
      <w:pPr>
        <w:spacing w:after="0" w:line="76" w:lineRule="exact"/>
        <w:rPr>
          <w:rFonts w:ascii="Times New Roman" w:cs="Times New Roman" w:eastAsia="Times New Roman" w:hAnsi="Times New Roman"/>
          <w:sz w:val="18"/>
          <w:szCs w:val="18"/>
          <w:color w:val="auto"/>
        </w:rPr>
      </w:pPr>
    </w:p>
    <w:p>
      <w:pPr>
        <w:ind w:left="430" w:right="40" w:hanging="430"/>
        <w:spacing w:after="0" w:line="270" w:lineRule="auto"/>
        <w:tabs>
          <w:tab w:leader="none" w:pos="430"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as soon as practicable after a demand by the Agent, provide a certificate confirming the amount of its Increased Costs in respect of any claim made by such Finance Party under Clause 13.1 (Increased Costs).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13.3 Exceptions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Clause 13.1 (Increased Costs) does not apply to any Increased Cost to the extent such Increased Cost is:</w:t>
      </w:r>
    </w:p>
    <w:p>
      <w:pPr>
        <w:spacing w:after="0" w:line="124" w:lineRule="exact"/>
        <w:rPr>
          <w:sz w:val="20"/>
          <w:szCs w:val="20"/>
          <w:color w:val="auto"/>
        </w:rPr>
      </w:pPr>
    </w:p>
    <w:p>
      <w:pPr>
        <w:ind w:left="1050" w:right="60" w:hanging="626"/>
        <w:spacing w:after="0" w:line="270" w:lineRule="auto"/>
        <w:tabs>
          <w:tab w:leader="none" w:pos="1050" w:val="left"/>
        </w:tabs>
        <w:numPr>
          <w:ilvl w:val="1"/>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Tax Deduction that is required by law to be made by an Obligor and that is already compensated for by Clause 12.2 (Tax gross-up);</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a FATCA Deduction required to be made by a Party;</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compensated for by Clause 12.3 (Tax indemnity) (or would have been compensated for under Clause 12.3 (Tax indemnity) but was not so compensated solely because any of the exclusions in paragraph (a) of Clause 12.3 (Tax indemnity) applied);</w:t>
      </w:r>
    </w:p>
    <w:p>
      <w:pPr>
        <w:spacing w:after="0" w:line="76" w:lineRule="exact"/>
        <w:rPr>
          <w:rFonts w:ascii="Times New Roman" w:cs="Times New Roman" w:eastAsia="Times New Roman" w:hAnsi="Times New Roman"/>
          <w:sz w:val="18"/>
          <w:szCs w:val="18"/>
          <w:color w:val="auto"/>
        </w:rPr>
      </w:pPr>
    </w:p>
    <w:p>
      <w:pPr>
        <w:ind w:left="1050" w:right="200" w:hanging="626"/>
        <w:spacing w:after="0" w:line="258" w:lineRule="auto"/>
        <w:tabs>
          <w:tab w:leader="none" w:pos="1050" w:val="left"/>
        </w:tabs>
        <w:numPr>
          <w:ilvl w:val="1"/>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the implementation or application of or compliance with (i) Basel II or (ii) to the extent quantifiable as at the date of this Agreement, Basel III, CRD IV or any other law or regulation which implements Basel II, Basel III or CRD IV (whether such implementation, application or compliance is by a government, regulator, a Finance Party or any of its Affiliates or otherwise); or</w:t>
      </w:r>
    </w:p>
    <w:p>
      <w:pPr>
        <w:spacing w:after="0" w:line="85" w:lineRule="exact"/>
        <w:rPr>
          <w:rFonts w:ascii="Times New Roman" w:cs="Times New Roman" w:eastAsia="Times New Roman" w:hAnsi="Times New Roman"/>
          <w:sz w:val="18"/>
          <w:szCs w:val="18"/>
          <w:color w:val="auto"/>
        </w:rPr>
      </w:pPr>
    </w:p>
    <w:p>
      <w:pPr>
        <w:ind w:left="1050" w:right="500" w:hanging="626"/>
        <w:spacing w:after="0" w:line="270" w:lineRule="auto"/>
        <w:tabs>
          <w:tab w:leader="none" w:pos="1050" w:val="left"/>
        </w:tabs>
        <w:numPr>
          <w:ilvl w:val="1"/>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a Finance Party or an Affiliate of a Finance Party and is attributable to the wilful breach by such Finance Party or such Affiliate of any law or regulation.</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MITIGATION BY THE LENDERS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14.1 Mitigation</w:t>
      </w:r>
    </w:p>
    <w:p>
      <w:pPr>
        <w:spacing w:after="0" w:line="126" w:lineRule="exact"/>
        <w:rPr>
          <w:sz w:val="20"/>
          <w:szCs w:val="20"/>
          <w:color w:val="auto"/>
        </w:rPr>
      </w:pPr>
    </w:p>
    <w:p>
      <w:pPr>
        <w:ind w:left="430" w:right="120" w:hanging="430"/>
        <w:spacing w:after="0" w:line="253" w:lineRule="auto"/>
        <w:tabs>
          <w:tab w:leader="none" w:pos="430"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shall, in consultation with the Borrower(s), take all reasonable steps to mitigate any circumstances which arise and which would result in any amount becoming payable under or pursuant to, or cancelled pursuant to, any of Clause 7.1 (Illegality), Clause 12 (Tax Gross Up and Indemnities) or Clause 13 (Increased Costs) including transferring its rights and obligations under the Finance Documents to another Affiliate or Facility Office.</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in any way limit the obligations of any Obligor under the Finance Documents.</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14.2 Limitation of liability</w:t>
      </w:r>
    </w:p>
    <w:p>
      <w:pPr>
        <w:spacing w:after="0" w:line="126" w:lineRule="exact"/>
        <w:rPr>
          <w:sz w:val="20"/>
          <w:szCs w:val="20"/>
          <w:color w:val="auto"/>
        </w:rPr>
      </w:pPr>
    </w:p>
    <w:p>
      <w:pPr>
        <w:ind w:left="430" w:right="100" w:hanging="430"/>
        <w:spacing w:after="0" w:line="270" w:lineRule="auto"/>
        <w:tabs>
          <w:tab w:leader="none" w:pos="430"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indemnify each Finance Party, within ten (10) Business Days of demand, for all costs and expenses reasonably incurred by that Finance Party as a result of steps taken by it under Clause 14.1 (Mitigation).</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Finance Party is not obliged to take any steps under Clause 14.1 (Mitigation) if, in the opinion of that Finance Party (acting reasonably), to do so might be prejudicial to it.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14.3 Conduct of business by the Finance Parties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provision of this Agreement will:</w:t>
      </w:r>
    </w:p>
    <w:p>
      <w:pPr>
        <w:spacing w:after="0" w:line="124" w:lineRule="exact"/>
        <w:rPr>
          <w:sz w:val="20"/>
          <w:szCs w:val="20"/>
          <w:color w:val="auto"/>
        </w:rPr>
      </w:pPr>
    </w:p>
    <w:p>
      <w:pPr>
        <w:ind w:left="1050" w:hanging="626"/>
        <w:spacing w:after="0"/>
        <w:tabs>
          <w:tab w:leader="none" w:pos="1050"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interfere with the right of any Finance Party to arrange its affairs (tax or otherwise) in whatever manner it thinks fit;</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investigate or claim any credit, relief, remission or repayment available to it or the extent, order and manner of any such claim;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oblige any Finance Party to disclose any information relating to its affairs (tax or otherwise) or any computations in respect of Tax.</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70"/>
          </w:cols>
          <w:pgMar w:left="550" w:top="267" w:right="579" w:bottom="1440" w:gutter="0" w:footer="0" w:header="0"/>
        </w:sectPr>
      </w:pPr>
    </w:p>
    <w:bookmarkStart w:id="618" w:name="page619"/>
    <w:bookmarkEnd w:id="618"/>
    <w:p>
      <w:pPr>
        <w:ind w:left="430" w:hanging="430"/>
        <w:spacing w:after="0"/>
        <w:tabs>
          <w:tab w:leader="none" w:pos="430" w:val="left"/>
        </w:tabs>
        <w:numPr>
          <w:ilvl w:val="0"/>
          <w:numId w:val="8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OTHER INDEMNITIES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COSTS AND EXPENSES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 AND INDEMNITY</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INFORMATION UNDERTAKINGS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COVENANTS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UNDERTAKINGS</w:t>
      </w:r>
    </w:p>
    <w:p>
      <w:pPr>
        <w:spacing w:after="0" w:line="1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333" w:lineRule="exact"/>
        <w:rPr>
          <w:sz w:val="20"/>
          <w:szCs w:val="20"/>
          <w:color w:val="auto"/>
        </w:rPr>
      </w:pPr>
    </w:p>
    <w:p>
      <w:pPr>
        <w:ind w:left="430" w:hanging="430"/>
        <w:spacing w:after="0"/>
        <w:tabs>
          <w:tab w:leader="none" w:pos="430" w:val="left"/>
        </w:tabs>
        <w:numPr>
          <w:ilvl w:val="0"/>
          <w:numId w:val="8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LENDERS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 Assignments and transfers by the Lenders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 xml:space="preserve">Subject to this Clause 23 and Clause 35 (Restrictions on Debt Purchase Transactions), a Lender (the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may:</w:t>
      </w:r>
    </w:p>
    <w:p>
      <w:pPr>
        <w:spacing w:after="0" w:line="126" w:lineRule="exact"/>
        <w:rPr>
          <w:sz w:val="20"/>
          <w:szCs w:val="20"/>
          <w:color w:val="auto"/>
        </w:rPr>
      </w:pPr>
    </w:p>
    <w:p>
      <w:pPr>
        <w:ind w:left="1050" w:hanging="626"/>
        <w:spacing w:after="0"/>
        <w:tabs>
          <w:tab w:leader="none" w:pos="1050"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 any of its rights;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by novation any of its rights and obligations,</w:t>
      </w:r>
    </w:p>
    <w:p>
      <w:pPr>
        <w:spacing w:after="0" w:line="110" w:lineRule="exact"/>
        <w:rPr>
          <w:sz w:val="20"/>
          <w:szCs w:val="20"/>
          <w:color w:val="auto"/>
        </w:rPr>
      </w:pPr>
    </w:p>
    <w:p>
      <w:pPr>
        <w:ind w:left="430" w:right="40"/>
        <w:spacing w:after="0" w:line="270" w:lineRule="auto"/>
        <w:rPr>
          <w:sz w:val="20"/>
          <w:szCs w:val="20"/>
          <w:color w:val="auto"/>
        </w:rPr>
      </w:pPr>
      <w:r>
        <w:rPr>
          <w:rFonts w:ascii="Times New Roman" w:cs="Times New Roman" w:eastAsia="Times New Roman" w:hAnsi="Times New Roman"/>
          <w:sz w:val="18"/>
          <w:szCs w:val="18"/>
          <w:color w:val="auto"/>
        </w:rPr>
        <w:t xml:space="preserve">under any Finance Document to another bank or financial institution or to a trust, fund or other entity which is regularly engaged in or established for the purpose of making, purchasing or investing in loans, securities or other financial assets (the </w:t>
      </w:r>
      <w:r>
        <w:rPr>
          <w:rFonts w:ascii="Times New Roman" w:cs="Times New Roman" w:eastAsia="Times New Roman" w:hAnsi="Times New Roman"/>
          <w:sz w:val="18"/>
          <w:szCs w:val="18"/>
          <w:b w:val="1"/>
          <w:bCs w:val="1"/>
          <w:color w:val="auto"/>
        </w:rPr>
        <w:t>New Lender</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23.2 Conditions of assignment or transfer</w:t>
      </w:r>
    </w:p>
    <w:p>
      <w:pPr>
        <w:spacing w:after="0" w:line="126" w:lineRule="exact"/>
        <w:rPr>
          <w:sz w:val="20"/>
          <w:szCs w:val="20"/>
          <w:color w:val="auto"/>
        </w:rPr>
      </w:pPr>
    </w:p>
    <w:p>
      <w:pPr>
        <w:ind w:left="430" w:hanging="430"/>
        <w:spacing w:after="0" w:line="258" w:lineRule="auto"/>
        <w:tabs>
          <w:tab w:leader="none" w:pos="43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Utilisation Date, the prior written consent of the Borrower(s) and both Syndication MLABUs (as defined in the Syndication and Fee Letter) shall be required in respect of any assignment and/or transfer made in accordance with Clause 23.1 (Assignments and transfers by the Lenders), except for:</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Lender in favour of an Affiliate of that Lender;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agreed by all MLABUs, any assignment or transfer made by any MLABU in favour of any other MLABU;</w:t>
      </w:r>
    </w:p>
    <w:p>
      <w:pPr>
        <w:spacing w:after="0" w:line="123" w:lineRule="exact"/>
        <w:rPr>
          <w:rFonts w:ascii="Times New Roman" w:cs="Times New Roman" w:eastAsia="Times New Roman" w:hAnsi="Times New Roman"/>
          <w:sz w:val="18"/>
          <w:szCs w:val="18"/>
          <w:color w:val="auto"/>
        </w:rPr>
      </w:pPr>
    </w:p>
    <w:p>
      <w:pPr>
        <w:ind w:left="1050" w:right="200" w:hanging="626"/>
        <w:spacing w:after="0" w:line="270" w:lineRule="auto"/>
        <w:tabs>
          <w:tab w:leader="none" w:pos="1050"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Syndication MLABU (as defined in the Syndication and Fee Letter) pursuant to a Syndication Agreement;</w:t>
      </w:r>
    </w:p>
    <w:p>
      <w:pPr>
        <w:spacing w:after="0" w:line="76" w:lineRule="exact"/>
        <w:rPr>
          <w:rFonts w:ascii="Times New Roman" w:cs="Times New Roman" w:eastAsia="Times New Roman" w:hAnsi="Times New Roman"/>
          <w:sz w:val="18"/>
          <w:szCs w:val="18"/>
          <w:color w:val="auto"/>
        </w:rPr>
      </w:pPr>
    </w:p>
    <w:p>
      <w:pPr>
        <w:ind w:left="1050" w:right="40" w:hanging="626"/>
        <w:spacing w:after="0" w:line="258" w:lineRule="auto"/>
        <w:tabs>
          <w:tab w:leader="none" w:pos="1050"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by any Syndication MLABU (as defined in the Syndication and Fee Letter) to any person on the Syndicate Bank List (as defined in the Syndication and Fee Letter), provided that such assignment or transfer is made in accordance with the conditions set out in the Syndication and Fee Letter; or</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or transfer made at a time when an Event of Default is continuing.</w:t>
      </w:r>
    </w:p>
    <w:p>
      <w:pPr>
        <w:spacing w:after="0" w:line="123" w:lineRule="exact"/>
        <w:rPr>
          <w:rFonts w:ascii="Times New Roman" w:cs="Times New Roman" w:eastAsia="Times New Roman" w:hAnsi="Times New Roman"/>
          <w:sz w:val="18"/>
          <w:szCs w:val="18"/>
          <w:color w:val="auto"/>
        </w:rPr>
      </w:pPr>
    </w:p>
    <w:p>
      <w:pPr>
        <w:ind w:left="430" w:right="40" w:hanging="430"/>
        <w:spacing w:after="0" w:line="270" w:lineRule="auto"/>
        <w:tabs>
          <w:tab w:leader="none" w:pos="43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Initial Utilisation Date, the prior written consent of the Borrower shall not be required in respect of any assignment and/or transfer made in accordance with Clause 23.1 (Assignments and transfers by the Lenders).</w:t>
      </w:r>
    </w:p>
    <w:p>
      <w:pPr>
        <w:spacing w:after="0" w:line="76" w:lineRule="exact"/>
        <w:rPr>
          <w:rFonts w:ascii="Times New Roman" w:cs="Times New Roman" w:eastAsia="Times New Roman" w:hAnsi="Times New Roman"/>
          <w:sz w:val="18"/>
          <w:szCs w:val="18"/>
          <w:color w:val="auto"/>
        </w:rPr>
      </w:pPr>
    </w:p>
    <w:p>
      <w:pPr>
        <w:ind w:left="430" w:right="100" w:hanging="430"/>
        <w:spacing w:after="0" w:line="253" w:lineRule="auto"/>
        <w:tabs>
          <w:tab w:leader="none" w:pos="43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prior written consent of the Borrower(s) is required in respect of any assignment and/or transfer made in accordance with Clause 23.1 (Assignments and transfers by the Lenders) pursuant to paragraph (a), the prior written consent of the Borrower(s) to any assignment or transfer by a Lender must not be unreasonably withheld or delayed, and shall be deemed to have been given five (5) Business Days after such Lender has requested it unless such consent is expressly refused by the Borrower(s) within that time.</w:t>
      </w:r>
    </w:p>
    <w:p>
      <w:pPr>
        <w:sectPr>
          <w:pgSz w:w="11900" w:h="16838" w:orient="portrait"/>
          <w:cols w:equalWidth="0" w:num="1">
            <w:col w:w="10750"/>
          </w:cols>
          <w:pgMar w:left="550" w:top="265" w:right="599" w:bottom="1440" w:gutter="0" w:footer="0" w:header="0"/>
        </w:sectPr>
      </w:pPr>
    </w:p>
    <w:p>
      <w:pPr>
        <w:spacing w:after="0" w:line="119"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50"/>
          </w:cols>
          <w:pgMar w:left="550" w:top="265" w:right="599" w:bottom="1440" w:gutter="0" w:footer="0" w:header="0"/>
          <w:type w:val="continuous"/>
        </w:sectPr>
      </w:pPr>
    </w:p>
    <w:bookmarkStart w:id="619" w:name="page620"/>
    <w:bookmarkEnd w:id="619"/>
    <w:p>
      <w:pPr>
        <w:ind w:left="430" w:right="100" w:hanging="430"/>
        <w:spacing w:after="0" w:line="269" w:lineRule="auto"/>
        <w:tabs>
          <w:tab w:leader="none" w:pos="430" w:val="left"/>
        </w:tabs>
        <w:numPr>
          <w:ilvl w:val="0"/>
          <w:numId w:val="8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8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 Existing Lender may not assign or transfer any or all of its rights or obligations under the Finance Documents or change its Facility Office without the prior written consent of the Borrower(s) if such assignment or transfer would (in respect of any such assignment or transfer by an Existing Lender only, subject to the actual knowledge of that Existing Lender) give rise to a requirement to prepay any Loan (or any part thereof) or cancel any Commitment (or any part thereof) pursuant to Clause 7.1 (Illegality) in relation to the New Lender or such Existing Lender acting through the new Facility Office by reference to the facts and circumstances existing on the date of such assignment or transfer or change.</w:t>
      </w:r>
    </w:p>
    <w:p>
      <w:pPr>
        <w:spacing w:after="0" w:line="81" w:lineRule="exact"/>
        <w:rPr>
          <w:rFonts w:ascii="Times New Roman" w:cs="Times New Roman" w:eastAsia="Times New Roman" w:hAnsi="Times New Roman"/>
          <w:sz w:val="17"/>
          <w:szCs w:val="17"/>
          <w:color w:val="auto"/>
        </w:rPr>
      </w:pPr>
    </w:p>
    <w:p>
      <w:pPr>
        <w:ind w:left="430" w:right="300" w:hanging="430"/>
        <w:spacing w:after="0" w:line="258" w:lineRule="auto"/>
        <w:tabs>
          <w:tab w:leader="none" w:pos="430"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Lender shall, simultaneously with the assignment or transfer by it of rights and/or obligations under this Agreement to the New Lender, assign to the New Lender a proportionate share of the rights held by it (in its capacity as Lender) under or in connection with the other Finance Documents.</w:t>
      </w:r>
    </w:p>
    <w:p>
      <w:pPr>
        <w:spacing w:after="0" w:line="85" w:lineRule="exact"/>
        <w:rPr>
          <w:rFonts w:ascii="Times New Roman" w:cs="Times New Roman" w:eastAsia="Times New Roman" w:hAnsi="Times New Roman"/>
          <w:sz w:val="18"/>
          <w:szCs w:val="18"/>
          <w:color w:val="auto"/>
        </w:rPr>
      </w:pPr>
    </w:p>
    <w:p>
      <w:pPr>
        <w:ind w:left="430" w:right="480" w:hanging="430"/>
        <w:spacing w:after="0" w:line="270" w:lineRule="auto"/>
        <w:tabs>
          <w:tab w:leader="none" w:pos="430"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by the Existing Lender to the New Lender will be effective only if the procedure set out in Clause 23.6 (Procedure for transfer) is complied with in respect of such transfer.</w:t>
      </w:r>
    </w:p>
    <w:p>
      <w:pPr>
        <w:spacing w:after="0" w:line="76" w:lineRule="exact"/>
        <w:rPr>
          <w:rFonts w:ascii="Times New Roman" w:cs="Times New Roman" w:eastAsia="Times New Roman" w:hAnsi="Times New Roman"/>
          <w:sz w:val="18"/>
          <w:szCs w:val="18"/>
          <w:color w:val="auto"/>
        </w:rPr>
      </w:pPr>
    </w:p>
    <w:p>
      <w:pPr>
        <w:ind w:left="430" w:right="120" w:hanging="430"/>
        <w:spacing w:after="0" w:line="300" w:lineRule="auto"/>
        <w:tabs>
          <w:tab w:leader="none" w:pos="430" w:val="left"/>
        </w:tabs>
        <w:numPr>
          <w:ilvl w:val="0"/>
          <w:numId w:val="8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assignment by the Existing Lender to the New Lender will be effective only if the procedure and conditions set out in Clause 23.7 (Procedure for assignment) are complied with in respect of such assignment (subject to paragraph (c) of Clause 23.7 (Procedure for assignment)).</w:t>
      </w:r>
    </w:p>
    <w:p>
      <w:pPr>
        <w:spacing w:after="0" w:line="53"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123" w:lineRule="exact"/>
        <w:rPr>
          <w:rFonts w:ascii="Times New Roman" w:cs="Times New Roman" w:eastAsia="Times New Roman" w:hAnsi="Times New Roman"/>
          <w:sz w:val="18"/>
          <w:szCs w:val="18"/>
          <w:color w:val="auto"/>
        </w:rPr>
      </w:pPr>
    </w:p>
    <w:p>
      <w:pPr>
        <w:ind w:left="1050" w:right="580" w:hanging="626"/>
        <w:spacing w:after="0" w:line="270" w:lineRule="auto"/>
        <w:tabs>
          <w:tab w:leader="none" w:pos="1050" w:val="left"/>
        </w:tabs>
        <w:numPr>
          <w:ilvl w:val="1"/>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Lender assigns or transfers any of its rights or obligations under the Finance Documents to a New Lender or a Lender changes its Facility Office; and</w:t>
      </w:r>
    </w:p>
    <w:p>
      <w:pPr>
        <w:spacing w:after="0" w:line="76" w:lineRule="exact"/>
        <w:rPr>
          <w:rFonts w:ascii="Times New Roman" w:cs="Times New Roman" w:eastAsia="Times New Roman" w:hAnsi="Times New Roman"/>
          <w:sz w:val="18"/>
          <w:szCs w:val="18"/>
          <w:color w:val="auto"/>
        </w:rPr>
      </w:pPr>
    </w:p>
    <w:p>
      <w:pPr>
        <w:jc w:val="both"/>
        <w:ind w:left="1050" w:right="140" w:hanging="626"/>
        <w:spacing w:after="0" w:line="258" w:lineRule="auto"/>
        <w:tabs>
          <w:tab w:leader="none" w:pos="1050" w:val="left"/>
        </w:tabs>
        <w:numPr>
          <w:ilvl w:val="1"/>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such assignment, transfer or change occurs, the Borrower(s) would be obliged to make a payment to such New Lender or such Lender acting through its new Facility Office under Clause 12 (Tax Gross Up and Indemnities) or Clause 13 (Increased Costs),</w:t>
      </w:r>
    </w:p>
    <w:p>
      <w:pPr>
        <w:spacing w:after="0" w:line="73" w:lineRule="exact"/>
        <w:rPr>
          <w:sz w:val="20"/>
          <w:szCs w:val="20"/>
          <w:color w:val="auto"/>
        </w:rPr>
      </w:pPr>
    </w:p>
    <w:p>
      <w:pPr>
        <w:ind w:left="430" w:right="60"/>
        <w:spacing w:after="0" w:line="263" w:lineRule="auto"/>
        <w:rPr>
          <w:sz w:val="20"/>
          <w:szCs w:val="20"/>
          <w:color w:val="auto"/>
        </w:rPr>
      </w:pPr>
      <w:r>
        <w:rPr>
          <w:rFonts w:ascii="Times New Roman" w:cs="Times New Roman" w:eastAsia="Times New Roman" w:hAnsi="Times New Roman"/>
          <w:sz w:val="17"/>
          <w:szCs w:val="17"/>
          <w:color w:val="auto"/>
        </w:rPr>
        <w:t xml:space="preserve">then such New Lender or such Lender acting through its new Facility Office is not entitled to receive any payment under that Clause in excess of the payment the Borrower(s) would have been required to pay to such Existing Lender or such Lender acting through its previous Facility Office under that Clause if that assignment, transfer or change had not occurred, </w:t>
      </w:r>
      <w:r>
        <w:rPr>
          <w:rFonts w:ascii="Times New Roman" w:cs="Times New Roman" w:eastAsia="Times New Roman" w:hAnsi="Times New Roman"/>
          <w:sz w:val="17"/>
          <w:szCs w:val="17"/>
          <w:b w:val="1"/>
          <w:bCs w:val="1"/>
          <w:color w:val="auto"/>
        </w:rPr>
        <w:t>provided that</w:t>
      </w:r>
      <w:r>
        <w:rPr>
          <w:rFonts w:ascii="Times New Roman" w:cs="Times New Roman" w:eastAsia="Times New Roman" w:hAnsi="Times New Roman"/>
          <w:sz w:val="17"/>
          <w:szCs w:val="17"/>
          <w:color w:val="auto"/>
        </w:rPr>
        <w:t xml:space="preserve"> this paragraph (h) shall not apply in case of an assignment or transfer made pursuant to Clause 7.4 (Right of repayment and cancellation in relation to a single Lender) unless otherwise agreed by the relevant Replacement Lender by way of written notice to the Agent prior to the effectiveness of that assignment or transfer. This paragraph</w:t>
      </w:r>
    </w:p>
    <w:p>
      <w:pPr>
        <w:spacing w:after="0" w:line="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(h) does not apply to any assignment or transfer under a Syndication Agreement.</w:t>
      </w:r>
    </w:p>
    <w:p>
      <w:pPr>
        <w:spacing w:after="0" w:line="106" w:lineRule="exact"/>
        <w:rPr>
          <w:sz w:val="20"/>
          <w:szCs w:val="20"/>
          <w:color w:val="auto"/>
        </w:rPr>
      </w:pPr>
    </w:p>
    <w:p>
      <w:pPr>
        <w:ind w:left="430" w:right="20" w:hanging="430"/>
        <w:spacing w:after="0" w:line="251" w:lineRule="auto"/>
        <w:tabs>
          <w:tab w:leader="none" w:pos="430"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by executing the applicable Transfer Certificate or Assignment Agreement to which it is a party, confirms, for the avoidance of doubt, that the Agent has authority to execute on its behalf any amendment or waiver relating to any Finance Document that has been approved by or on behalf of the requisite Lender or Lenders in accordance with this Agreement on or prior to the date on which the applicable assignment or transfer from the applicable Existing Lender to such New Lender becomes effective in accordance with this Agreement and that it is bound by that decision to the same extent as such Existing Lender would have been had it remained a Lender.</w:t>
      </w:r>
    </w:p>
    <w:p>
      <w:pPr>
        <w:spacing w:after="0" w:line="94"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assignment or transfer by any MLABU prior to the Initial Utilisation Date, if there is any inconsistency between this Agreement and the Syndication and Fee Letter, the terms of the Syndication and Fee Letter shall prevail.</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23.3 Assignment or transfer fee</w:t>
      </w:r>
    </w:p>
    <w:p>
      <w:pPr>
        <w:spacing w:after="0" w:line="126" w:lineRule="exact"/>
        <w:rPr>
          <w:sz w:val="20"/>
          <w:szCs w:val="20"/>
          <w:color w:val="auto"/>
        </w:rPr>
      </w:pPr>
    </w:p>
    <w:p>
      <w:pPr>
        <w:ind w:left="430" w:hanging="430"/>
        <w:spacing w:after="0" w:line="300" w:lineRule="auto"/>
        <w:tabs>
          <w:tab w:leader="none" w:pos="430" w:val="left"/>
        </w:tabs>
        <w:numPr>
          <w:ilvl w:val="0"/>
          <w:numId w:val="8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Lender shall, no later than five (5) Business Days prior to the date upon which the relevant assignment or transfer by the Existing Lender to the New Lender takes effect, pay to the Agent (for its own account) a fee of EUR4,000 (free and clear of any Tax under any applicable law).</w:t>
      </w:r>
    </w:p>
    <w:p>
      <w:pPr>
        <w:spacing w:after="0" w:line="53"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(a) above does not apply to any assignment or transfer under a Syndication Agreement.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23.4 Master assignment or transfer</w:t>
      </w:r>
    </w:p>
    <w:p>
      <w:pPr>
        <w:spacing w:after="0" w:line="112" w:lineRule="exact"/>
        <w:rPr>
          <w:sz w:val="20"/>
          <w:szCs w:val="20"/>
          <w:color w:val="auto"/>
        </w:rPr>
      </w:pPr>
    </w:p>
    <w:p>
      <w:pPr>
        <w:ind w:left="430" w:right="100"/>
        <w:spacing w:after="0" w:line="253" w:lineRule="auto"/>
        <w:rPr>
          <w:sz w:val="20"/>
          <w:szCs w:val="20"/>
          <w:color w:val="auto"/>
        </w:rPr>
      </w:pPr>
      <w:r>
        <w:rPr>
          <w:rFonts w:ascii="Times New Roman" w:cs="Times New Roman" w:eastAsia="Times New Roman" w:hAnsi="Times New Roman"/>
          <w:sz w:val="18"/>
          <w:szCs w:val="18"/>
          <w:color w:val="auto"/>
        </w:rPr>
        <w:t xml:space="preserve">Without prejudice to the procedure set out in Clause 23.6 (Procedure for transfer or assignment or Clause 23.7 (Procedure for assignment) below, a transfer or assignment may be effected by way of a syndication agreement in relation to the Syndication to be entered into between, among others, the Existing Lenders, the New Lenders and the Agent which sets out the rights and obligations under the Finance Documents to be assigned or transferred, in lieu of a Transfer Certificate or an Assignment Agreement (a </w:t>
      </w:r>
      <w:r>
        <w:rPr>
          <w:rFonts w:ascii="Times New Roman" w:cs="Times New Roman" w:eastAsia="Times New Roman" w:hAnsi="Times New Roman"/>
          <w:sz w:val="18"/>
          <w:szCs w:val="18"/>
          <w:b w:val="1"/>
          <w:bCs w:val="1"/>
          <w:color w:val="auto"/>
        </w:rPr>
        <w:t>Syndication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23.5 Limitation of responsibility of Existing Lenders</w:t>
      </w:r>
    </w:p>
    <w:p>
      <w:pPr>
        <w:spacing w:after="0" w:line="126" w:lineRule="exact"/>
        <w:rPr>
          <w:sz w:val="20"/>
          <w:szCs w:val="20"/>
          <w:color w:val="auto"/>
        </w:rPr>
      </w:pPr>
    </w:p>
    <w:p>
      <w:pPr>
        <w:ind w:left="430" w:right="160" w:hanging="430"/>
        <w:spacing w:after="0" w:line="270" w:lineRule="auto"/>
        <w:tabs>
          <w:tab w:leader="none" w:pos="430"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agreed to the contrary, an Existing Lender makes no representation or warranty and assumes no responsibility to a New Lender for: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the Finance Documents or any other documents;</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770"/>
          </w:cols>
          <w:pgMar w:left="550" w:top="266" w:right="579" w:bottom="1440" w:gutter="0" w:footer="0" w:header="0"/>
        </w:sectPr>
      </w:pPr>
    </w:p>
    <w:bookmarkStart w:id="620" w:name="page621"/>
    <w:bookmarkEnd w:id="620"/>
    <w:p>
      <w:pPr>
        <w:ind w:left="1050" w:hanging="626"/>
        <w:spacing w:after="0"/>
        <w:tabs>
          <w:tab w:leader="none" w:pos="1050"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8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financial condition of any Group Member or any Affiliate of any Group Member;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observance by an Obligor of its obligations under any of the Finance Documents or any other documents; or</w:t>
      </w:r>
    </w:p>
    <w:p>
      <w:pPr>
        <w:spacing w:after="0" w:line="123" w:lineRule="exact"/>
        <w:rPr>
          <w:rFonts w:ascii="Times New Roman" w:cs="Times New Roman" w:eastAsia="Times New Roman" w:hAnsi="Times New Roman"/>
          <w:sz w:val="18"/>
          <w:szCs w:val="18"/>
          <w:color w:val="auto"/>
        </w:rPr>
      </w:pPr>
    </w:p>
    <w:p>
      <w:pPr>
        <w:ind w:left="430" w:right="260" w:hanging="6"/>
        <w:spacing w:after="0" w:line="375" w:lineRule="auto"/>
        <w:tabs>
          <w:tab w:leader="none" w:pos="1056"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any statements (whether written or oral) made in or in connection with any Finance Document or any other document, and any representations or warranties implied by law are excluded.</w:t>
      </w:r>
    </w:p>
    <w:p>
      <w:pPr>
        <w:ind w:left="430" w:right="240" w:hanging="430"/>
        <w:spacing w:after="0" w:line="270" w:lineRule="auto"/>
        <w:tabs>
          <w:tab w:leader="none" w:pos="43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New Lender confirms to the Existing Lender (which makes any assignment or transfer to such New Lender) and the other Finance Parties that it:</w:t>
      </w:r>
    </w:p>
    <w:p>
      <w:pPr>
        <w:spacing w:after="0" w:line="76" w:lineRule="exact"/>
        <w:rPr>
          <w:rFonts w:ascii="Times New Roman" w:cs="Times New Roman" w:eastAsia="Times New Roman" w:hAnsi="Times New Roman"/>
          <w:sz w:val="18"/>
          <w:szCs w:val="18"/>
          <w:color w:val="auto"/>
        </w:rPr>
      </w:pPr>
    </w:p>
    <w:p>
      <w:pPr>
        <w:ind w:left="1050" w:right="280" w:hanging="626"/>
        <w:spacing w:after="0" w:line="253" w:lineRule="auto"/>
        <w:tabs>
          <w:tab w:leader="none" w:pos="1050"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made (and shall continue to make) its own independent investigation and assessment of the financial condition and affairs of the Obligors, the Group Members and their related entities in connection with its participation in this Agreement and/or the other Finance Documents and has not relied exclusively on any information provided to it by such Existing Lender in connection with any Finance Document; and</w:t>
      </w:r>
    </w:p>
    <w:p>
      <w:pPr>
        <w:spacing w:after="0" w:line="92" w:lineRule="exact"/>
        <w:rPr>
          <w:rFonts w:ascii="Times New Roman" w:cs="Times New Roman" w:eastAsia="Times New Roman" w:hAnsi="Times New Roman"/>
          <w:sz w:val="18"/>
          <w:szCs w:val="18"/>
          <w:color w:val="auto"/>
        </w:rPr>
      </w:pPr>
    </w:p>
    <w:p>
      <w:pPr>
        <w:jc w:val="both"/>
        <w:ind w:left="1050" w:right="20" w:hanging="626"/>
        <w:spacing w:after="0" w:line="258" w:lineRule="auto"/>
        <w:tabs>
          <w:tab w:leader="none" w:pos="1050"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continue to make its own independent appraisal of the creditworthiness of the Obligors, the Group Members and their related entities whilst any amount is or may be outstanding under any of the Finance Documents or any commitment represented by any Commitment is in force.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obliges an Existing Lender to:</w:t>
      </w:r>
    </w:p>
    <w:p>
      <w:pPr>
        <w:spacing w:after="0" w:line="123"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 re-assignment or re-transfer from a New Lender of any of the rights and obligations assigned or transferred under this Clause 23; or</w:t>
      </w:r>
    </w:p>
    <w:p>
      <w:pPr>
        <w:spacing w:after="0" w:line="76"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any losses directly or indirectly incurred by a New Lender by reason of the non-performance by an Obligor of its obligations under any of the Finance Documents or otherwise.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23.6 Procedure for transfer</w:t>
      </w:r>
    </w:p>
    <w:p>
      <w:pPr>
        <w:spacing w:after="0" w:line="126" w:lineRule="exact"/>
        <w:rPr>
          <w:sz w:val="20"/>
          <w:szCs w:val="20"/>
          <w:color w:val="auto"/>
        </w:rPr>
      </w:pPr>
    </w:p>
    <w:p>
      <w:pPr>
        <w:ind w:left="430" w:hanging="430"/>
        <w:spacing w:after="0" w:line="250" w:lineRule="auto"/>
        <w:tabs>
          <w:tab w:leader="none" w:pos="43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out in Clause 23.2 (Conditions of assignment or transfer) a transfer by an Existing Lender of any or all of its rights and obligations under any Finance Document to a New Lender is effected on the Transfer Date in accordance with paragraph (c) below.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 </w:t>
      </w:r>
      <w:r>
        <w:rPr>
          <w:rFonts w:ascii="Times New Roman" w:cs="Times New Roman" w:eastAsia="Times New Roman" w:hAnsi="Times New Roman"/>
          <w:sz w:val="18"/>
          <w:szCs w:val="18"/>
          <w:b w:val="1"/>
          <w:bCs w:val="1"/>
          <w:color w:val="auto"/>
        </w:rPr>
        <w:t xml:space="preserve">provided that </w:t>
      </w:r>
      <w:r>
        <w:rPr>
          <w:rFonts w:ascii="Times New Roman" w:cs="Times New Roman" w:eastAsia="Times New Roman" w:hAnsi="Times New Roman"/>
          <w:sz w:val="18"/>
          <w:szCs w:val="18"/>
          <w:color w:val="auto"/>
        </w:rPr>
        <w:t>the Agent shall have no obligation to execute any Transfer Certificate at any time earlier than the date that is five (5)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its receipt of such Transfer Certificate.</w:t>
      </w:r>
    </w:p>
    <w:p>
      <w:pPr>
        <w:spacing w:after="0" w:line="94" w:lineRule="exact"/>
        <w:rPr>
          <w:rFonts w:ascii="Times New Roman" w:cs="Times New Roman" w:eastAsia="Times New Roman" w:hAnsi="Times New Roman"/>
          <w:sz w:val="18"/>
          <w:szCs w:val="18"/>
          <w:color w:val="auto"/>
        </w:rPr>
      </w:pPr>
    </w:p>
    <w:p>
      <w:pPr>
        <w:jc w:val="both"/>
        <w:ind w:left="430" w:right="20" w:hanging="430"/>
        <w:spacing w:after="0" w:line="280" w:lineRule="auto"/>
        <w:tabs>
          <w:tab w:leader="none" w:pos="430" w:val="left"/>
        </w:tabs>
        <w:numPr>
          <w:ilvl w:val="0"/>
          <w:numId w:val="8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obliged to execute a Transfer Certificate delivered to it by an Existing Lender and a New Lender unless it is satisfied that it has completed all “know your customer” and other similar procedures that it is required (including in accordance with internal policies) (or deems desirable) to conduct in relation to the transfer from such Existing Lender to such New Lender (the subject of such Transfer Certificate).</w:t>
      </w:r>
    </w:p>
    <w:p>
      <w:pPr>
        <w:spacing w:after="0" w:line="69"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in respect of a transfer by an Existing Lender to a New Lender:</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53" w:lineRule="auto"/>
        <w:tabs>
          <w:tab w:leader="none" w:pos="1050"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in the Transfer Certificate (relating to such transfer) such Existing Lender seeks to transfer its rights and obligations under any Finance Document each of the Obligors and such Existing Lender shall be released from further obligations towards one another under the Finance Documents and their respective rights against one another under the Finance Documents shall be cancelled (being the </w:t>
      </w:r>
      <w:r>
        <w:rPr>
          <w:rFonts w:ascii="Times New Roman" w:cs="Times New Roman" w:eastAsia="Times New Roman" w:hAnsi="Times New Roman"/>
          <w:sz w:val="18"/>
          <w:szCs w:val="18"/>
          <w:b w:val="1"/>
          <w:bCs w:val="1"/>
          <w:color w:val="auto"/>
        </w:rPr>
        <w:t>Discharged Rights and Obligations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050" w:right="20" w:hanging="626"/>
        <w:spacing w:after="0" w:line="258" w:lineRule="auto"/>
        <w:tabs>
          <w:tab w:leader="none" w:pos="1050"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Obligors and such New Lender shall assume obligations towards one another and/or acquire rights against one another under the Finance Documents which differ from the Discharged Rights and Obligations only insofar as the Obligors and such New Lender have assumed and/or acquired the same in place of the Obligors and such Existing Lender;</w:t>
      </w:r>
    </w:p>
    <w:p>
      <w:pPr>
        <w:spacing w:after="0" w:line="85" w:lineRule="exact"/>
        <w:rPr>
          <w:rFonts w:ascii="Times New Roman" w:cs="Times New Roman" w:eastAsia="Times New Roman" w:hAnsi="Times New Roman"/>
          <w:sz w:val="18"/>
          <w:szCs w:val="18"/>
          <w:color w:val="auto"/>
        </w:rPr>
      </w:pPr>
    </w:p>
    <w:p>
      <w:pPr>
        <w:ind w:left="1050" w:right="200" w:hanging="626"/>
        <w:spacing w:after="0" w:line="251" w:lineRule="auto"/>
        <w:tabs>
          <w:tab w:leader="none" w:pos="1050"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Parties, such New Lender and the other Lenders shall acquire the same rights and assume the same obligations between themselves as they would have acquired and assumed had such New Lender been originally party hereto as a Lender with the rights and/or obligations acquired or assumed by it as a result of the transfer (the subject of such Transfer Certificate) and to that extent any of the Administrative Parties and such other Lenders (on one hand) and such Existing Lender (on the other hand) shall each be released from further obligations to each other under the Finance Documents; and</w:t>
      </w:r>
    </w:p>
    <w:p>
      <w:pPr>
        <w:spacing w:after="0" w:line="94"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Lender shall become a Party as a “Lender”.</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70"/>
          </w:cols>
          <w:pgMar w:left="550" w:top="266" w:right="579" w:bottom="1440" w:gutter="0" w:footer="0" w:header="0"/>
        </w:sectPr>
      </w:pPr>
    </w:p>
    <w:bookmarkStart w:id="621" w:name="page622"/>
    <w:bookmarkEnd w:id="621"/>
    <w:p>
      <w:pPr>
        <w:ind w:left="430" w:hanging="430"/>
        <w:spacing w:after="0" w:line="253" w:lineRule="auto"/>
        <w:tabs>
          <w:tab w:leader="none" w:pos="43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procedure set out in this Clause 23.6 (Procedure for transfer) shall not apply to any right or obligation under any Finance Document (other than this Agreement) if and to the extent its terms, or any laws or regulations applicable thereto, provide for or require a different means of transfer of such right or obligation or prohibit or restrict any transfer of such right or obligation, unless such prohibition or restriction shall not be applicable to the relevant transfer or each condition of any applicable restriction shall have been satisfied.</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23.7 Procedure for assignment</w:t>
      </w:r>
    </w:p>
    <w:p>
      <w:pPr>
        <w:spacing w:after="0" w:line="126" w:lineRule="exact"/>
        <w:rPr>
          <w:sz w:val="20"/>
          <w:szCs w:val="20"/>
          <w:color w:val="auto"/>
        </w:rPr>
      </w:pPr>
    </w:p>
    <w:p>
      <w:pPr>
        <w:ind w:left="430" w:right="120" w:hanging="430"/>
        <w:spacing w:after="0" w:line="250" w:lineRule="auto"/>
        <w:tabs>
          <w:tab w:leader="none" w:pos="43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out in paragraph (d) below and Clause 23.2 (Conditions of assignment or transfer), an assignment by an Existing Lender of any or all of its rights under the Finance Documents to a New Lender may be effected on the Transfer Date in accordance with paragraph (b) below. The Agent shall, subject to paragraph (d)(ii), as soon as reasonably practicable after receipt by it of a duly completed Assignment Agreement appearing on its face to comply with the terms of this Agreement and delivered in accordance with the terms of this Agreement, execute that Assignment Agreement,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Agent shall have no obligation to execute any Assignment Agreement at any time earlier than the date that is five (5) Business Days after its receipt of such Assignment Agreement.</w:t>
      </w:r>
    </w:p>
    <w:p>
      <w:pPr>
        <w:spacing w:after="0" w:line="9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Transfer Date relating to an assignment by an Existing Lender to a New Lender:</w:t>
      </w:r>
    </w:p>
    <w:p>
      <w:pPr>
        <w:spacing w:after="0" w:line="123" w:lineRule="exact"/>
        <w:rPr>
          <w:rFonts w:ascii="Times New Roman" w:cs="Times New Roman" w:eastAsia="Times New Roman" w:hAnsi="Times New Roman"/>
          <w:sz w:val="18"/>
          <w:szCs w:val="18"/>
          <w:color w:val="auto"/>
        </w:rPr>
      </w:pPr>
    </w:p>
    <w:p>
      <w:pPr>
        <w:ind w:left="1050" w:right="220" w:hanging="626"/>
        <w:spacing w:after="0" w:line="270" w:lineRule="auto"/>
        <w:tabs>
          <w:tab w:leader="none" w:pos="1050"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Lender will assign absolutely to such New Lender the rights under the Finance Documents expressed to be the subject of assignment in such Assignment Agreement;</w:t>
      </w:r>
    </w:p>
    <w:p>
      <w:pPr>
        <w:spacing w:after="0" w:line="74" w:lineRule="exact"/>
        <w:rPr>
          <w:rFonts w:ascii="Times New Roman" w:cs="Times New Roman" w:eastAsia="Times New Roman" w:hAnsi="Times New Roman"/>
          <w:sz w:val="18"/>
          <w:szCs w:val="18"/>
          <w:color w:val="auto"/>
        </w:rPr>
      </w:pPr>
    </w:p>
    <w:p>
      <w:pPr>
        <w:ind w:left="1050" w:right="560" w:hanging="626"/>
        <w:spacing w:after="0" w:line="273" w:lineRule="auto"/>
        <w:tabs>
          <w:tab w:leader="none" w:pos="1050"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Existing Lender will be released by the Obligors and the other Finance Parties from the obligations owed by it (the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expressed to be the subject of release in such Assignment Agreement; and</w:t>
      </w:r>
    </w:p>
    <w:p>
      <w:pPr>
        <w:spacing w:after="0" w:line="7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shall become a Party as a “Lender” and shall be bound by obligations equivalent to the Relevant Obligations.</w:t>
      </w:r>
    </w:p>
    <w:p>
      <w:pPr>
        <w:spacing w:after="0" w:line="123" w:lineRule="exact"/>
        <w:rPr>
          <w:rFonts w:ascii="Times New Roman" w:cs="Times New Roman" w:eastAsia="Times New Roman" w:hAnsi="Times New Roman"/>
          <w:sz w:val="18"/>
          <w:szCs w:val="18"/>
          <w:color w:val="auto"/>
        </w:rPr>
      </w:pPr>
    </w:p>
    <w:p>
      <w:pPr>
        <w:ind w:left="430" w:right="100" w:hanging="430"/>
        <w:spacing w:after="0" w:line="253" w:lineRule="auto"/>
        <w:tabs>
          <w:tab w:leader="none" w:pos="43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Existing Lender may utilise procedures other than those set out in this Clause 23.7 to assign its rights under the Finance Documents (but not, without the consent of the Obligors or unless in accordance with Clause 23.6 (Procedure for transfer), to obtain a release by the Obligors from the obligations owed to the Obligors by that Existing Lender nor the assumption of equivalent obligations by the applicable New Lender) </w:t>
      </w:r>
      <w:r>
        <w:rPr>
          <w:rFonts w:ascii="Times New Roman" w:cs="Times New Roman" w:eastAsia="Times New Roman" w:hAnsi="Times New Roman"/>
          <w:sz w:val="18"/>
          <w:szCs w:val="18"/>
          <w:b w:val="1"/>
          <w:b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that </w:t>
      </w:r>
      <w:r>
        <w:rPr>
          <w:rFonts w:ascii="Times New Roman" w:cs="Times New Roman" w:eastAsia="Times New Roman" w:hAnsi="Times New Roman"/>
          <w:sz w:val="18"/>
          <w:szCs w:val="18"/>
          <w:color w:val="auto"/>
        </w:rPr>
        <w:t>the conditions set out in paragraph (d) below are complied with.</w:t>
      </w:r>
    </w:p>
    <w:p>
      <w:pPr>
        <w:spacing w:after="0" w:line="92" w:lineRule="exact"/>
        <w:rPr>
          <w:rFonts w:ascii="Times New Roman" w:cs="Times New Roman" w:eastAsia="Times New Roman" w:hAnsi="Times New Roman"/>
          <w:sz w:val="18"/>
          <w:szCs w:val="18"/>
          <w:color w:val="auto"/>
        </w:rPr>
      </w:pPr>
    </w:p>
    <w:p>
      <w:pPr>
        <w:ind w:left="430" w:right="480" w:hanging="430"/>
        <w:spacing w:after="0" w:line="270" w:lineRule="auto"/>
        <w:tabs>
          <w:tab w:leader="none" w:pos="43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assignment by an Existing Lender to a New Lender (whether pursuant to an Assignment Agreement or paragraph (c) above) will only be effective on:</w:t>
      </w:r>
    </w:p>
    <w:p>
      <w:pPr>
        <w:spacing w:after="0" w:line="76" w:lineRule="exact"/>
        <w:rPr>
          <w:rFonts w:ascii="Times New Roman" w:cs="Times New Roman" w:eastAsia="Times New Roman" w:hAnsi="Times New Roman"/>
          <w:sz w:val="18"/>
          <w:szCs w:val="18"/>
          <w:color w:val="auto"/>
        </w:rPr>
      </w:pPr>
    </w:p>
    <w:p>
      <w:pPr>
        <w:ind w:left="1050" w:right="80" w:hanging="626"/>
        <w:spacing w:after="0" w:line="258" w:lineRule="auto"/>
        <w:tabs>
          <w:tab w:leader="none" w:pos="1050"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Agent (whether in an Assignment Agreement or otherwise) of written confirmation from such New Lender (in form and substance satisfactory to the Agent) that such New Lender will assume the same obligations to the other Finance Parties as it would have been under if it were an Original Lender; and</w:t>
      </w:r>
    </w:p>
    <w:p>
      <w:pPr>
        <w:spacing w:after="0" w:line="85" w:lineRule="exact"/>
        <w:rPr>
          <w:rFonts w:ascii="Times New Roman" w:cs="Times New Roman" w:eastAsia="Times New Roman" w:hAnsi="Times New Roman"/>
          <w:sz w:val="18"/>
          <w:szCs w:val="18"/>
          <w:color w:val="auto"/>
        </w:rPr>
      </w:pPr>
    </w:p>
    <w:p>
      <w:pPr>
        <w:ind w:left="1050" w:hanging="626"/>
        <w:spacing w:after="0" w:line="250" w:lineRule="auto"/>
        <w:tabs>
          <w:tab w:leader="none" w:pos="1050"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the Agent of all necessary “know your customer” or other similar checks under all applicable laws and regulations in relation to such assignment to such New Lender. The Agent shall promptly notify such Existing Lender and such New Lender of the completion of such checks. The Agent shall not be obliged to execute an Assignment Agreement delivered to it by an Existing Lender and a New Lender or any document delivered to it pursuant to paragraph (c) above unless it is satisfied that it has completed all “know your customer” and other similar procedures that it is required (or deems desirable) to conduct in relation to such assignment to such New Lender.</w:t>
      </w:r>
    </w:p>
    <w:p>
      <w:pPr>
        <w:spacing w:after="0" w:line="94" w:lineRule="exact"/>
        <w:rPr>
          <w:rFonts w:ascii="Times New Roman" w:cs="Times New Roman" w:eastAsia="Times New Roman" w:hAnsi="Times New Roman"/>
          <w:sz w:val="18"/>
          <w:szCs w:val="18"/>
          <w:color w:val="auto"/>
        </w:rPr>
      </w:pPr>
    </w:p>
    <w:p>
      <w:pPr>
        <w:ind w:left="430" w:right="20" w:hanging="430"/>
        <w:spacing w:after="0" w:line="251" w:lineRule="auto"/>
        <w:tabs>
          <w:tab w:leader="none" w:pos="430"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set out in this Clause 23.7 shall not apply to any right or obligation under any Finance Document (other than this Agreement) if and to the extent its terms, or any laws or regulations applicable thereto, provide for or require a different means of assignment of such right or release or assumption of obligation or prohibit or restrict any assignment of such right or release or assumption of such obligation, unless such prohibition or restriction shall not be applicable to the applicable assignment, release and assumption or each condition of any applicable assignment, release and assumption shall have been satisfied.</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23.8 Copy of Transfer Certificate or Assignment Agreement and Increase Confirmation to Borrower(s)</w:t>
      </w:r>
    </w:p>
    <w:p>
      <w:pPr>
        <w:spacing w:after="0" w:line="112" w:lineRule="exact"/>
        <w:rPr>
          <w:sz w:val="20"/>
          <w:szCs w:val="20"/>
          <w:color w:val="auto"/>
        </w:rPr>
      </w:pPr>
    </w:p>
    <w:p>
      <w:pPr>
        <w:ind w:left="430" w:right="820"/>
        <w:spacing w:after="0" w:line="300" w:lineRule="auto"/>
        <w:rPr>
          <w:sz w:val="20"/>
          <w:szCs w:val="20"/>
          <w:color w:val="auto"/>
        </w:rPr>
      </w:pPr>
      <w:r>
        <w:rPr>
          <w:rFonts w:ascii="Times New Roman" w:cs="Times New Roman" w:eastAsia="Times New Roman" w:hAnsi="Times New Roman"/>
          <w:sz w:val="17"/>
          <w:szCs w:val="17"/>
          <w:color w:val="auto"/>
        </w:rPr>
        <w:t>The Agent shall, as soon as reasonably practicable after it has executed a Transfer Certificate, an Assignment Agreement or an Increase Confirmation, send to the Borrower(s) a copy of that Transfer Certificate, Assignment Agreement or Increase Confirmation.</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23.9 Existing consents and waivers</w:t>
      </w:r>
    </w:p>
    <w:p>
      <w:pPr>
        <w:spacing w:after="0" w:line="112" w:lineRule="exact"/>
        <w:rPr>
          <w:sz w:val="20"/>
          <w:szCs w:val="20"/>
          <w:color w:val="auto"/>
        </w:rPr>
      </w:pPr>
    </w:p>
    <w:p>
      <w:pPr>
        <w:jc w:val="both"/>
        <w:ind w:left="430" w:right="120"/>
        <w:spacing w:after="0" w:line="300" w:lineRule="auto"/>
        <w:rPr>
          <w:sz w:val="20"/>
          <w:szCs w:val="20"/>
          <w:color w:val="auto"/>
        </w:rPr>
      </w:pPr>
      <w:r>
        <w:rPr>
          <w:rFonts w:ascii="Times New Roman" w:cs="Times New Roman" w:eastAsia="Times New Roman" w:hAnsi="Times New Roman"/>
          <w:sz w:val="17"/>
          <w:szCs w:val="17"/>
          <w:color w:val="auto"/>
        </w:rPr>
        <w:t>Each New Lender shall be bound by any consent, waiver, election or decision given or made by the applicable Existing Lender under or pursuant to any Finance Document prior to the coming into effect of the applicable assignment or transfer from such Existing Lender to such New Lender.</w:t>
      </w:r>
    </w:p>
    <w:p>
      <w:pPr>
        <w:spacing w:after="0" w:line="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90"/>
          </w:cols>
          <w:pgMar w:left="550" w:top="266" w:right="559" w:bottom="1440" w:gutter="0" w:footer="0" w:header="0"/>
        </w:sectPr>
      </w:pPr>
    </w:p>
    <w:bookmarkStart w:id="622" w:name="page623"/>
    <w:bookmarkEnd w:id="622"/>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23.10 Exclusion of the Agent’s liabilities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In relation to any assignment or transfer pursuant to this Clause 23, each Party acknowledges and agrees that the Agent shall not be obliged to:</w:t>
      </w:r>
    </w:p>
    <w:p>
      <w:pPr>
        <w:spacing w:after="0" w:line="124" w:lineRule="exact"/>
        <w:rPr>
          <w:sz w:val="20"/>
          <w:szCs w:val="20"/>
          <w:color w:val="auto"/>
        </w:rPr>
      </w:pPr>
    </w:p>
    <w:p>
      <w:pPr>
        <w:ind w:left="1050" w:hanging="626"/>
        <w:spacing w:after="0"/>
        <w:tabs>
          <w:tab w:leader="none" w:pos="1050" w:val="left"/>
        </w:tabs>
        <w:numPr>
          <w:ilvl w:val="0"/>
          <w:numId w:val="8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enquire as to the accuracy of any representation or warranty made by, or the status of, any person in respect of its eligibility as a Lender;</w:t>
      </w:r>
    </w:p>
    <w:p>
      <w:pPr>
        <w:spacing w:after="0" w:line="135" w:lineRule="exact"/>
        <w:rPr>
          <w:rFonts w:ascii="Times New Roman" w:cs="Times New Roman" w:eastAsia="Times New Roman" w:hAnsi="Times New Roman"/>
          <w:sz w:val="17"/>
          <w:szCs w:val="17"/>
          <w:color w:val="auto"/>
        </w:rPr>
      </w:pPr>
    </w:p>
    <w:p>
      <w:pPr>
        <w:ind w:left="1050" w:right="540" w:hanging="626"/>
        <w:spacing w:after="0" w:line="270" w:lineRule="auto"/>
        <w:tabs>
          <w:tab w:leader="none" w:pos="1050"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to any registration or perfection requirements required in connection with such assignment or transfer or to ensure that such registration or perfection requirements are completed; and/or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New Lender with any information regarding any previous amendments or waivers in relation to any Finance Document.</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23.11 Sub-participation</w:t>
      </w:r>
    </w:p>
    <w:p>
      <w:pPr>
        <w:spacing w:after="0" w:line="112" w:lineRule="exact"/>
        <w:rPr>
          <w:sz w:val="20"/>
          <w:szCs w:val="20"/>
          <w:color w:val="auto"/>
        </w:rPr>
      </w:pPr>
    </w:p>
    <w:p>
      <w:pPr>
        <w:ind w:left="430" w:right="300"/>
        <w:spacing w:after="0" w:line="253" w:lineRule="auto"/>
        <w:rPr>
          <w:sz w:val="20"/>
          <w:szCs w:val="20"/>
          <w:color w:val="auto"/>
        </w:rPr>
      </w:pPr>
      <w:r>
        <w:rPr>
          <w:rFonts w:ascii="Times New Roman" w:cs="Times New Roman" w:eastAsia="Times New Roman" w:hAnsi="Times New Roman"/>
          <w:sz w:val="18"/>
          <w:szCs w:val="18"/>
          <w:color w:val="auto"/>
        </w:rPr>
        <w:t xml:space="preserve">For the avoidance of doubt, each Lender may grant sub-participations in respect of any or all of its rights and/or obligations under any Finance Document to any person and no consent of the Obligors shall be required in respect of any such sub-participations,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where, as a result of the sub-participation, such Lender would no longer retain absolute discretion with regard to the exercise of votes under the Finance Documents, then that Lender shall be required to consult with the Borrower(s) in respect of any such sub-participations.</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23.12 Assignments and transfers to Group Members</w:t>
      </w:r>
    </w:p>
    <w:p>
      <w:pPr>
        <w:spacing w:after="0" w:line="112" w:lineRule="exact"/>
        <w:rPr>
          <w:sz w:val="20"/>
          <w:szCs w:val="20"/>
          <w:color w:val="auto"/>
        </w:rPr>
      </w:pPr>
    </w:p>
    <w:p>
      <w:pPr>
        <w:ind w:left="430" w:right="300"/>
        <w:spacing w:after="0" w:line="270" w:lineRule="auto"/>
        <w:rPr>
          <w:sz w:val="20"/>
          <w:szCs w:val="20"/>
          <w:color w:val="auto"/>
        </w:rPr>
      </w:pPr>
      <w:r>
        <w:rPr>
          <w:rFonts w:ascii="Times New Roman" w:cs="Times New Roman" w:eastAsia="Times New Roman" w:hAnsi="Times New Roman"/>
          <w:sz w:val="18"/>
          <w:szCs w:val="18"/>
          <w:color w:val="auto"/>
        </w:rPr>
        <w:t>A Lender may not assign or transfer any of its rights and/or obligations under any Finance Document to any Group Member or any Affiliate of any Group Member, except with the prior written consent of all of the Lenders.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23.13 Security over Lenders’ rights</w:t>
      </w:r>
    </w:p>
    <w:p>
      <w:pPr>
        <w:spacing w:after="0" w:line="112" w:lineRule="exact"/>
        <w:rPr>
          <w:sz w:val="20"/>
          <w:szCs w:val="20"/>
          <w:color w:val="auto"/>
        </w:rPr>
      </w:pPr>
    </w:p>
    <w:p>
      <w:pPr>
        <w:ind w:left="430" w:right="200"/>
        <w:spacing w:after="0" w:line="258" w:lineRule="auto"/>
        <w:rPr>
          <w:sz w:val="20"/>
          <w:szCs w:val="20"/>
          <w:color w:val="auto"/>
        </w:rPr>
      </w:pPr>
      <w:r>
        <w:rPr>
          <w:rFonts w:ascii="Times New Roman" w:cs="Times New Roman" w:eastAsia="Times New Roman" w:hAnsi="Times New Roman"/>
          <w:sz w:val="18"/>
          <w:szCs w:val="18"/>
          <w:color w:val="auto"/>
        </w:rPr>
        <w:t>In addition to the other rights provided to Lenders under this Clause 23, each Lender may without consulting with or obtaining consent from the Obligors, at any time charge, assign or otherwise create Security in or over (whether by way of collateral or otherwise) all or any of its rights under any Finance Document to secure obligations of that Lender including:</w:t>
      </w:r>
    </w:p>
    <w:p>
      <w:pPr>
        <w:spacing w:after="0" w:line="86" w:lineRule="exact"/>
        <w:rPr>
          <w:sz w:val="20"/>
          <w:szCs w:val="20"/>
          <w:color w:val="auto"/>
        </w:rPr>
      </w:pPr>
    </w:p>
    <w:p>
      <w:pPr>
        <w:ind w:left="1050" w:hanging="626"/>
        <w:spacing w:after="0"/>
        <w:tabs>
          <w:tab w:leader="none" w:pos="105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assignment or other Security to secure obligations to a federal reserve or central bank; and</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which is a fund, any charge, assignment or other Security granted to any holders (or trustee or representatives of holders) of obligations owed, or securities issued, by that Lender as security for those obligations or securities,</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except that no such charge, assignment or Security shall:</w:t>
      </w:r>
    </w:p>
    <w:p>
      <w:pPr>
        <w:spacing w:after="0" w:line="124" w:lineRule="exact"/>
        <w:rPr>
          <w:sz w:val="20"/>
          <w:szCs w:val="20"/>
          <w:color w:val="auto"/>
        </w:rPr>
      </w:pPr>
    </w:p>
    <w:p>
      <w:pPr>
        <w:ind w:left="1710" w:right="500" w:hanging="639"/>
        <w:spacing w:after="0" w:line="270" w:lineRule="auto"/>
        <w:tabs>
          <w:tab w:leader="none" w:pos="1710"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such Lender from any of its obligations under the Finance Documents, or substitute the beneficiary of the relevant charge, assignment or other Security for such Lender as a party to any of the Finance Documents; or</w:t>
      </w:r>
    </w:p>
    <w:p>
      <w:pPr>
        <w:spacing w:after="0" w:line="76" w:lineRule="exact"/>
        <w:rPr>
          <w:rFonts w:ascii="Times New Roman" w:cs="Times New Roman" w:eastAsia="Times New Roman" w:hAnsi="Times New Roman"/>
          <w:sz w:val="18"/>
          <w:szCs w:val="18"/>
          <w:color w:val="auto"/>
        </w:rPr>
      </w:pPr>
    </w:p>
    <w:p>
      <w:pPr>
        <w:ind w:left="1710" w:right="20" w:hanging="639"/>
        <w:spacing w:after="0" w:line="270" w:lineRule="auto"/>
        <w:tabs>
          <w:tab w:leader="none" w:pos="1710"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payments to be made by the Obligors or grant to any person any rights that are more extensive than those required to be made or granted to such Lender under the Finance Documents.</w:t>
      </w:r>
    </w:p>
    <w:p>
      <w:pPr>
        <w:spacing w:after="0" w:line="312" w:lineRule="exact"/>
        <w:rPr>
          <w:sz w:val="20"/>
          <w:szCs w:val="20"/>
          <w:color w:val="auto"/>
        </w:rPr>
      </w:pPr>
    </w:p>
    <w:p>
      <w:pPr>
        <w:ind w:left="430" w:hanging="430"/>
        <w:spacing w:after="0"/>
        <w:tabs>
          <w:tab w:leader="none" w:pos="430" w:val="left"/>
        </w:tabs>
        <w:numPr>
          <w:ilvl w:val="0"/>
          <w:numId w:val="8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TO THE OBLIGORS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24.1 No assignments or transfers by the Obligors</w:t>
      </w:r>
    </w:p>
    <w:p>
      <w:pPr>
        <w:spacing w:after="0" w:line="112" w:lineRule="exact"/>
        <w:rPr>
          <w:sz w:val="20"/>
          <w:szCs w:val="20"/>
          <w:color w:val="auto"/>
        </w:rPr>
      </w:pPr>
    </w:p>
    <w:p>
      <w:pPr>
        <w:ind w:left="430" w:right="80"/>
        <w:spacing w:after="0" w:line="270" w:lineRule="auto"/>
        <w:rPr>
          <w:sz w:val="20"/>
          <w:szCs w:val="20"/>
          <w:color w:val="auto"/>
        </w:rPr>
      </w:pPr>
      <w:r>
        <w:rPr>
          <w:rFonts w:ascii="Times New Roman" w:cs="Times New Roman" w:eastAsia="Times New Roman" w:hAnsi="Times New Roman"/>
          <w:sz w:val="18"/>
          <w:szCs w:val="18"/>
          <w:color w:val="auto"/>
        </w:rPr>
        <w:t>No Obligor may assign any of its rights or transfer any of its rights or obligations under any or all of the Finance Documents except with the prior written consent of all the Lenders.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24.2 Additional Borrower</w:t>
      </w:r>
    </w:p>
    <w:p>
      <w:pPr>
        <w:spacing w:after="0" w:line="126" w:lineRule="exact"/>
        <w:rPr>
          <w:sz w:val="20"/>
          <w:szCs w:val="20"/>
          <w:color w:val="auto"/>
        </w:rPr>
      </w:pPr>
    </w:p>
    <w:p>
      <w:pPr>
        <w:ind w:left="430" w:right="220" w:hanging="430"/>
        <w:spacing w:after="0" w:line="270" w:lineRule="auto"/>
        <w:tabs>
          <w:tab w:leader="none" w:pos="430"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the provisions of paragraphs (d) and (e) of Clause 19.7 (“Know your customer” checks), the Original Borrower may request that the Target becomes a Borrower. The Target shall become a Borrower if: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Borrower, the Guarantor and the Target deliver to the Agent a duly completed and executed Accession Deed;</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Borrower confirms that no Default is continuing or would occur as a result of the Target becoming an Additional Borrower; and</w:t>
      </w:r>
    </w:p>
    <w:p>
      <w:pPr>
        <w:spacing w:after="0" w:line="76" w:lineRule="exact"/>
        <w:rPr>
          <w:rFonts w:ascii="Times New Roman" w:cs="Times New Roman" w:eastAsia="Times New Roman" w:hAnsi="Times New Roman"/>
          <w:sz w:val="18"/>
          <w:szCs w:val="18"/>
          <w:color w:val="auto"/>
        </w:rPr>
      </w:pPr>
    </w:p>
    <w:p>
      <w:pPr>
        <w:ind w:left="1050" w:right="280" w:hanging="626"/>
        <w:spacing w:after="0" w:line="270" w:lineRule="auto"/>
        <w:tabs>
          <w:tab w:leader="none" w:pos="1050"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received all of the documents and other evidence listed in Part 2 (Conditions Precedent to be delivered by the Target) of Schedule 2 (Conditions Precedent), each in form and substance satisfactory to the Agent.</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790"/>
          </w:cols>
          <w:pgMar w:left="550" w:top="264" w:right="559" w:bottom="1440" w:gutter="0" w:footer="0" w:header="0"/>
        </w:sectPr>
      </w:pPr>
    </w:p>
    <w:bookmarkStart w:id="623" w:name="page624"/>
    <w:bookmarkEnd w:id="623"/>
    <w:p>
      <w:pPr>
        <w:ind w:left="430" w:right="700" w:hanging="430"/>
        <w:spacing w:after="0" w:line="258" w:lineRule="auto"/>
        <w:tabs>
          <w:tab w:leader="none" w:pos="430"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Agent shall notify the Original Borrower and the Lenders promptly upon being satisfied that it has received (in form and substance satisfactory to it) all the documents and other evidence listed in Part 2 (Conditions Precedent to be delivered by the Target) of Schedule 2 (Conditions Precedent).</w:t>
      </w:r>
    </w:p>
    <w:p>
      <w:pPr>
        <w:spacing w:after="0" w:line="85" w:lineRule="exact"/>
        <w:rPr>
          <w:rFonts w:ascii="Times New Roman" w:cs="Times New Roman" w:eastAsia="Times New Roman" w:hAnsi="Times New Roman"/>
          <w:sz w:val="18"/>
          <w:szCs w:val="18"/>
          <w:color w:val="auto"/>
        </w:rPr>
      </w:pPr>
    </w:p>
    <w:p>
      <w:pPr>
        <w:ind w:left="430" w:right="120" w:hanging="430"/>
        <w:spacing w:after="0" w:line="258" w:lineRule="auto"/>
        <w:tabs>
          <w:tab w:leader="none" w:pos="430"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24.3 Repetition of Representations</w:t>
      </w:r>
    </w:p>
    <w:p>
      <w:pPr>
        <w:spacing w:after="0" w:line="112" w:lineRule="exact"/>
        <w:rPr>
          <w:sz w:val="20"/>
          <w:szCs w:val="20"/>
          <w:color w:val="auto"/>
        </w:rPr>
      </w:pPr>
    </w:p>
    <w:p>
      <w:pPr>
        <w:ind w:left="430" w:right="20"/>
        <w:spacing w:after="0" w:line="258" w:lineRule="auto"/>
        <w:rPr>
          <w:sz w:val="20"/>
          <w:szCs w:val="20"/>
          <w:color w:val="auto"/>
        </w:rPr>
      </w:pPr>
      <w:r>
        <w:rPr>
          <w:rFonts w:ascii="Times New Roman" w:cs="Times New Roman" w:eastAsia="Times New Roman" w:hAnsi="Times New Roman"/>
          <w:sz w:val="18"/>
          <w:szCs w:val="18"/>
          <w:color w:val="auto"/>
        </w:rPr>
        <w:t>Delivery of an Accession Deed constitutes confirmation by the Target that the representations and warranties referred to in paragraph (c) of Clause 18.18 (Repetition) are true and correct in relation to it as at the date of delivery as if made by reference to the facts and circumstances then existing.</w:t>
      </w:r>
    </w:p>
    <w:p>
      <w:pPr>
        <w:spacing w:after="0" w:line="322" w:lineRule="exact"/>
        <w:rPr>
          <w:sz w:val="20"/>
          <w:szCs w:val="20"/>
          <w:color w:val="auto"/>
        </w:rPr>
      </w:pPr>
    </w:p>
    <w:p>
      <w:pPr>
        <w:ind w:left="10" w:right="7580" w:hanging="10"/>
        <w:spacing w:after="0" w:line="376" w:lineRule="auto"/>
        <w:tabs>
          <w:tab w:leader="none" w:pos="433" w:val="left"/>
        </w:tabs>
        <w:numPr>
          <w:ilvl w:val="0"/>
          <w:numId w:val="8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INFORMATION 25.1 Confidentiality</w:t>
      </w:r>
    </w:p>
    <w:p>
      <w:pPr>
        <w:spacing w:after="0" w:line="1"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Each Finance Party agrees to keep all Confidential Information confidential and not to disclose it to anyone, save to the extent permitted by Clause 25.2 (Disclosure of Confidential Information) and to ensure that all Confidential Information is protected with security measures and a degree of care that would apply to its own confidential information.</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25.2 Disclosure of Confidential Information</w:t>
      </w:r>
    </w:p>
    <w:p>
      <w:pPr>
        <w:spacing w:after="0" w:line="126" w:lineRule="exact"/>
        <w:rPr>
          <w:sz w:val="20"/>
          <w:szCs w:val="20"/>
          <w:color w:val="auto"/>
        </w:rPr>
      </w:pPr>
    </w:p>
    <w:p>
      <w:pPr>
        <w:ind w:left="430" w:right="120" w:hanging="430"/>
        <w:spacing w:after="0" w:line="250" w:lineRule="auto"/>
        <w:tabs>
          <w:tab w:leader="none" w:pos="430"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may deliver copies of the Finance Documents and/or disclose any information (including Confidential Information) received by it under or pursuant to any Finance Document or any other information about the Obligors, the Group, the Finance Documents and/or the Finance Parties as that Finance Party shall consider appropriate (if, in relation to any of paragraphs (xi)(A), (xi)(B) and (xi)(C) below, the person to whom any Confidential Information is to be disclosed has entered into a Confidentiality Undertaking, except that there shall be no requirement for any Confidentiality Undertaking if such recipient is subject to professional obligations to maintain the confidentiality of such Confidential Information) to:</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head office, branches, representative offices, Affiliates and/or Related Funds (</w:t>
      </w:r>
      <w:r>
        <w:rPr>
          <w:rFonts w:ascii="Times New Roman" w:cs="Times New Roman" w:eastAsia="Times New Roman" w:hAnsi="Times New Roman"/>
          <w:sz w:val="18"/>
          <w:szCs w:val="18"/>
          <w:b w:val="1"/>
          <w:bCs w:val="1"/>
          <w:color w:val="auto"/>
        </w:rPr>
        <w:t>Permitted Parties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Finance Party;</w:t>
      </w:r>
    </w:p>
    <w:p>
      <w:pPr>
        <w:spacing w:after="0" w:line="123" w:lineRule="exact"/>
        <w:rPr>
          <w:rFonts w:ascii="Times New Roman" w:cs="Times New Roman" w:eastAsia="Times New Roman" w:hAnsi="Times New Roman"/>
          <w:sz w:val="18"/>
          <w:szCs w:val="18"/>
          <w:color w:val="auto"/>
        </w:rPr>
      </w:pPr>
    </w:p>
    <w:p>
      <w:pPr>
        <w:jc w:val="both"/>
        <w:ind w:left="1050" w:right="200" w:hanging="626"/>
        <w:spacing w:after="0" w:line="258" w:lineRule="auto"/>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professional advisers or external auditor of it or any of the Permitted Parties and/or any other person providing services to or agent or contractor of it or any of the Permitted Parties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professional adviser, person providing services or agent or contractor is under a duty of confidentiality, contractual or otherwise, to such Finance Party or such Permitted Party);</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permitted by the Obligors;</w:t>
      </w:r>
    </w:p>
    <w:p>
      <w:pPr>
        <w:spacing w:after="0" w:line="123" w:lineRule="exact"/>
        <w:rPr>
          <w:rFonts w:ascii="Times New Roman" w:cs="Times New Roman" w:eastAsia="Times New Roman" w:hAnsi="Times New Roman"/>
          <w:sz w:val="18"/>
          <w:szCs w:val="18"/>
          <w:color w:val="auto"/>
        </w:rPr>
      </w:pPr>
    </w:p>
    <w:p>
      <w:pPr>
        <w:ind w:left="1050" w:right="340" w:hanging="626"/>
        <w:spacing w:after="0" w:line="270" w:lineRule="auto"/>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the extent required for the purpose of any litigation, arbitration or regulatory proceedings or procedure or in connection with any preservation or enforcement of any right or remedy under any Finance Document;</w:t>
      </w:r>
    </w:p>
    <w:p>
      <w:pPr>
        <w:spacing w:after="0" w:line="76" w:lineRule="exact"/>
        <w:rPr>
          <w:rFonts w:ascii="Times New Roman" w:cs="Times New Roman" w:eastAsia="Times New Roman" w:hAnsi="Times New Roman"/>
          <w:sz w:val="18"/>
          <w:szCs w:val="18"/>
          <w:color w:val="auto"/>
        </w:rPr>
      </w:pPr>
    </w:p>
    <w:p>
      <w:pPr>
        <w:ind w:left="1050" w:right="40" w:hanging="626"/>
        <w:spacing w:after="0" w:line="258" w:lineRule="auto"/>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and to the extent that, information is requested or required to be disclosed by any applicable law or regulation or the rules or requirements of any applicable court or tribunal, securities exchange or supervisory, governmental, quasi-governmental, administrative, regulatory or self-regulatory body or authority;</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director or officer of, or any auditor, partner or Representative of, any Finance Party or any of the Permitted Parties;</w:t>
      </w:r>
    </w:p>
    <w:p>
      <w:pPr>
        <w:spacing w:after="0" w:line="123" w:lineRule="exact"/>
        <w:rPr>
          <w:rFonts w:ascii="Times New Roman" w:cs="Times New Roman" w:eastAsia="Times New Roman" w:hAnsi="Times New Roman"/>
          <w:sz w:val="18"/>
          <w:szCs w:val="18"/>
          <w:color w:val="auto"/>
        </w:rPr>
      </w:pPr>
    </w:p>
    <w:p>
      <w:pPr>
        <w:ind w:left="1050" w:right="240" w:hanging="626"/>
        <w:spacing w:after="0" w:line="258" w:lineRule="auto"/>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rating agency, insurer or insurance broker of, or any direct or indirect provider of credit protection to, such Finance Party or any of the Permitted Parties, or any professional adviser of any of the foregoing,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such person is informed of the confidential nature of such Confidential Information;</w:t>
      </w:r>
    </w:p>
    <w:p>
      <w:pPr>
        <w:spacing w:after="0" w:line="85" w:lineRule="exact"/>
        <w:rPr>
          <w:rFonts w:ascii="Times New Roman" w:cs="Times New Roman" w:eastAsia="Times New Roman" w:hAnsi="Times New Roman"/>
          <w:sz w:val="18"/>
          <w:szCs w:val="18"/>
          <w:color w:val="auto"/>
        </w:rPr>
      </w:pPr>
    </w:p>
    <w:p>
      <w:pPr>
        <w:ind w:left="1050" w:right="20" w:hanging="626"/>
        <w:spacing w:after="0" w:line="270" w:lineRule="auto"/>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or for whose benefit that Finance Party charges, assigns or otherwise creates Security (or may do so) in or over all or any of its rights under any Finance Document pursuant to Clause 23.13 (Security over Lenders’ rights);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w:t>
      </w:r>
    </w:p>
    <w:p>
      <w:pPr>
        <w:spacing w:after="0" w:line="123" w:lineRule="exact"/>
        <w:rPr>
          <w:rFonts w:ascii="Times New Roman" w:cs="Times New Roman" w:eastAsia="Times New Roman" w:hAnsi="Times New Roman"/>
          <w:sz w:val="18"/>
          <w:szCs w:val="18"/>
          <w:color w:val="auto"/>
        </w:rPr>
      </w:pPr>
    </w:p>
    <w:p>
      <w:pPr>
        <w:jc w:val="both"/>
        <w:ind w:left="1710" w:right="280" w:hanging="639"/>
        <w:spacing w:after="0" w:line="258" w:lineRule="auto"/>
        <w:tabs>
          <w:tab w:leader="none" w:pos="1710" w:val="left"/>
        </w:tabs>
        <w:numPr>
          <w:ilvl w:val="2"/>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whom that Finance Party assigns or transfers (or may potentially assign or transfer) all or any of its rights and obligations under any Finance Document and, in each case, to any of that person’s Affiliates, Related Funds, Representatives and professional advisers;</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90"/>
          </w:cols>
          <w:pgMar w:left="550" w:top="266" w:right="559" w:bottom="1440" w:gutter="0" w:footer="0" w:header="0"/>
        </w:sectPr>
      </w:pPr>
    </w:p>
    <w:bookmarkStart w:id="624" w:name="page625"/>
    <w:bookmarkEnd w:id="624"/>
    <w:p>
      <w:pPr>
        <w:ind w:left="1710" w:right="80" w:hanging="639"/>
        <w:spacing w:after="0" w:line="253" w:lineRule="auto"/>
        <w:tabs>
          <w:tab w:leader="none" w:pos="1710" w:val="left"/>
        </w:tabs>
        <w:numPr>
          <w:ilvl w:val="1"/>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with (or through) whom that Finance Party enters into (or may potentially enter into) any sub-participation in relation to, or any other transaction under which payments are to be made by reference to, the Facility, any Finance Document, an Obligor or any Group Member, or who invests directly or indirectly in any such sub-participation or other transaction and, in each case, to any of that person’s Affiliates, Related Funds, Representatives and professional advisers; or</w:t>
      </w:r>
    </w:p>
    <w:p>
      <w:pPr>
        <w:spacing w:after="0" w:line="92" w:lineRule="exact"/>
        <w:rPr>
          <w:rFonts w:ascii="Times New Roman" w:cs="Times New Roman" w:eastAsia="Times New Roman" w:hAnsi="Times New Roman"/>
          <w:sz w:val="18"/>
          <w:szCs w:val="18"/>
          <w:color w:val="auto"/>
        </w:rPr>
      </w:pPr>
    </w:p>
    <w:p>
      <w:pPr>
        <w:ind w:left="1710" w:right="120" w:hanging="639"/>
        <w:spacing w:after="0" w:line="258" w:lineRule="auto"/>
        <w:tabs>
          <w:tab w:leader="none" w:pos="1710" w:val="left"/>
        </w:tabs>
        <w:numPr>
          <w:ilvl w:val="1"/>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acquires or is proposing to acquire any interest in, or enters into or is proposing to enter into any merger, amalgamation or other similar arrangement with, that Finance Party and, in each case, to any of that person’s Affiliates, Related Funds, Representatives and professional advisers.</w:t>
      </w:r>
    </w:p>
    <w:p>
      <w:pPr>
        <w:spacing w:after="0" w:line="85" w:lineRule="exact"/>
        <w:rPr>
          <w:rFonts w:ascii="Times New Roman" w:cs="Times New Roman" w:eastAsia="Times New Roman" w:hAnsi="Times New Roman"/>
          <w:sz w:val="18"/>
          <w:szCs w:val="18"/>
          <w:color w:val="auto"/>
        </w:rPr>
      </w:pPr>
    </w:p>
    <w:p>
      <w:pPr>
        <w:ind w:left="430" w:hanging="430"/>
        <w:spacing w:after="0" w:line="248" w:lineRule="auto"/>
        <w:tabs>
          <w:tab w:leader="none" w:pos="430"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in accordance with applicable laws and regulations, collect, use and disclose personal data about each of the Obligors and Finance Parties (if it is an individual) or individuals associated with each of the Obligors and Finance Parties (whether or not it is an individual), so that the Agent can carry out its obligations to the Obligors and/or, as the case may be, the Finance Party and for other related purposes, including auditing, monitoring and analysis of its business, fraud, and crime prevention, money laundering, legal and regulatory compliance, and marketing by the Agent or members of the HSBC Group of other services. The Agent may also, in accordance with applicable laws and regulations, transfer the personal data to any country (including countries outside where the Agent provides the services to be provided under the terms of this Agreement where there may be less stringent data protections laws) to process information on the Agent’s behalf. Wherever it is processed, the personal data will be protected by security measures and a degree of care to which all members of the HSBC Group and their staff are subjected and will only be used in accordance with the Agent’s instructions.</w:t>
      </w:r>
    </w:p>
    <w:p>
      <w:pPr>
        <w:spacing w:after="0" w:line="97" w:lineRule="exact"/>
        <w:rPr>
          <w:rFonts w:ascii="Times New Roman" w:cs="Times New Roman" w:eastAsia="Times New Roman" w:hAnsi="Times New Roman"/>
          <w:sz w:val="18"/>
          <w:szCs w:val="18"/>
          <w:color w:val="auto"/>
        </w:rPr>
      </w:pPr>
    </w:p>
    <w:p>
      <w:pPr>
        <w:ind w:left="430" w:right="40" w:hanging="430"/>
        <w:spacing w:after="0" w:line="248" w:lineRule="auto"/>
        <w:tabs>
          <w:tab w:leader="none" w:pos="430"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Finance Party (other than the Agent to which paragraph (b) above shall apply) may, in accordance with applicable laws and regulations, collect, use and disclose personal data about each of the Obligors and Finance Parties (if it is an individual) or individuals associated with each of the Obligors and Finance Parties (whether or not it is an individual), so that the relevant Finance Party can carry out its obligations to the Obligors and/or, as the case may be, the Finance Party and for other related purposes, including auditing, monitoring and analysis of its business, fraud, and crime prevention, money laundering, legal and regulatory compliance. Any Finance Party may also, in accordance with applicable laws and regulations, transfer the personal data to any country (including, in respect of a Lender, countries outside its Facility Office where there may be less stringent data protections laws) to process information on the relevant Finance Party’s behalf. Wherever it is processed, the personal data will be protected by security measures and a degree of care to which the relevant Finance Party and its staff are subjected and will only be used in accordance with the relevant Finance Party’s instructions.</w:t>
      </w:r>
    </w:p>
    <w:p>
      <w:pPr>
        <w:spacing w:after="0" w:line="97" w:lineRule="exact"/>
        <w:rPr>
          <w:rFonts w:ascii="Times New Roman" w:cs="Times New Roman" w:eastAsia="Times New Roman" w:hAnsi="Times New Roman"/>
          <w:sz w:val="18"/>
          <w:szCs w:val="18"/>
          <w:color w:val="auto"/>
        </w:rPr>
      </w:pPr>
    </w:p>
    <w:p>
      <w:pPr>
        <w:ind w:left="430" w:right="100" w:hanging="430"/>
        <w:spacing w:after="0" w:line="249" w:lineRule="auto"/>
        <w:tabs>
          <w:tab w:leader="none" w:pos="430"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Obligor further acknowledges and agrees that some services, operational and processing procedures relating to the transactions or services contemplated under the Finance Documents may from time to time be outsourced by any Finance Party to its regional or global processing centres, branches, Subsidiaries, representative offices, Affiliates, agents of any Finance Party and third parties selected by any Finance Party, wherever situated, and these service providers may from time to time be given access to information and data relating to the transactions or services contemplated under the Finance Documents for the purpose of or in relation to the services and procedures they perform. This Clause 25 is not, and shall not be deemed to constitute, an express or implied agreement by a Finance Party for a higher degree of confidentiality than that prescribed under any applicable law or regulation.</w:t>
      </w:r>
    </w:p>
    <w:p>
      <w:pPr>
        <w:spacing w:after="0" w:line="96" w:lineRule="exact"/>
        <w:rPr>
          <w:rFonts w:ascii="Times New Roman" w:cs="Times New Roman" w:eastAsia="Times New Roman" w:hAnsi="Times New Roman"/>
          <w:sz w:val="18"/>
          <w:szCs w:val="18"/>
          <w:color w:val="auto"/>
        </w:rPr>
      </w:pPr>
    </w:p>
    <w:p>
      <w:pPr>
        <w:ind w:left="430" w:right="120" w:hanging="430"/>
        <w:spacing w:after="0" w:line="250" w:lineRule="auto"/>
        <w:tabs>
          <w:tab w:leader="none" w:pos="430"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in this Agreement or any other document, each Obligor acknowledges and agrees that each Finance Party (and each employee, representative or other agent of each Finance Party) may each disclose to any and all persons to the extent required to be disclosed under any law or regulation applicable to such Finance Party, without limitation of any kind, the U.S. tax treatment and U.S. tax structure of the transactions contemplated under the Finance Documents and all materials of any kind (including opinions or other tax analyses) that are provided to any of them relating to such U.S. tax treatment and U.S. tax structure, other than any information for which non-disclosure is necessary in order to comply with applicable securities laws.</w:t>
      </w:r>
    </w:p>
    <w:p>
      <w:pPr>
        <w:spacing w:after="0" w:line="94" w:lineRule="exact"/>
        <w:rPr>
          <w:rFonts w:ascii="Times New Roman" w:cs="Times New Roman" w:eastAsia="Times New Roman" w:hAnsi="Times New Roman"/>
          <w:sz w:val="18"/>
          <w:szCs w:val="18"/>
          <w:color w:val="auto"/>
        </w:rPr>
      </w:pPr>
    </w:p>
    <w:p>
      <w:pPr>
        <w:ind w:left="430" w:right="80" w:hanging="430"/>
        <w:spacing w:after="0" w:line="300" w:lineRule="auto"/>
        <w:tabs>
          <w:tab w:leader="none" w:pos="430" w:val="left"/>
        </w:tabs>
        <w:numPr>
          <w:ilvl w:val="0"/>
          <w:numId w:val="8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nothing in this Clause 25 prohibits any individual from communicating or disclosing information regarding suspected violations of laws, rules, or regulations to a governmental, regulatory or self-regulatory authority without any notification to any person.</w:t>
      </w:r>
    </w:p>
    <w:p>
      <w:pPr>
        <w:spacing w:after="0" w:line="53" w:lineRule="exact"/>
        <w:rPr>
          <w:rFonts w:ascii="Times New Roman" w:cs="Times New Roman" w:eastAsia="Times New Roman" w:hAnsi="Times New Roman"/>
          <w:sz w:val="17"/>
          <w:szCs w:val="17"/>
          <w:color w:val="auto"/>
        </w:rPr>
      </w:pPr>
    </w:p>
    <w:p>
      <w:pPr>
        <w:ind w:left="430" w:right="340" w:hanging="430"/>
        <w:spacing w:after="0" w:line="270" w:lineRule="auto"/>
        <w:tabs>
          <w:tab w:leader="none" w:pos="430"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25 supersedes any previous agreement between any of the Parties relation to the confidentiality of any such information or of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25.3 Disclosure of Funding Rate</w:t>
      </w:r>
    </w:p>
    <w:p>
      <w:pPr>
        <w:spacing w:after="0" w:line="126" w:lineRule="exact"/>
        <w:rPr>
          <w:sz w:val="20"/>
          <w:szCs w:val="20"/>
          <w:color w:val="auto"/>
        </w:rPr>
      </w:pPr>
    </w:p>
    <w:p>
      <w:pPr>
        <w:ind w:left="430" w:hanging="430"/>
        <w:spacing w:after="0"/>
        <w:tabs>
          <w:tab w:leader="none" w:pos="430"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w:t>
      </w:r>
    </w:p>
    <w:p>
      <w:pPr>
        <w:spacing w:after="0" w:line="108"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Rate </w:t>
      </w:r>
      <w:r>
        <w:rPr>
          <w:rFonts w:ascii="Times New Roman" w:cs="Times New Roman" w:eastAsia="Times New Roman" w:hAnsi="Times New Roman"/>
          <w:sz w:val="18"/>
          <w:szCs w:val="18"/>
          <w:color w:val="auto"/>
        </w:rPr>
        <w:t>means any rate notified by a Lender to the Agent pursuant to paragraph (a)(ii) of Clause 10.4 (Cost of funds).</w:t>
      </w:r>
    </w:p>
    <w:p>
      <w:pPr>
        <w:spacing w:after="0" w:line="1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70"/>
          </w:cols>
          <w:pgMar w:left="550" w:top="267" w:right="579" w:bottom="1440" w:gutter="0" w:footer="0" w:header="0"/>
        </w:sectPr>
      </w:pPr>
    </w:p>
    <w:bookmarkStart w:id="625" w:name="page626"/>
    <w:bookmarkEnd w:id="625"/>
    <w:p>
      <w:pPr>
        <w:ind w:left="430" w:right="820" w:hanging="430"/>
        <w:spacing w:after="0" w:line="270" w:lineRule="auto"/>
        <w:tabs>
          <w:tab w:leader="none" w:pos="43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Agent and the Borrower(s) agree to (and the Guarantor shall procure that each other Group Member shall) keep each Funding Rate confidential and not to disclose it to anyone, save to the extent permitted by paragraphs (c) and (d) below.</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the Borrower(s) pursuant to Clause 8.4 (Notification of rates of interest); and</w:t>
      </w:r>
    </w:p>
    <w:p>
      <w:pPr>
        <w:spacing w:after="0" w:line="123" w:lineRule="exact"/>
        <w:rPr>
          <w:rFonts w:ascii="Times New Roman" w:cs="Times New Roman" w:eastAsia="Times New Roman" w:hAnsi="Times New Roman"/>
          <w:sz w:val="18"/>
          <w:szCs w:val="18"/>
          <w:color w:val="auto"/>
        </w:rPr>
      </w:pPr>
    </w:p>
    <w:p>
      <w:pPr>
        <w:ind w:left="1050" w:right="60" w:hanging="626"/>
        <w:spacing w:after="0" w:line="251" w:lineRule="auto"/>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Funding Rate to any person appointed by it to provide administration services in respect of one or more of the Finance Documents to the extent necessary to enable such person to provide those services if such person to whom that Funding Rate is to be given has entered into a confidentiality agreement substantially in the form of the Loan Market Association Master Confidentiality Undertaking for Use With Administration/Settlement Service Providers or such other form of confidentiality undertaking agreed between the Agent and the Lender providing such Funding Rate.</w:t>
      </w:r>
    </w:p>
    <w:p>
      <w:pPr>
        <w:spacing w:after="0" w:line="94"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disclose any Funding Rate, and the Borrower(s) may disclose any Funding Rate, to:</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51" w:lineRule="auto"/>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such person is subject to professional obligations to maintain the confidentiality of that Funding Rate or is otherwise bound by requirements of confidentiality in relation to it;</w:t>
      </w:r>
    </w:p>
    <w:p>
      <w:pPr>
        <w:spacing w:after="0" w:line="94" w:lineRule="exact"/>
        <w:rPr>
          <w:rFonts w:ascii="Times New Roman" w:cs="Times New Roman" w:eastAsia="Times New Roman" w:hAnsi="Times New Roman"/>
          <w:sz w:val="18"/>
          <w:szCs w:val="18"/>
          <w:color w:val="auto"/>
        </w:rPr>
      </w:pPr>
    </w:p>
    <w:p>
      <w:pPr>
        <w:ind w:left="1050" w:right="20" w:hanging="626"/>
        <w:spacing w:after="0" w:line="251" w:lineRule="auto"/>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Borrower(s), as the case may be, it is not practicable to do so in the circumstances;</w:t>
      </w:r>
    </w:p>
    <w:p>
      <w:pPr>
        <w:spacing w:after="0" w:line="94" w:lineRule="exact"/>
        <w:rPr>
          <w:rFonts w:ascii="Times New Roman" w:cs="Times New Roman" w:eastAsia="Times New Roman" w:hAnsi="Times New Roman"/>
          <w:sz w:val="18"/>
          <w:szCs w:val="18"/>
          <w:color w:val="auto"/>
        </w:rPr>
      </w:pPr>
    </w:p>
    <w:p>
      <w:pPr>
        <w:ind w:left="1050" w:hanging="626"/>
        <w:spacing w:after="0" w:line="253" w:lineRule="auto"/>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Borrower(s), as the case may be, it is not practicable to do so in the circumstances; and</w:t>
      </w:r>
    </w:p>
    <w:p>
      <w:pPr>
        <w:spacing w:after="0" w:line="92"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with the consent of the Lender providing such Funding Rate.</w:t>
      </w:r>
    </w:p>
    <w:p>
      <w:pPr>
        <w:spacing w:after="0" w:line="123" w:lineRule="exact"/>
        <w:rPr>
          <w:rFonts w:ascii="Times New Roman" w:cs="Times New Roman" w:eastAsia="Times New Roman" w:hAnsi="Times New Roman"/>
          <w:sz w:val="18"/>
          <w:szCs w:val="18"/>
          <w:color w:val="auto"/>
        </w:rPr>
      </w:pPr>
    </w:p>
    <w:p>
      <w:pPr>
        <w:ind w:left="430" w:right="100" w:hanging="430"/>
        <w:spacing w:after="0" w:line="258" w:lineRule="auto"/>
        <w:tabs>
          <w:tab w:leader="none" w:pos="43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Borrower(s) acknowledge that each Funding Rate is or may be price-sensitive information and that its use may be regulated or prohibited by applicable legislation including securities law relating to insider dealing and market abuse and the Agent and the Borrower(s) undertake not to (and the Guarantor shall procure that no Group Member shall) use any Funding Rate for any unlawful purpose.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Borrower(s) agree (to the extent permitted by law and regulation) to inform a Lender (that provides a Funding Rate):</w:t>
      </w:r>
    </w:p>
    <w:p>
      <w:pPr>
        <w:spacing w:after="0" w:line="123"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circumstances of any disclosure made pursuant to paragraph (d)(ii) except where such disclosure is made to any of the persons referred to in that paragraph during the ordinary course of its supervisory or regulatory function;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becoming aware that any information has been disclosed in breach of this Clause 25.3.</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will occur under Clause 22.3 (Other obligations) by reason only of any Borrower’s failure to comply with this Clause 25.3.</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25.4 Disclosure of Lender details by the Agent</w:t>
      </w:r>
    </w:p>
    <w:p>
      <w:pPr>
        <w:spacing w:after="0" w:line="112" w:lineRule="exact"/>
        <w:rPr>
          <w:sz w:val="20"/>
          <w:szCs w:val="20"/>
          <w:color w:val="auto"/>
        </w:rPr>
      </w:pPr>
    </w:p>
    <w:p>
      <w:pPr>
        <w:ind w:left="430" w:right="60"/>
        <w:spacing w:after="0" w:line="248" w:lineRule="auto"/>
        <w:rPr>
          <w:sz w:val="20"/>
          <w:szCs w:val="20"/>
          <w:color w:val="auto"/>
        </w:rPr>
      </w:pPr>
      <w:r>
        <w:rPr>
          <w:rFonts w:ascii="Times New Roman" w:cs="Times New Roman" w:eastAsia="Times New Roman" w:hAnsi="Times New Roman"/>
          <w:sz w:val="18"/>
          <w:szCs w:val="18"/>
          <w:color w:val="auto"/>
        </w:rPr>
        <w:t>The Agent shall provide to the Borrower(s), promptly following receipt of a request by the Borrower(s) (but no more frequently than once per calendar month), the names of the Lenders as at the date of that request, their respective Commitments, (to the extent provided to the Agent) the address and fax number (and the department or officer, if any, for whose attention any communication is to be made) of each Lender for any communication to be made or document to be delivered under or in connection with the Finance Documents, (to the extent provided to the Agent) the electronic mail address and/or any other information required to enable the sending and receipt of information by electronic mail or other electronic means to and by each Lender to whom any communication under or in connection with the Finance Documents may be made by that means, and the account details of each Lender for any payment to be distributed by the Agent to that Lender under the Finance Documents. For the avoidance of doubt, each Lender authorises the Agent to provide such information to the Borrower(s) from time to time.</w:t>
      </w:r>
    </w:p>
    <w:p>
      <w:pPr>
        <w:spacing w:after="0" w:line="12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90"/>
          </w:cols>
          <w:pgMar w:left="550" w:top="266" w:right="559" w:bottom="1440" w:gutter="0" w:footer="0" w:header="0"/>
        </w:sectPr>
      </w:pPr>
    </w:p>
    <w:bookmarkStart w:id="626" w:name="page627"/>
    <w:bookmarkEnd w:id="626"/>
    <w:p>
      <w:pPr>
        <w:ind w:left="10" w:right="6720" w:hanging="10"/>
        <w:spacing w:after="0" w:line="384" w:lineRule="auto"/>
        <w:tabs>
          <w:tab w:leader="none" w:pos="433" w:val="left"/>
        </w:tabs>
        <w:numPr>
          <w:ilvl w:val="0"/>
          <w:numId w:val="8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ROLE OF THE ADMINISTRATIVE PARTIES 26.1 Appointment of the Agent</w:t>
      </w:r>
    </w:p>
    <w:p>
      <w:pPr>
        <w:spacing w:after="0" w:line="1" w:lineRule="exact"/>
        <w:rPr>
          <w:sz w:val="20"/>
          <w:szCs w:val="20"/>
          <w:color w:val="auto"/>
        </w:rPr>
      </w:pPr>
    </w:p>
    <w:p>
      <w:pPr>
        <w:ind w:left="430" w:hanging="430"/>
        <w:spacing w:after="0"/>
        <w:tabs>
          <w:tab w:leader="none" w:pos="430"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(other than the Agent) appoints the Agent to act as its agent under and in connection with the Finance Documents.</w:t>
      </w:r>
    </w:p>
    <w:p>
      <w:pPr>
        <w:spacing w:after="0" w:line="123" w:lineRule="exact"/>
        <w:rPr>
          <w:rFonts w:ascii="Times New Roman" w:cs="Times New Roman" w:eastAsia="Times New Roman" w:hAnsi="Times New Roman"/>
          <w:sz w:val="18"/>
          <w:szCs w:val="18"/>
          <w:color w:val="auto"/>
        </w:rPr>
      </w:pPr>
    </w:p>
    <w:p>
      <w:pPr>
        <w:ind w:left="430" w:right="220" w:hanging="430"/>
        <w:spacing w:after="0" w:line="258" w:lineRule="auto"/>
        <w:tabs>
          <w:tab w:leader="none" w:pos="430"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Finance Party (other than the Agent)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Finance Parties authorises the Agent to:</w:t>
      </w:r>
    </w:p>
    <w:p>
      <w:pPr>
        <w:spacing w:after="0" w:line="123" w:lineRule="exact"/>
        <w:rPr>
          <w:rFonts w:ascii="Times New Roman" w:cs="Times New Roman" w:eastAsia="Times New Roman" w:hAnsi="Times New Roman"/>
          <w:sz w:val="18"/>
          <w:szCs w:val="18"/>
          <w:color w:val="auto"/>
        </w:rPr>
      </w:pPr>
    </w:p>
    <w:p>
      <w:pPr>
        <w:ind w:left="1050" w:right="40" w:hanging="626"/>
        <w:spacing w:after="0" w:line="258" w:lineRule="auto"/>
        <w:tabs>
          <w:tab w:leader="none" w:pos="1050"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the duties, obligations and responsibilities and to exercise the rights, powers, authorities and discretions specifically given to the Agent under or in connection with the Finance Documents together with any other incidental rights, powers, authorities and discretions; and</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and deliver each Finance Document expressed to be entered into by the Agent.</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Finance Party (other than the Agent) hereby exempts the Agent from any restrictions on self-dealing</w:t>
      </w:r>
    </w:p>
    <w:p>
      <w:pPr>
        <w:spacing w:after="0" w:line="22" w:lineRule="exact"/>
        <w:rPr>
          <w:rFonts w:ascii="Times New Roman" w:cs="Times New Roman" w:eastAsia="Times New Roman" w:hAnsi="Times New Roman"/>
          <w:sz w:val="18"/>
          <w:szCs w:val="18"/>
          <w:color w:val="auto"/>
        </w:rPr>
      </w:pPr>
    </w:p>
    <w:p>
      <w:pPr>
        <w:ind w:left="43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Insichgeschäft</w:t>
      </w:r>
      <w:r>
        <w:rPr>
          <w:rFonts w:ascii="Times New Roman" w:cs="Times New Roman" w:eastAsia="Times New Roman" w:hAnsi="Times New Roman"/>
          <w:sz w:val="17"/>
          <w:szCs w:val="17"/>
          <w:color w:val="auto"/>
        </w:rPr>
        <w:t>) and multi-representation (</w:t>
      </w:r>
      <w:r>
        <w:rPr>
          <w:rFonts w:ascii="Times New Roman" w:cs="Times New Roman" w:eastAsia="Times New Roman" w:hAnsi="Times New Roman"/>
          <w:sz w:val="17"/>
          <w:szCs w:val="17"/>
          <w:i w:val="1"/>
          <w:iCs w:val="1"/>
          <w:color w:val="auto"/>
        </w:rPr>
        <w:t>Mehrfachvertretung</w:t>
      </w:r>
      <w:r>
        <w:rPr>
          <w:rFonts w:ascii="Times New Roman" w:cs="Times New Roman" w:eastAsia="Times New Roman" w:hAnsi="Times New Roman"/>
          <w:sz w:val="17"/>
          <w:szCs w:val="17"/>
          <w:color w:val="auto"/>
        </w:rPr>
        <w:t>) pursuant to section 181 of the German Civil Code (</w:t>
      </w:r>
      <w:r>
        <w:rPr>
          <w:rFonts w:ascii="Times New Roman" w:cs="Times New Roman" w:eastAsia="Times New Roman" w:hAnsi="Times New Roman"/>
          <w:sz w:val="17"/>
          <w:szCs w:val="17"/>
          <w:i w:val="1"/>
          <w:iCs w:val="1"/>
          <w:color w:val="auto"/>
        </w:rPr>
        <w:t>Bürgerliches Gesetzbuch</w:t>
      </w:r>
      <w:r>
        <w:rPr>
          <w:rFonts w:ascii="Times New Roman" w:cs="Times New Roman" w:eastAsia="Times New Roman" w:hAnsi="Times New Roman"/>
          <w:sz w:val="17"/>
          <w:szCs w:val="17"/>
          <w:color w:val="auto"/>
        </w:rPr>
        <w:t>) and any similar restrictions applicable to it pursuant to any other applicable law, in each case to the extent legally possible to such Finance Party. A Finance Party which is barred by its constitutional documents, by-laws or otherwise from granting such exemption shall notify the Agent accordingly. Each Finance Party (other than the Agent) hereby authorises the Agent to delegate or sub-delegate any powers granted to it under this Clause 26.1 (and any other relevant provision in this Agreement and/or any other Finance Document) to any representative it may elect in its discretion and to grant powers of attorney to any such representative including the exemption from any restrictions on self-dealing (</w:t>
      </w:r>
      <w:r>
        <w:rPr>
          <w:rFonts w:ascii="Times New Roman" w:cs="Times New Roman" w:eastAsia="Times New Roman" w:hAnsi="Times New Roman"/>
          <w:sz w:val="17"/>
          <w:szCs w:val="17"/>
          <w:i w:val="1"/>
          <w:iCs w:val="1"/>
          <w:color w:val="auto"/>
        </w:rPr>
        <w:t>Insichgeschäft</w:t>
      </w:r>
      <w:r>
        <w:rPr>
          <w:rFonts w:ascii="Times New Roman" w:cs="Times New Roman" w:eastAsia="Times New Roman" w:hAnsi="Times New Roman"/>
          <w:sz w:val="17"/>
          <w:szCs w:val="17"/>
          <w:color w:val="auto"/>
        </w:rPr>
        <w:t>) and multi-representation (</w:t>
      </w:r>
      <w:r>
        <w:rPr>
          <w:rFonts w:ascii="Times New Roman" w:cs="Times New Roman" w:eastAsia="Times New Roman" w:hAnsi="Times New Roman"/>
          <w:sz w:val="17"/>
          <w:szCs w:val="17"/>
          <w:i w:val="1"/>
          <w:iCs w:val="1"/>
          <w:color w:val="auto"/>
        </w:rPr>
        <w:t>Mehrfachvertretung</w:t>
      </w:r>
      <w:r>
        <w:rPr>
          <w:rFonts w:ascii="Times New Roman" w:cs="Times New Roman" w:eastAsia="Times New Roman" w:hAnsi="Times New Roman"/>
          <w:sz w:val="17"/>
          <w:szCs w:val="17"/>
          <w:color w:val="auto"/>
        </w:rPr>
        <w:t>) pursuant to section 181 of the German Civil Code (</w:t>
      </w:r>
      <w:r>
        <w:rPr>
          <w:rFonts w:ascii="Times New Roman" w:cs="Times New Roman" w:eastAsia="Times New Roman" w:hAnsi="Times New Roman"/>
          <w:sz w:val="17"/>
          <w:szCs w:val="17"/>
          <w:i w:val="1"/>
          <w:iCs w:val="1"/>
          <w:color w:val="auto"/>
        </w:rPr>
        <w:t>Bürgerliches Gesetzbuch</w:t>
      </w:r>
      <w:r>
        <w:rPr>
          <w:rFonts w:ascii="Times New Roman" w:cs="Times New Roman" w:eastAsia="Times New Roman" w:hAnsi="Times New Roman"/>
          <w:sz w:val="17"/>
          <w:szCs w:val="17"/>
          <w:color w:val="auto"/>
        </w:rPr>
        <w:t>) and any similar restrictions applicable to it pursuant to any other applicable law (in each case to the extent legally possible to such Finance Party).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 Duties of the Agent</w:t>
      </w:r>
    </w:p>
    <w:p>
      <w:pPr>
        <w:spacing w:after="0" w:line="126" w:lineRule="exact"/>
        <w:rPr>
          <w:sz w:val="20"/>
          <w:szCs w:val="20"/>
          <w:color w:val="auto"/>
        </w:rPr>
      </w:pPr>
    </w:p>
    <w:p>
      <w:pPr>
        <w:ind w:left="430" w:right="360" w:hanging="430"/>
        <w:spacing w:after="0" w:line="270" w:lineRule="auto"/>
        <w:tabs>
          <w:tab w:leader="none" w:pos="43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the Agent shall promptly forward to a party to any Finance Document the original or a copy of any document which is delivered to the Agent for that party by any other party to any Finance Document.</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Clause 23.8 (Copy of Transfer Certificate or Assignment Agreement and Increase Confirmation to Borrower), paragraph</w:t>
      </w:r>
    </w:p>
    <w:p>
      <w:pPr>
        <w:spacing w:after="0" w:line="22" w:lineRule="exact"/>
        <w:rPr>
          <w:rFonts w:ascii="Times New Roman" w:cs="Times New Roman" w:eastAsia="Times New Roman" w:hAnsi="Times New Roman"/>
          <w:sz w:val="18"/>
          <w:szCs w:val="18"/>
          <w:color w:val="auto"/>
        </w:rPr>
      </w:pPr>
    </w:p>
    <w:p>
      <w:pPr>
        <w:ind w:left="43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above shall not apply to any Assignment Agreement or any Transfer Certificate or any notice or confirmation under paragraph (d)(i) of Clause 23.7 (Procedure for assignment).</w:t>
      </w:r>
    </w:p>
    <w:p>
      <w:pPr>
        <w:spacing w:after="0" w:line="93" w:lineRule="exact"/>
        <w:rPr>
          <w:rFonts w:ascii="Times New Roman" w:cs="Times New Roman" w:eastAsia="Times New Roman" w:hAnsi="Times New Roman"/>
          <w:sz w:val="18"/>
          <w:szCs w:val="18"/>
          <w:color w:val="auto"/>
        </w:rPr>
      </w:pPr>
    </w:p>
    <w:p>
      <w:pPr>
        <w:ind w:left="430" w:right="640" w:hanging="430"/>
        <w:spacing w:after="0" w:line="270" w:lineRule="auto"/>
        <w:tabs>
          <w:tab w:leader="none" w:pos="43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 Finance Document specifically provides otherwise, the Agent is not obliged to review or check the adequacy, accuracy or completeness of any document it forwards to any party to any Finance Document.</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notice from any party to any Finance Document referring to a Finance Document, describing a Default and stating that the circumstance described is a Default, it shall promptly notify the other Finance Parties.</w:t>
      </w:r>
    </w:p>
    <w:p>
      <w:pPr>
        <w:spacing w:after="0" w:line="76" w:lineRule="exact"/>
        <w:rPr>
          <w:rFonts w:ascii="Times New Roman" w:cs="Times New Roman" w:eastAsia="Times New Roman" w:hAnsi="Times New Roman"/>
          <w:sz w:val="18"/>
          <w:szCs w:val="18"/>
          <w:color w:val="auto"/>
        </w:rPr>
      </w:pPr>
    </w:p>
    <w:p>
      <w:pPr>
        <w:ind w:left="430" w:right="540" w:hanging="430"/>
        <w:spacing w:after="0" w:line="270" w:lineRule="auto"/>
        <w:tabs>
          <w:tab w:leader="none" w:pos="43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is aware of the non-payment of any principal, interest, commitment fee or other fee payable to a Finance Party (other than any Administrative Party) under a Finance Document it shall promptly notify the other Finance Parties.</w:t>
      </w:r>
    </w:p>
    <w:p>
      <w:pPr>
        <w:spacing w:after="0" w:line="76" w:lineRule="exact"/>
        <w:rPr>
          <w:rFonts w:ascii="Times New Roman" w:cs="Times New Roman" w:eastAsia="Times New Roman" w:hAnsi="Times New Roman"/>
          <w:sz w:val="18"/>
          <w:szCs w:val="18"/>
          <w:color w:val="auto"/>
        </w:rPr>
      </w:pPr>
    </w:p>
    <w:p>
      <w:pPr>
        <w:ind w:left="430" w:right="260" w:hanging="430"/>
        <w:spacing w:after="0" w:line="300" w:lineRule="auto"/>
        <w:tabs>
          <w:tab w:leader="none" w:pos="430" w:val="left"/>
        </w:tabs>
        <w:numPr>
          <w:ilvl w:val="0"/>
          <w:numId w:val="8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Agent’s duties under the Finance Documents are solely mechanical and administrative in nature. The Agent shall have no other duties, obligations and responsibilities save as expressly provided for in the Finance Documents to which it is a party (and no others shall be implied).</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26.3 Role of the MLABUs and Arrangers</w:t>
      </w:r>
    </w:p>
    <w:p>
      <w:pPr>
        <w:spacing w:after="0" w:line="112"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Except as specifically provided in the Finance Documents to which it is a party, none of the MLABUs or Arrangers shall have any obligations of any kind to any other Party under or in connection with any Finance Document.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26.4 No fiduciary duties</w:t>
      </w:r>
    </w:p>
    <w:p>
      <w:pPr>
        <w:spacing w:after="0" w:line="124" w:lineRule="exact"/>
        <w:rPr>
          <w:sz w:val="20"/>
          <w:szCs w:val="20"/>
          <w:color w:val="auto"/>
        </w:rPr>
      </w:pPr>
    </w:p>
    <w:p>
      <w:pPr>
        <w:ind w:left="430" w:right="340" w:hanging="430"/>
        <w:spacing w:after="0" w:line="273" w:lineRule="auto"/>
        <w:tabs>
          <w:tab w:leader="none" w:pos="430"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constitutes any Administrative Party as a trustee (</w:t>
      </w:r>
      <w:r>
        <w:rPr>
          <w:rFonts w:ascii="Times New Roman" w:cs="Times New Roman" w:eastAsia="Times New Roman" w:hAnsi="Times New Roman"/>
          <w:sz w:val="18"/>
          <w:szCs w:val="18"/>
          <w:i w:val="1"/>
          <w:iCs w:val="1"/>
          <w:color w:val="auto"/>
        </w:rPr>
        <w:t>Treuhänder</w:t>
      </w:r>
      <w:r>
        <w:rPr>
          <w:rFonts w:ascii="Times New Roman" w:cs="Times New Roman" w:eastAsia="Times New Roman" w:hAnsi="Times New Roman"/>
          <w:sz w:val="18"/>
          <w:szCs w:val="18"/>
          <w:color w:val="auto"/>
        </w:rPr>
        <w:t>) or fiduciary of any other person. No Administrative Party has any financial or commercial duty of care (</w:t>
      </w:r>
      <w:r>
        <w:rPr>
          <w:rFonts w:ascii="Times New Roman" w:cs="Times New Roman" w:eastAsia="Times New Roman" w:hAnsi="Times New Roman"/>
          <w:sz w:val="18"/>
          <w:szCs w:val="18"/>
          <w:i w:val="1"/>
          <w:iCs w:val="1"/>
          <w:color w:val="auto"/>
        </w:rPr>
        <w:t>Vermögensfürsorgepflicht</w:t>
      </w:r>
      <w:r>
        <w:rPr>
          <w:rFonts w:ascii="Times New Roman" w:cs="Times New Roman" w:eastAsia="Times New Roman" w:hAnsi="Times New Roman"/>
          <w:sz w:val="18"/>
          <w:szCs w:val="18"/>
          <w:color w:val="auto"/>
        </w:rPr>
        <w:t>) for any person.</w:t>
      </w:r>
    </w:p>
    <w:p>
      <w:pPr>
        <w:spacing w:after="0" w:line="73" w:lineRule="exact"/>
        <w:rPr>
          <w:rFonts w:ascii="Times New Roman" w:cs="Times New Roman" w:eastAsia="Times New Roman" w:hAnsi="Times New Roman"/>
          <w:sz w:val="18"/>
          <w:szCs w:val="18"/>
          <w:color w:val="auto"/>
        </w:rPr>
      </w:pPr>
    </w:p>
    <w:p>
      <w:pPr>
        <w:jc w:val="center"/>
        <w:ind w:left="5310" w:right="80" w:hanging="5310"/>
        <w:spacing w:after="0" w:line="439" w:lineRule="auto"/>
        <w:tabs>
          <w:tab w:leader="none" w:pos="427"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Administrative Party shall be bound to account to any Lender for any sum or the profit element of any sum received by it for its own account. 42</w:t>
      </w:r>
    </w:p>
    <w:p>
      <w:pPr>
        <w:sectPr>
          <w:pgSz w:w="11900" w:h="16838" w:orient="portrait"/>
          <w:cols w:equalWidth="0" w:num="1">
            <w:col w:w="10750"/>
          </w:cols>
          <w:pgMar w:left="550" w:top="264" w:right="599" w:bottom="1440" w:gutter="0" w:footer="0" w:header="0"/>
        </w:sectPr>
      </w:pPr>
    </w:p>
    <w:bookmarkStart w:id="627" w:name="page628"/>
    <w:bookmarkEnd w:id="627"/>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26.5 Business with the Group</w:t>
      </w:r>
    </w:p>
    <w:p>
      <w:pPr>
        <w:spacing w:after="0" w:line="112" w:lineRule="exact"/>
        <w:rPr>
          <w:sz w:val="20"/>
          <w:szCs w:val="20"/>
          <w:color w:val="auto"/>
        </w:rPr>
      </w:pPr>
    </w:p>
    <w:p>
      <w:pPr>
        <w:ind w:left="430" w:right="500"/>
        <w:spacing w:after="0" w:line="270" w:lineRule="auto"/>
        <w:rPr>
          <w:sz w:val="20"/>
          <w:szCs w:val="20"/>
          <w:color w:val="auto"/>
        </w:rPr>
      </w:pPr>
      <w:r>
        <w:rPr>
          <w:rFonts w:ascii="Times New Roman" w:cs="Times New Roman" w:eastAsia="Times New Roman" w:hAnsi="Times New Roman"/>
          <w:sz w:val="18"/>
          <w:szCs w:val="18"/>
          <w:color w:val="auto"/>
        </w:rPr>
        <w:t>Each Administrative Party may accept deposits from, lend money to and generally engage in any kind of banking or other business with the Obligors, any other Group Member or any Affiliate of any of the foregoing.</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26.6 Rights and discretions of the Agent</w:t>
      </w:r>
    </w:p>
    <w:p>
      <w:pPr>
        <w:spacing w:after="0" w:line="126" w:lineRule="exact"/>
        <w:rPr>
          <w:sz w:val="20"/>
          <w:szCs w:val="20"/>
          <w:color w:val="auto"/>
        </w:rPr>
      </w:pPr>
    </w:p>
    <w:p>
      <w:pPr>
        <w:ind w:left="430" w:hanging="430"/>
        <w:spacing w:after="0"/>
        <w:tabs>
          <w:tab w:leader="none" w:pos="43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w:t>
      </w:r>
    </w:p>
    <w:p>
      <w:pPr>
        <w:spacing w:after="0" w:line="123" w:lineRule="exact"/>
        <w:rPr>
          <w:rFonts w:ascii="Times New Roman" w:cs="Times New Roman" w:eastAsia="Times New Roman" w:hAnsi="Times New Roman"/>
          <w:sz w:val="18"/>
          <w:szCs w:val="18"/>
          <w:color w:val="auto"/>
        </w:rPr>
      </w:pPr>
    </w:p>
    <w:p>
      <w:pPr>
        <w:ind w:left="1050" w:right="340" w:hanging="626"/>
        <w:spacing w:after="0" w:line="270" w:lineRule="auto"/>
        <w:tabs>
          <w:tab w:leader="none" w:pos="1050" w:val="left"/>
        </w:tabs>
        <w:numPr>
          <w:ilvl w:val="1"/>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any representation, communication, notice or document believed by it to be genuine, correct and appropriately authorised and shall have no duty to verify any signature on any document; and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w:t>
      </w:r>
    </w:p>
    <w:p>
      <w:pPr>
        <w:spacing w:after="0" w:line="123" w:lineRule="exact"/>
        <w:rPr>
          <w:rFonts w:ascii="Times New Roman" w:cs="Times New Roman" w:eastAsia="Times New Roman" w:hAnsi="Times New Roman"/>
          <w:sz w:val="18"/>
          <w:szCs w:val="18"/>
          <w:color w:val="auto"/>
        </w:rPr>
      </w:pPr>
    </w:p>
    <w:p>
      <w:pPr>
        <w:ind w:left="1710" w:right="340" w:hanging="639"/>
        <w:spacing w:after="0" w:line="270" w:lineRule="auto"/>
        <w:tabs>
          <w:tab w:leader="none" w:pos="1710" w:val="left"/>
        </w:tabs>
        <w:numPr>
          <w:ilvl w:val="2"/>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instructions received by it from the Majority Lenders, any Lender or any group of Lenders are duly given in accordance with the terms of the Finance Documents; and</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it has received notice of revocation, those instructions have not been revoked;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a certificate from any person:</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matter of fact or circumstance which might reasonably be expected to be within the knowledge of that person;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that such person approves of any particular dealing, transaction, step, action or thing,</w:t>
      </w:r>
    </w:p>
    <w:p>
      <w:pPr>
        <w:spacing w:after="0" w:line="110"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7"/>
          <w:szCs w:val="17"/>
          <w:color w:val="auto"/>
        </w:rPr>
        <w:t>as sufficient evidence that that is the case and, in the case of paragraph (A) above, may assume the truth and accuracy of that certificate.</w:t>
      </w:r>
    </w:p>
    <w:p>
      <w:pPr>
        <w:spacing w:after="0" w:line="135" w:lineRule="exact"/>
        <w:rPr>
          <w:sz w:val="20"/>
          <w:szCs w:val="20"/>
          <w:color w:val="auto"/>
        </w:rPr>
      </w:pPr>
    </w:p>
    <w:p>
      <w:pPr>
        <w:ind w:left="430" w:hanging="430"/>
        <w:spacing w:after="0"/>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assume (unless it has received notice to the contrary in its capacity as agent for the Finance Parties) that: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(unless it has actual knowledge of a Default arising under Clause 22.1 (Non-payment)); and</w:t>
      </w:r>
    </w:p>
    <w:p>
      <w:pPr>
        <w:spacing w:after="0" w:line="123" w:lineRule="exact"/>
        <w:rPr>
          <w:rFonts w:ascii="Times New Roman" w:cs="Times New Roman" w:eastAsia="Times New Roman" w:hAnsi="Times New Roman"/>
          <w:sz w:val="18"/>
          <w:szCs w:val="18"/>
          <w:color w:val="auto"/>
        </w:rPr>
      </w:pPr>
    </w:p>
    <w:p>
      <w:pPr>
        <w:ind w:left="1050" w:hanging="626"/>
        <w:spacing w:after="0" w:line="270" w:lineRule="auto"/>
        <w:tabs>
          <w:tab w:leader="none" w:pos="1050"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power, authority or discretion vested in any party to any Finance Document, the Majority Lenders or the applicable Lenders has not been exercised.</w:t>
      </w:r>
    </w:p>
    <w:p>
      <w:pPr>
        <w:spacing w:after="0" w:line="76" w:lineRule="exact"/>
        <w:rPr>
          <w:rFonts w:ascii="Times New Roman" w:cs="Times New Roman" w:eastAsia="Times New Roman" w:hAnsi="Times New Roman"/>
          <w:sz w:val="18"/>
          <w:szCs w:val="18"/>
          <w:color w:val="auto"/>
        </w:rPr>
      </w:pPr>
    </w:p>
    <w:p>
      <w:pPr>
        <w:ind w:left="430" w:right="240" w:hanging="430"/>
        <w:spacing w:after="0" w:line="270" w:lineRule="auto"/>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engage, and pay for and rely on the advice or services of any lawyers, accountants, tax advisers, surveyors or other professional advisers or experts.</w:t>
      </w:r>
    </w:p>
    <w:p>
      <w:pPr>
        <w:spacing w:after="0" w:line="76" w:lineRule="exact"/>
        <w:rPr>
          <w:rFonts w:ascii="Times New Roman" w:cs="Times New Roman" w:eastAsia="Times New Roman" w:hAnsi="Times New Roman"/>
          <w:sz w:val="18"/>
          <w:szCs w:val="18"/>
          <w:color w:val="auto"/>
        </w:rPr>
      </w:pPr>
    </w:p>
    <w:p>
      <w:pPr>
        <w:ind w:left="430" w:right="80" w:hanging="430"/>
        <w:spacing w:after="0" w:line="258" w:lineRule="auto"/>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85" w:lineRule="exact"/>
        <w:rPr>
          <w:rFonts w:ascii="Times New Roman" w:cs="Times New Roman" w:eastAsia="Times New Roman" w:hAnsi="Times New Roman"/>
          <w:sz w:val="18"/>
          <w:szCs w:val="18"/>
          <w:color w:val="auto"/>
        </w:rPr>
      </w:pPr>
    </w:p>
    <w:p>
      <w:pPr>
        <w:ind w:left="430" w:right="320" w:hanging="430"/>
        <w:spacing w:after="0" w:line="258" w:lineRule="auto"/>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act in relation to the Finance Documents through its officers, employees and agents.</w:t>
      </w:r>
    </w:p>
    <w:p>
      <w:pPr>
        <w:spacing w:after="0" w:line="123" w:lineRule="exact"/>
        <w:rPr>
          <w:rFonts w:ascii="Times New Roman" w:cs="Times New Roman" w:eastAsia="Times New Roman" w:hAnsi="Times New Roman"/>
          <w:sz w:val="18"/>
          <w:szCs w:val="18"/>
          <w:color w:val="auto"/>
        </w:rPr>
      </w:pPr>
    </w:p>
    <w:p>
      <w:pPr>
        <w:ind w:left="430" w:right="140" w:hanging="430"/>
        <w:spacing w:after="0" w:line="270" w:lineRule="auto"/>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Finance Document expressly provides otherwise the Agent may disclose to any other Party any information it reasonably believes it has received as agent under any Finance Document.</w:t>
      </w:r>
    </w:p>
    <w:p>
      <w:pPr>
        <w:spacing w:after="0" w:line="76" w:lineRule="exact"/>
        <w:rPr>
          <w:rFonts w:ascii="Times New Roman" w:cs="Times New Roman" w:eastAsia="Times New Roman" w:hAnsi="Times New Roman"/>
          <w:sz w:val="18"/>
          <w:szCs w:val="18"/>
          <w:color w:val="auto"/>
        </w:rPr>
      </w:pPr>
    </w:p>
    <w:p>
      <w:pPr>
        <w:ind w:left="430" w:right="20" w:hanging="430"/>
        <w:spacing w:after="0" w:line="300" w:lineRule="auto"/>
        <w:tabs>
          <w:tab w:leader="none" w:pos="430" w:val="left"/>
        </w:tabs>
        <w:numPr>
          <w:ilvl w:val="0"/>
          <w:numId w:val="8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any Finance Document to the contrary, no Administrative Party is obliged to do or omit to do anything if it would or might in its reasonable opinion constitute a breach of any law or regulation or a breach of a fiduciary duty or duty of confidentiality.</w:t>
      </w:r>
    </w:p>
    <w:p>
      <w:pPr>
        <w:spacing w:after="0" w:line="53" w:lineRule="exact"/>
        <w:rPr>
          <w:rFonts w:ascii="Times New Roman" w:cs="Times New Roman" w:eastAsia="Times New Roman" w:hAnsi="Times New Roman"/>
          <w:sz w:val="17"/>
          <w:szCs w:val="17"/>
          <w:color w:val="auto"/>
        </w:rPr>
      </w:pPr>
    </w:p>
    <w:p>
      <w:pPr>
        <w:ind w:left="430" w:right="320" w:hanging="430"/>
        <w:spacing w:after="0" w:line="253" w:lineRule="auto"/>
        <w:tabs>
          <w:tab w:leader="none" w:pos="43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92" w:lineRule="exact"/>
        <w:rPr>
          <w:rFonts w:ascii="Times New Roman" w:cs="Times New Roman" w:eastAsia="Times New Roman" w:hAnsi="Times New Roman"/>
          <w:sz w:val="18"/>
          <w:szCs w:val="18"/>
          <w:color w:val="auto"/>
        </w:rPr>
      </w:pPr>
    </w:p>
    <w:p>
      <w:pPr>
        <w:ind w:left="430" w:hanging="430"/>
        <w:spacing w:after="0" w:line="280" w:lineRule="auto"/>
        <w:tabs>
          <w:tab w:leader="none" w:pos="430" w:val="left"/>
        </w:tabs>
        <w:numPr>
          <w:ilvl w:val="0"/>
          <w:numId w:val="8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generality of paragraph (g) above, the Agent may disclose the identity of a Defaulting Lender (to the extent that the Agent is aware) to the other Finance Parties and the Obligors and shall, as soon as reasonably practicable, disclose the same upon the written request of the Obligors or the Majority Lenders. Each Lender hereby consents to any and all such disclosures by the Agent pursuant to this paragraph (j).</w:t>
      </w:r>
    </w:p>
    <w:p>
      <w:pPr>
        <w:spacing w:after="0" w:line="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790"/>
          </w:cols>
          <w:pgMar w:left="550" w:top="264" w:right="559" w:bottom="1440" w:gutter="0" w:footer="0" w:header="0"/>
        </w:sectPr>
      </w:pPr>
    </w:p>
    <w:bookmarkStart w:id="628" w:name="page629"/>
    <w:bookmarkEnd w:id="628"/>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26.7 Majority Lenders’ instructions</w:t>
      </w:r>
    </w:p>
    <w:p>
      <w:pPr>
        <w:spacing w:after="0" w:line="126" w:lineRule="exact"/>
        <w:rPr>
          <w:sz w:val="20"/>
          <w:szCs w:val="20"/>
          <w:color w:val="auto"/>
        </w:rPr>
      </w:pPr>
    </w:p>
    <w:p>
      <w:pPr>
        <w:ind w:left="430" w:hanging="430"/>
        <w:spacing w:after="0"/>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contrary indication appears in a Finance Document, the Agent shall:</w:t>
      </w:r>
    </w:p>
    <w:p>
      <w:pPr>
        <w:spacing w:after="0" w:line="123" w:lineRule="exact"/>
        <w:rPr>
          <w:rFonts w:ascii="Times New Roman" w:cs="Times New Roman" w:eastAsia="Times New Roman" w:hAnsi="Times New Roman"/>
          <w:sz w:val="18"/>
          <w:szCs w:val="18"/>
          <w:color w:val="auto"/>
        </w:rPr>
      </w:pPr>
    </w:p>
    <w:p>
      <w:pPr>
        <w:ind w:left="1050" w:right="420" w:hanging="626"/>
        <w:spacing w:after="0" w:line="270" w:lineRule="auto"/>
        <w:tabs>
          <w:tab w:leader="none" w:pos="1050"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refrain from exercising any right, power, authority or discretion vested in it as Agent in accordance with any instructions given to it by:</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Lenders if the relevant Finance Document stipulates the matter is an all Lender decision; and</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Majority Lenders; and</w:t>
      </w:r>
    </w:p>
    <w:p>
      <w:pPr>
        <w:spacing w:after="0" w:line="123" w:lineRule="exact"/>
        <w:rPr>
          <w:rFonts w:ascii="Times New Roman" w:cs="Times New Roman" w:eastAsia="Times New Roman" w:hAnsi="Times New Roman"/>
          <w:sz w:val="18"/>
          <w:szCs w:val="18"/>
          <w:color w:val="auto"/>
        </w:rPr>
      </w:pPr>
    </w:p>
    <w:p>
      <w:pPr>
        <w:jc w:val="both"/>
        <w:ind w:left="1050" w:right="360" w:hanging="626"/>
        <w:spacing w:after="0" w:line="258" w:lineRule="auto"/>
        <w:tabs>
          <w:tab w:leader="none" w:pos="1050"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liable for any act (or omission) if it acts (or refrains from taking any action) in accordance with paragraph (i) above (or, if this Agreement stipulates the matter is a decision for any other Finance Party or group of Finance Parties, in accordance with instructions given to it by that Finance Party or group of Finance Parties).</w:t>
      </w:r>
    </w:p>
    <w:p>
      <w:pPr>
        <w:spacing w:after="0" w:line="85" w:lineRule="exact"/>
        <w:rPr>
          <w:rFonts w:ascii="Times New Roman" w:cs="Times New Roman" w:eastAsia="Times New Roman" w:hAnsi="Times New Roman"/>
          <w:sz w:val="18"/>
          <w:szCs w:val="18"/>
          <w:color w:val="auto"/>
        </w:rPr>
      </w:pPr>
    </w:p>
    <w:p>
      <w:pPr>
        <w:ind w:left="430" w:right="120" w:hanging="430"/>
        <w:spacing w:after="0" w:line="253"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Agent may refrain from acting unless and until it receives those instructions or that clarification.</w:t>
      </w:r>
    </w:p>
    <w:p>
      <w:pPr>
        <w:spacing w:after="0" w:line="92" w:lineRule="exact"/>
        <w:rPr>
          <w:rFonts w:ascii="Times New Roman" w:cs="Times New Roman" w:eastAsia="Times New Roman" w:hAnsi="Times New Roman"/>
          <w:sz w:val="18"/>
          <w:szCs w:val="18"/>
          <w:color w:val="auto"/>
        </w:rPr>
      </w:pPr>
    </w:p>
    <w:p>
      <w:pPr>
        <w:ind w:left="430" w:right="400" w:hanging="430"/>
        <w:spacing w:after="0" w:line="258"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in the case of decisions stipulated to be a matter for any other Finance Party or group of Finance Parties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85" w:lineRule="exact"/>
        <w:rPr>
          <w:rFonts w:ascii="Times New Roman" w:cs="Times New Roman" w:eastAsia="Times New Roman" w:hAnsi="Times New Roman"/>
          <w:sz w:val="18"/>
          <w:szCs w:val="18"/>
          <w:color w:val="auto"/>
        </w:rPr>
      </w:pPr>
    </w:p>
    <w:p>
      <w:pPr>
        <w:ind w:left="430" w:right="40" w:hanging="430"/>
        <w:spacing w:after="0" w:line="258"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refrain from acting in accordance with the instructions of the Majority Lenders (or, if appropriate, the applicable Lenders) until it has received such security as it may require for any cost, loss or liability (together with any associated VAT) which it may incur in complying with such instructions.</w:t>
      </w:r>
    </w:p>
    <w:p>
      <w:pPr>
        <w:spacing w:after="0" w:line="85" w:lineRule="exact"/>
        <w:rPr>
          <w:rFonts w:ascii="Times New Roman" w:cs="Times New Roman" w:eastAsia="Times New Roman" w:hAnsi="Times New Roman"/>
          <w:sz w:val="18"/>
          <w:szCs w:val="18"/>
          <w:color w:val="auto"/>
        </w:rPr>
      </w:pPr>
    </w:p>
    <w:p>
      <w:pPr>
        <w:jc w:val="both"/>
        <w:ind w:left="430" w:right="340" w:hanging="430"/>
        <w:spacing w:after="0" w:line="258"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absence of instructions from the Majority Lenders, (or, if appropriate, the applicable Lenders) the Agent may act (or refrain from taking action) as it considers in its discretion to be appropriate (acting reasonably),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(for the avoidance of doubt) the Agent shall not be under any duty to take any action in the absence of such instructions.</w:t>
      </w:r>
    </w:p>
    <w:p>
      <w:pPr>
        <w:spacing w:after="0" w:line="85" w:lineRule="exact"/>
        <w:rPr>
          <w:rFonts w:ascii="Times New Roman" w:cs="Times New Roman" w:eastAsia="Times New Roman" w:hAnsi="Times New Roman"/>
          <w:sz w:val="18"/>
          <w:szCs w:val="18"/>
          <w:color w:val="auto"/>
        </w:rPr>
      </w:pPr>
    </w:p>
    <w:p>
      <w:pPr>
        <w:ind w:left="430" w:hanging="430"/>
        <w:spacing w:after="0" w:line="258"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provisions of this Clause 26.7 (Majority Lenders’ instructions), the Agent may (but shall not be obliged to), in the absence of instructions to the contrary, take such action in the exercise of any of its powers and duties under the Finance Documents as it considers in its discretion to be appropriate (acting reasonably).</w:t>
      </w:r>
    </w:p>
    <w:p>
      <w:pPr>
        <w:spacing w:after="0" w:line="85" w:lineRule="exact"/>
        <w:rPr>
          <w:rFonts w:ascii="Times New Roman" w:cs="Times New Roman" w:eastAsia="Times New Roman" w:hAnsi="Times New Roman"/>
          <w:sz w:val="18"/>
          <w:szCs w:val="18"/>
          <w:color w:val="auto"/>
        </w:rPr>
      </w:pPr>
    </w:p>
    <w:p>
      <w:pPr>
        <w:ind w:left="430" w:right="140" w:hanging="430"/>
        <w:spacing w:after="0" w:line="258" w:lineRule="auto"/>
        <w:tabs>
          <w:tab w:leader="none" w:pos="43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is not authorised to act on behalf of and in the name of a Finance Party (without first obtaining that Finance Party’s prior written consent) in any legal or arbitration proceedings relating to any Finance Document,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nothing herein shall prejudice the ability of the Agent to bring, defend or conduct any proceedings in its capacity as Agent (in the name of the Agent).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26.8 Responsibility for documentation</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No Administrative Party:</w:t>
      </w:r>
    </w:p>
    <w:p>
      <w:pPr>
        <w:spacing w:after="0" w:line="124" w:lineRule="exact"/>
        <w:rPr>
          <w:sz w:val="20"/>
          <w:szCs w:val="20"/>
          <w:color w:val="auto"/>
        </w:rPr>
      </w:pPr>
    </w:p>
    <w:p>
      <w:pPr>
        <w:ind w:left="1050" w:right="740" w:hanging="626"/>
        <w:spacing w:after="0" w:line="258" w:lineRule="auto"/>
        <w:tabs>
          <w:tab w:leader="none" w:pos="105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the adequacy, accuracy and/or completeness of any information (whether oral or written) supplied by any Administrative Party, any Obligor or any other person given in or in connection with any Finance Document or the transactions contemplated under any Finance Document;</w:t>
      </w:r>
    </w:p>
    <w:p>
      <w:pPr>
        <w:spacing w:after="0" w:line="85" w:lineRule="exact"/>
        <w:rPr>
          <w:rFonts w:ascii="Times New Roman" w:cs="Times New Roman" w:eastAsia="Times New Roman" w:hAnsi="Times New Roman"/>
          <w:sz w:val="18"/>
          <w:szCs w:val="18"/>
          <w:color w:val="auto"/>
        </w:rPr>
      </w:pPr>
    </w:p>
    <w:p>
      <w:pPr>
        <w:ind w:left="1050" w:right="520" w:hanging="626"/>
        <w:spacing w:after="0" w:line="300" w:lineRule="auto"/>
        <w:tabs>
          <w:tab w:leader="none" w:pos="1050" w:val="left"/>
        </w:tabs>
        <w:numPr>
          <w:ilvl w:val="0"/>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the legality, validity, effectiveness, adequacy or enforceability of any Finance Document or any other agreement, arrangement or document entered into, made or executed in anticipation of or in connection with any Finance Document; or</w:t>
      </w:r>
    </w:p>
    <w:p>
      <w:pPr>
        <w:spacing w:after="0" w:line="53" w:lineRule="exact"/>
        <w:rPr>
          <w:rFonts w:ascii="Times New Roman" w:cs="Times New Roman" w:eastAsia="Times New Roman" w:hAnsi="Times New Roman"/>
          <w:sz w:val="17"/>
          <w:szCs w:val="17"/>
          <w:color w:val="auto"/>
        </w:rPr>
      </w:pPr>
    </w:p>
    <w:p>
      <w:pPr>
        <w:ind w:left="1050" w:right="440" w:hanging="626"/>
        <w:spacing w:after="0" w:line="300" w:lineRule="auto"/>
        <w:tabs>
          <w:tab w:leader="none" w:pos="1050" w:val="left"/>
        </w:tabs>
        <w:numPr>
          <w:ilvl w:val="0"/>
          <w:numId w:val="8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26.9 No duty to monitor</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The Agent shall not be bound to enquire:</w:t>
      </w:r>
    </w:p>
    <w:p>
      <w:pPr>
        <w:spacing w:after="0" w:line="124" w:lineRule="exact"/>
        <w:rPr>
          <w:sz w:val="20"/>
          <w:szCs w:val="20"/>
          <w:color w:val="auto"/>
        </w:rPr>
      </w:pPr>
    </w:p>
    <w:p>
      <w:pPr>
        <w:ind w:left="1050" w:hanging="626"/>
        <w:spacing w:after="0"/>
        <w:tabs>
          <w:tab w:leader="none" w:pos="1050"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any Default has occurred;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performance, default or any breach by any Party of its obligations under any Finance Document;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other event specified in any Finance Document has occurred.</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790"/>
          </w:cols>
          <w:pgMar w:left="550" w:top="265" w:right="559" w:bottom="1440" w:gutter="0" w:footer="0" w:header="0"/>
        </w:sectPr>
      </w:pPr>
    </w:p>
    <w:bookmarkStart w:id="629" w:name="page630"/>
    <w:bookmarkEnd w:id="629"/>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26.10 Exclusion of liability</w:t>
      </w:r>
    </w:p>
    <w:p>
      <w:pPr>
        <w:spacing w:after="0" w:line="126" w:lineRule="exact"/>
        <w:rPr>
          <w:sz w:val="20"/>
          <w:szCs w:val="20"/>
          <w:color w:val="auto"/>
        </w:rPr>
      </w:pPr>
    </w:p>
    <w:p>
      <w:pPr>
        <w:ind w:left="430" w:right="20" w:hanging="430"/>
        <w:spacing w:after="0" w:line="300" w:lineRule="auto"/>
        <w:tabs>
          <w:tab w:leader="none" w:pos="430" w:val="left"/>
        </w:tabs>
        <w:numPr>
          <w:ilvl w:val="0"/>
          <w:numId w:val="8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paragraph (b) below (and without prejudice to any other provision of any Finance Document excluding or limiting the liability of the Agent), the Agent will not be liable (including, without limitation, for negligence or any other category of liability whatsoever) for:</w:t>
      </w:r>
    </w:p>
    <w:p>
      <w:pPr>
        <w:spacing w:after="0" w:line="53" w:lineRule="exact"/>
        <w:rPr>
          <w:rFonts w:ascii="Times New Roman" w:cs="Times New Roman" w:eastAsia="Times New Roman" w:hAnsi="Times New Roman"/>
          <w:sz w:val="17"/>
          <w:szCs w:val="17"/>
          <w:color w:val="auto"/>
        </w:rPr>
      </w:pPr>
    </w:p>
    <w:p>
      <w:pPr>
        <w:ind w:left="1050" w:right="80" w:hanging="626"/>
        <w:spacing w:after="0" w:line="300" w:lineRule="auto"/>
        <w:tabs>
          <w:tab w:leader="none" w:pos="1050" w:val="left"/>
        </w:tabs>
        <w:numPr>
          <w:ilvl w:val="1"/>
          <w:numId w:val="8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53" w:lineRule="exact"/>
        <w:rPr>
          <w:rFonts w:ascii="Times New Roman" w:cs="Times New Roman" w:eastAsia="Times New Roman" w:hAnsi="Times New Roman"/>
          <w:sz w:val="17"/>
          <w:szCs w:val="17"/>
          <w:color w:val="auto"/>
        </w:rPr>
      </w:pPr>
    </w:p>
    <w:p>
      <w:pPr>
        <w:ind w:left="1050" w:right="60" w:hanging="626"/>
        <w:spacing w:after="0" w:line="258" w:lineRule="auto"/>
        <w:tabs>
          <w:tab w:leader="none" w:pos="1050"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85" w:lineRule="exact"/>
        <w:rPr>
          <w:rFonts w:ascii="Times New Roman" w:cs="Times New Roman" w:eastAsia="Times New Roman" w:hAnsi="Times New Roman"/>
          <w:sz w:val="18"/>
          <w:szCs w:val="18"/>
          <w:color w:val="auto"/>
        </w:rPr>
      </w:pPr>
    </w:p>
    <w:p>
      <w:pPr>
        <w:ind w:left="1050" w:hanging="626"/>
        <w:spacing w:after="0" w:line="258" w:lineRule="auto"/>
        <w:tabs>
          <w:tab w:leader="none" w:pos="1050"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paragraphs (i) and (ii) above, any damages, costs or losses to any person, any diminution in value or any liability whatsoever (including for negligence or any other category of liability whatsoever but not including any claim based on the fraud of the Agent) arising as a result of:</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event or circumstance not reasonably within its control; or</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risks of investment in, or the holding of assets in, any jurisdiction,</w:t>
      </w:r>
    </w:p>
    <w:p>
      <w:pPr>
        <w:spacing w:after="0" w:line="110" w:lineRule="exact"/>
        <w:rPr>
          <w:sz w:val="20"/>
          <w:szCs w:val="20"/>
          <w:color w:val="auto"/>
        </w:rPr>
      </w:pPr>
    </w:p>
    <w:p>
      <w:pPr>
        <w:ind w:left="430" w:right="180"/>
        <w:spacing w:after="0" w:line="251" w:lineRule="auto"/>
        <w:rPr>
          <w:sz w:val="20"/>
          <w:szCs w:val="20"/>
          <w:color w:val="auto"/>
        </w:rPr>
      </w:pPr>
      <w:r>
        <w:rPr>
          <w:rFonts w:ascii="Times New Roman" w:cs="Times New Roman" w:eastAsia="Times New Roman" w:hAnsi="Times New Roman"/>
          <w:sz w:val="18"/>
          <w:szCs w:val="18"/>
          <w:color w:val="auto"/>
        </w:rPr>
        <w:t>including (in each case)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94" w:lineRule="exact"/>
        <w:rPr>
          <w:sz w:val="20"/>
          <w:szCs w:val="20"/>
          <w:color w:val="auto"/>
        </w:rPr>
      </w:pPr>
    </w:p>
    <w:p>
      <w:pPr>
        <w:ind w:left="430" w:right="120" w:hanging="430"/>
        <w:spacing w:after="0" w:line="253" w:lineRule="auto"/>
        <w:tabs>
          <w:tab w:leader="none" w:pos="430"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Clause 26.10 subject to Clause 1.4 (Third party rights) and the provisions of the Third Parties Act.</w:t>
      </w:r>
    </w:p>
    <w:p>
      <w:pPr>
        <w:spacing w:after="0" w:line="92" w:lineRule="exact"/>
        <w:rPr>
          <w:rFonts w:ascii="Times New Roman" w:cs="Times New Roman" w:eastAsia="Times New Roman" w:hAnsi="Times New Roman"/>
          <w:sz w:val="18"/>
          <w:szCs w:val="18"/>
          <w:color w:val="auto"/>
        </w:rPr>
      </w:pPr>
    </w:p>
    <w:p>
      <w:pPr>
        <w:ind w:left="430" w:right="140" w:hanging="430"/>
        <w:spacing w:after="0" w:line="258" w:lineRule="auto"/>
        <w:tabs>
          <w:tab w:leader="none" w:pos="430"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any Finance Document shall oblige any Administrative Party to conduct: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“know your customer”, anti-money laundering or other procedures in relation to any person; or</w:t>
      </w:r>
    </w:p>
    <w:p>
      <w:pPr>
        <w:spacing w:after="0" w:line="123" w:lineRule="exact"/>
        <w:rPr>
          <w:rFonts w:ascii="Times New Roman" w:cs="Times New Roman" w:eastAsia="Times New Roman" w:hAnsi="Times New Roman"/>
          <w:sz w:val="18"/>
          <w:szCs w:val="18"/>
          <w:color w:val="auto"/>
        </w:rPr>
      </w:pPr>
    </w:p>
    <w:p>
      <w:pPr>
        <w:ind w:left="1050" w:right="20" w:hanging="626"/>
        <w:spacing w:after="0" w:line="280" w:lineRule="auto"/>
        <w:tabs>
          <w:tab w:leader="none" w:pos="1050" w:val="left"/>
        </w:tabs>
        <w:numPr>
          <w:ilvl w:val="1"/>
          <w:numId w:val="8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check on the extent to which any transaction contemplated by any Finance Document might be unlawful for any Lender, on behalf of any Lender and each Lender confirms to each Administrative Party that it is solely responsible for any such procedures or check it is required to conduct and that it shall not rely on any statement in relation to such procedures or check made by any Administrative Party.</w:t>
      </w:r>
    </w:p>
    <w:p>
      <w:pPr>
        <w:spacing w:after="0" w:line="69" w:lineRule="exact"/>
        <w:rPr>
          <w:rFonts w:ascii="Times New Roman" w:cs="Times New Roman" w:eastAsia="Times New Roman" w:hAnsi="Times New Roman"/>
          <w:sz w:val="17"/>
          <w:szCs w:val="17"/>
          <w:color w:val="auto"/>
        </w:rPr>
      </w:pPr>
    </w:p>
    <w:p>
      <w:pPr>
        <w:ind w:left="430" w:right="40" w:hanging="430"/>
        <w:spacing w:after="0" w:line="250" w:lineRule="auto"/>
        <w:tabs>
          <w:tab w:leader="none" w:pos="430"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such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26.11 Lenders’ indemnity to the Agent</w:t>
      </w:r>
    </w:p>
    <w:p>
      <w:pPr>
        <w:spacing w:after="0" w:line="126" w:lineRule="exact"/>
        <w:rPr>
          <w:sz w:val="20"/>
          <w:szCs w:val="20"/>
          <w:color w:val="auto"/>
        </w:rPr>
      </w:pPr>
    </w:p>
    <w:p>
      <w:pPr>
        <w:ind w:left="430" w:right="40" w:hanging="430"/>
        <w:spacing w:after="0" w:line="249" w:lineRule="auto"/>
        <w:tabs>
          <w:tab w:leader="none" w:pos="430"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(in the proportion determined in accordance with paragraph (b) below) indemnify the Agent, within three (3) Business Days of demand, against any cost, loss or liability (including, without limitation, for negligence, in relation to any FATCA-related liability or any other category of liability whatsoever) incurred by the Agent (otherwise than by reason of the Agent’s gross negligence or wilful misconduct) (or, in the case of any cost, loss or liability pursuant to Clause 28.11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 in respect of the same cost, loss or liability).</w:t>
      </w:r>
    </w:p>
    <w:p>
      <w:pPr>
        <w:spacing w:after="0" w:line="12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70"/>
          </w:cols>
          <w:pgMar w:left="550" w:top="264" w:right="579" w:bottom="1440" w:gutter="0" w:footer="0" w:header="0"/>
        </w:sectPr>
      </w:pPr>
    </w:p>
    <w:bookmarkStart w:id="630" w:name="page631"/>
    <w:bookmarkEnd w:id="630"/>
    <w:p>
      <w:pPr>
        <w:ind w:left="430" w:right="20" w:hanging="430"/>
        <w:spacing w:after="0" w:line="253" w:lineRule="auto"/>
        <w:tabs>
          <w:tab w:leader="none" w:pos="430"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Each Lender’s proportion of such cost, loss or liability shall be equal to the proportion borne by (i) the aggregate of such Lender’s Commitment(s) to (ii) the Total Commitments (or, if the Total Commitments have been reduced to zero, the proportion borne by (A) the aggregate of such Lender’s Commitment(s) immediately before the reduction of the Total Commitments to zero to (B) the Total Commitments immediately before the reduction of the Total Commitments to zero).</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26.12 Resignation of the Agent</w:t>
      </w:r>
    </w:p>
    <w:p>
      <w:pPr>
        <w:spacing w:after="0" w:line="126" w:lineRule="exact"/>
        <w:rPr>
          <w:sz w:val="20"/>
          <w:szCs w:val="20"/>
          <w:color w:val="auto"/>
        </w:rPr>
      </w:pPr>
    </w:p>
    <w:p>
      <w:pPr>
        <w:ind w:left="430" w:hanging="430"/>
        <w:spacing w:after="0"/>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and appoint one of its Affiliates as successor by giving notice to the Lenders and the Borrower(s).</w:t>
      </w:r>
    </w:p>
    <w:p>
      <w:pPr>
        <w:spacing w:after="0" w:line="123"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the Agent may resign by giving thirty (30) days’ notice to the Lenders and the Borrower(s), in which case the Majority Lenders (after consultation with the Borrower(s)) may appoint a successor Agent.</w:t>
      </w:r>
    </w:p>
    <w:p>
      <w:pPr>
        <w:spacing w:after="0" w:line="76" w:lineRule="exact"/>
        <w:rPr>
          <w:rFonts w:ascii="Times New Roman" w:cs="Times New Roman" w:eastAsia="Times New Roman" w:hAnsi="Times New Roman"/>
          <w:sz w:val="18"/>
          <w:szCs w:val="18"/>
          <w:color w:val="auto"/>
        </w:rPr>
      </w:pPr>
    </w:p>
    <w:p>
      <w:pPr>
        <w:ind w:left="430" w:right="140" w:hanging="430"/>
        <w:spacing w:after="0" w:line="270"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Majority Lenders have not appointed a successor Agent in accordance with paragraph (b) above within thirty (30) days after the applicable notice of resignation was given, the retiring Agent (after consultation with the Borrower(s)) may appoint a successor Agent.</w:t>
      </w:r>
    </w:p>
    <w:p>
      <w:pPr>
        <w:spacing w:after="0" w:line="76" w:lineRule="exact"/>
        <w:rPr>
          <w:rFonts w:ascii="Times New Roman" w:cs="Times New Roman" w:eastAsia="Times New Roman" w:hAnsi="Times New Roman"/>
          <w:sz w:val="18"/>
          <w:szCs w:val="18"/>
          <w:color w:val="auto"/>
        </w:rPr>
      </w:pPr>
    </w:p>
    <w:p>
      <w:pPr>
        <w:ind w:left="430" w:right="40" w:hanging="430"/>
        <w:spacing w:after="0" w:line="248"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wishes to resign because (acting reasonably) it has concluded that it is no longer appropriate for it to remain as agent and the Agent is entitled to appoint a successor Agent under paragraph (b) above, the Agent may (if it concludes (acting reasonably) that it is necessary to do so in order to persuade the proposed successor Agent to become a party to this Agreement as Agent) agree with the proposed successor Agent amendments to this Clause 26 (Role of the Administrative Parties) and any other term of this Agreement dealing with the rights or obligations of the Agent consistent with then current market practice for the appointment and protection of corporate trustees (provided that such amendments are not materially adverse to the interest of any Obligor or any Group Member) together with the introduction of, or any reasonable amendments to, the agency fee payable under this Agreement which are consistent with the successor Agent’s normal fee rates as agreed by the Borrower(s) and those amendments will bind the Parties.</w:t>
      </w:r>
    </w:p>
    <w:p>
      <w:pPr>
        <w:spacing w:after="0" w:line="99" w:lineRule="exact"/>
        <w:rPr>
          <w:rFonts w:ascii="Times New Roman" w:cs="Times New Roman" w:eastAsia="Times New Roman" w:hAnsi="Times New Roman"/>
          <w:sz w:val="18"/>
          <w:szCs w:val="18"/>
          <w:color w:val="auto"/>
        </w:rPr>
      </w:pPr>
    </w:p>
    <w:p>
      <w:pPr>
        <w:ind w:left="430" w:right="240" w:hanging="430"/>
        <w:spacing w:after="0" w:line="270"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resignation notice shall only take effect upon the appointment of a successor to the Agent.</w:t>
      </w:r>
    </w:p>
    <w:p>
      <w:pPr>
        <w:spacing w:after="0" w:line="123" w:lineRule="exact"/>
        <w:rPr>
          <w:rFonts w:ascii="Times New Roman" w:cs="Times New Roman" w:eastAsia="Times New Roman" w:hAnsi="Times New Roman"/>
          <w:sz w:val="18"/>
          <w:szCs w:val="18"/>
          <w:color w:val="auto"/>
        </w:rPr>
      </w:pPr>
    </w:p>
    <w:p>
      <w:pPr>
        <w:ind w:left="430" w:right="140" w:hanging="430"/>
        <w:spacing w:after="0" w:line="253"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of a successor Agent, the retiring Agent shall be discharged from any further obligation in respect of the Finance Documents (other than its obligations under paragraph (d) above) but shall remain entitled to the benefit of Clause 15.3 (Indemnity to the Agent) and this Clause 26 (and any agency fees for the account of such retiring Agent shall cease to accrue from such date and shall instead accrue in favour of such successor Agent).</w:t>
      </w:r>
    </w:p>
    <w:p>
      <w:pPr>
        <w:spacing w:after="0" w:line="92" w:lineRule="exact"/>
        <w:rPr>
          <w:rFonts w:ascii="Times New Roman" w:cs="Times New Roman" w:eastAsia="Times New Roman" w:hAnsi="Times New Roman"/>
          <w:sz w:val="18"/>
          <w:szCs w:val="18"/>
          <w:color w:val="auto"/>
        </w:rPr>
      </w:pPr>
    </w:p>
    <w:p>
      <w:pPr>
        <w:ind w:left="430" w:hanging="430"/>
        <w:spacing w:after="0" w:line="270" w:lineRule="auto"/>
        <w:tabs>
          <w:tab w:leader="none" w:pos="430" w:val="left"/>
        </w:tabs>
        <w:numPr>
          <w:ilvl w:val="0"/>
          <w:numId w:val="8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consultation with the Borrower(s), the Majority Lenders may, by giving not less than thirty (30) days’ notice to the Agent (or, at any time the Agent is an Impaired Agent, by giving any shorter notice determined by the Majority Lenders), require it to resign in accordance with paragraph</w:t>
      </w:r>
    </w:p>
    <w:p>
      <w:pPr>
        <w:ind w:left="430" w:hanging="6"/>
        <w:spacing w:after="0" w:line="250" w:lineRule="auto"/>
        <w:tabs>
          <w:tab w:leader="none" w:pos="679"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this event, the Agent shall resign in accordance with paragraph (b) above but the cost of complying with paragraph (d) above shall be for the account of the Borrower(s).</w:t>
      </w:r>
    </w:p>
    <w:p>
      <w:pPr>
        <w:spacing w:after="0" w:line="93" w:lineRule="exact"/>
        <w:rPr>
          <w:rFonts w:ascii="Times New Roman" w:cs="Times New Roman" w:eastAsia="Times New Roman" w:hAnsi="Times New Roman"/>
          <w:sz w:val="18"/>
          <w:szCs w:val="18"/>
          <w:color w:val="auto"/>
        </w:rPr>
      </w:pPr>
    </w:p>
    <w:p>
      <w:pPr>
        <w:ind w:left="430" w:right="100" w:hanging="430"/>
        <w:spacing w:after="0" w:line="270"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Agent and each of the other Parties shall have the same rights and obligations among themselves as they would have had had such successor Agent been originally party hereto as the Agent.</w:t>
      </w:r>
    </w:p>
    <w:p>
      <w:pPr>
        <w:spacing w:after="0" w:line="76" w:lineRule="exact"/>
        <w:rPr>
          <w:rFonts w:ascii="Times New Roman" w:cs="Times New Roman" w:eastAsia="Times New Roman" w:hAnsi="Times New Roman"/>
          <w:sz w:val="18"/>
          <w:szCs w:val="18"/>
          <w:color w:val="auto"/>
        </w:rPr>
      </w:pPr>
    </w:p>
    <w:p>
      <w:pPr>
        <w:ind w:left="430" w:right="440" w:hanging="430"/>
        <w:spacing w:after="0" w:line="270"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15 (Other Indemnities) and 16 (Costs and Expenses) shall survive and remain in full force and effect in favour of any Agent that has resigned or been replaced.</w:t>
      </w:r>
    </w:p>
    <w:p>
      <w:pPr>
        <w:spacing w:after="0" w:line="76" w:lineRule="exact"/>
        <w:rPr>
          <w:rFonts w:ascii="Times New Roman" w:cs="Times New Roman" w:eastAsia="Times New Roman" w:hAnsi="Times New Roman"/>
          <w:sz w:val="18"/>
          <w:szCs w:val="18"/>
          <w:color w:val="auto"/>
        </w:rPr>
      </w:pPr>
    </w:p>
    <w:p>
      <w:pPr>
        <w:ind w:left="430" w:right="340" w:hanging="430"/>
        <w:spacing w:after="0" w:line="258" w:lineRule="auto"/>
        <w:tabs>
          <w:tab w:leader="none" w:pos="430"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resign in accordance with paragraph (b) above (and, to the extent applicable, shall use reasonable endeavours to appoint a successor Agent pursuant to paragraph (c) above) if on or after the date which is three (3) months before the earliest FATCA Application Date relating to any payment to the Agent under the Finance Documents:</w:t>
      </w:r>
    </w:p>
    <w:p>
      <w:pPr>
        <w:spacing w:after="0" w:line="85"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fails to respond to a request under Clause 12.7 (FATCA information) and a Lender reasonably believes that the Agent will not be (or will have ceased to be) a FATCA Exempt Party on or after that FATCA Application Date;</w:t>
      </w:r>
    </w:p>
    <w:p>
      <w:pPr>
        <w:spacing w:after="0" w:line="76" w:lineRule="exact"/>
        <w:rPr>
          <w:sz w:val="20"/>
          <w:szCs w:val="20"/>
          <w:color w:val="auto"/>
        </w:rPr>
      </w:pPr>
    </w:p>
    <w:p>
      <w:pPr>
        <w:ind w:left="1050" w:right="280" w:hanging="626"/>
        <w:spacing w:after="0" w:line="270" w:lineRule="auto"/>
        <w:tabs>
          <w:tab w:leader="none" w:pos="105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supplied by the Agent pursuant to Clause 12.7 (FATCA information) indicates that the Agent will not be (or will have ceased to be) a FATCA Exempt Party on or after that FATCA Application Date; or</w:t>
      </w:r>
    </w:p>
    <w:p>
      <w:pPr>
        <w:spacing w:after="0" w:line="76" w:lineRule="exact"/>
        <w:rPr>
          <w:rFonts w:ascii="Times New Roman" w:cs="Times New Roman" w:eastAsia="Times New Roman" w:hAnsi="Times New Roman"/>
          <w:sz w:val="18"/>
          <w:szCs w:val="18"/>
          <w:color w:val="auto"/>
        </w:rPr>
      </w:pPr>
    </w:p>
    <w:p>
      <w:pPr>
        <w:ind w:left="1050" w:right="240" w:hanging="626"/>
        <w:spacing w:after="0" w:line="270" w:lineRule="auto"/>
        <w:tabs>
          <w:tab w:leader="none" w:pos="1050"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notifies the Borrower(s) and the Lenders that the Agent will not be (or will have ceased to be) a FATCA Exempt Party on or after that FATCA Application Dates,</w:t>
      </w:r>
    </w:p>
    <w:p>
      <w:pPr>
        <w:spacing w:after="0" w:line="63" w:lineRule="exact"/>
        <w:rPr>
          <w:sz w:val="20"/>
          <w:szCs w:val="20"/>
          <w:color w:val="auto"/>
        </w:rPr>
      </w:pPr>
    </w:p>
    <w:p>
      <w:pPr>
        <w:ind w:left="430" w:right="80"/>
        <w:spacing w:after="0" w:line="270" w:lineRule="auto"/>
        <w:rPr>
          <w:sz w:val="20"/>
          <w:szCs w:val="20"/>
          <w:color w:val="auto"/>
        </w:rPr>
      </w:pPr>
      <w:r>
        <w:rPr>
          <w:rFonts w:ascii="Times New Roman" w:cs="Times New Roman" w:eastAsia="Times New Roman" w:hAnsi="Times New Roman"/>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70"/>
          </w:cols>
          <w:pgMar w:left="550" w:top="266" w:right="579" w:bottom="1440" w:gutter="0" w:footer="0" w:header="0"/>
        </w:sectPr>
      </w:pPr>
    </w:p>
    <w:bookmarkStart w:id="631" w:name="page632"/>
    <w:bookmarkEnd w:id="631"/>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26.13 Confidentiality</w:t>
      </w:r>
    </w:p>
    <w:p>
      <w:pPr>
        <w:spacing w:after="0" w:line="126" w:lineRule="exact"/>
        <w:rPr>
          <w:sz w:val="20"/>
          <w:szCs w:val="20"/>
          <w:color w:val="auto"/>
        </w:rPr>
      </w:pPr>
    </w:p>
    <w:p>
      <w:pPr>
        <w:ind w:left="430" w:right="320" w:hanging="430"/>
        <w:spacing w:after="0" w:line="270" w:lineRule="auto"/>
        <w:tabs>
          <w:tab w:leader="none" w:pos="430"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6" w:lineRule="exact"/>
        <w:rPr>
          <w:rFonts w:ascii="Times New Roman" w:cs="Times New Roman" w:eastAsia="Times New Roman" w:hAnsi="Times New Roman"/>
          <w:sz w:val="18"/>
          <w:szCs w:val="18"/>
          <w:color w:val="auto"/>
        </w:rPr>
      </w:pPr>
    </w:p>
    <w:p>
      <w:pPr>
        <w:ind w:left="430" w:right="180" w:hanging="430"/>
        <w:spacing w:after="0" w:line="270" w:lineRule="auto"/>
        <w:tabs>
          <w:tab w:leader="none" w:pos="430"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6" w:lineRule="exact"/>
        <w:rPr>
          <w:rFonts w:ascii="Times New Roman" w:cs="Times New Roman" w:eastAsia="Times New Roman" w:hAnsi="Times New Roman"/>
          <w:sz w:val="18"/>
          <w:szCs w:val="18"/>
          <w:color w:val="auto"/>
        </w:rPr>
      </w:pPr>
    </w:p>
    <w:p>
      <w:pPr>
        <w:jc w:val="both"/>
        <w:ind w:left="430" w:hanging="430"/>
        <w:spacing w:after="0" w:line="258" w:lineRule="auto"/>
        <w:tabs>
          <w:tab w:leader="none" w:pos="430"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 be obliged to disclose to any Finance Party any information supplied to it by the Obligors or any Affiliate of the Obligors on a confidential basis and for the purpose of evaluating whether any waiver or amendment is or may be required or desirable in relation to any Finance Document.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26.14 Relationship with the Lenders</w:t>
      </w:r>
    </w:p>
    <w:p>
      <w:pPr>
        <w:spacing w:after="0" w:line="126" w:lineRule="exact"/>
        <w:rPr>
          <w:sz w:val="20"/>
          <w:szCs w:val="20"/>
          <w:color w:val="auto"/>
        </w:rPr>
      </w:pPr>
    </w:p>
    <w:p>
      <w:pPr>
        <w:jc w:val="both"/>
        <w:ind w:left="430" w:right="60" w:hanging="430"/>
        <w:spacing w:after="0" w:line="258" w:lineRule="auto"/>
        <w:tabs>
          <w:tab w:leader="none" w:pos="43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28.2 (Distributions by the Agent), the Agent may treat each person shown in the records of the Agent as a Lender at the opening of business (in the place of the Agent’s principal office as notified to the Finance Parties from time to time) as a Lender acting through its Facility Office:</w:t>
      </w:r>
    </w:p>
    <w:p>
      <w:pPr>
        <w:spacing w:after="0" w:line="8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or liable for an payment due under any Finance Document on that day as a Lender; and</w:t>
      </w:r>
    </w:p>
    <w:p>
      <w:pPr>
        <w:spacing w:after="0" w:line="123" w:lineRule="exact"/>
        <w:rPr>
          <w:rFonts w:ascii="Times New Roman" w:cs="Times New Roman" w:eastAsia="Times New Roman" w:hAnsi="Times New Roman"/>
          <w:sz w:val="18"/>
          <w:szCs w:val="18"/>
          <w:color w:val="auto"/>
        </w:rPr>
      </w:pPr>
    </w:p>
    <w:p>
      <w:pPr>
        <w:ind w:left="1050" w:right="540" w:hanging="626"/>
        <w:spacing w:after="0" w:line="270" w:lineRule="auto"/>
        <w:tabs>
          <w:tab w:leader="none" w:pos="1050" w:val="left"/>
        </w:tabs>
        <w:numPr>
          <w:ilvl w:val="1"/>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and act upon any notice, request, document or communication or make any decision or determination under any Finance Document made or delivered as a Lender on that day,</w:t>
      </w:r>
    </w:p>
    <w:p>
      <w:pPr>
        <w:spacing w:after="0" w:line="63" w:lineRule="exact"/>
        <w:rPr>
          <w:sz w:val="20"/>
          <w:szCs w:val="20"/>
          <w:color w:val="auto"/>
        </w:rPr>
      </w:pPr>
    </w:p>
    <w:p>
      <w:pPr>
        <w:ind w:left="430" w:right="500"/>
        <w:spacing w:after="0" w:line="270" w:lineRule="auto"/>
        <w:rPr>
          <w:sz w:val="20"/>
          <w:szCs w:val="20"/>
          <w:color w:val="auto"/>
        </w:rPr>
      </w:pPr>
      <w:r>
        <w:rPr>
          <w:rFonts w:ascii="Times New Roman" w:cs="Times New Roman" w:eastAsia="Times New Roman" w:hAnsi="Times New Roman"/>
          <w:sz w:val="18"/>
          <w:szCs w:val="18"/>
          <w:color w:val="auto"/>
        </w:rPr>
        <w:t>unless it has received not less than five (5) Business Days’ prior notice from that Lender to the contrary in accordance with the terms of this Agreement.</w:t>
      </w:r>
    </w:p>
    <w:p>
      <w:pPr>
        <w:spacing w:after="0" w:line="76" w:lineRule="exact"/>
        <w:rPr>
          <w:sz w:val="20"/>
          <w:szCs w:val="20"/>
          <w:color w:val="auto"/>
        </w:rPr>
      </w:pPr>
    </w:p>
    <w:p>
      <w:pPr>
        <w:ind w:left="430" w:right="100" w:hanging="430"/>
        <w:spacing w:after="0" w:line="250" w:lineRule="auto"/>
        <w:tabs>
          <w:tab w:leader="none" w:pos="430"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fax number and email address and/or any other information required to enable the sending and receipt of information by that means (and, in each case, the department or officer, if any, for whose attention communication is to be made) and be treated as a notification of a substitute address, fax number, email address, department and officer by that Lender for the purposes of Clause 30.2 (Addresses) and the Agent shall be entitled to treat such person as the person entitled to receive all such notices, communications, information and documents as though that person were that Lender.</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26.15 Credit appraisal by the Lenders</w:t>
      </w:r>
    </w:p>
    <w:p>
      <w:pPr>
        <w:spacing w:after="0" w:line="112" w:lineRule="exact"/>
        <w:rPr>
          <w:sz w:val="20"/>
          <w:szCs w:val="20"/>
          <w:color w:val="auto"/>
        </w:rPr>
      </w:pPr>
    </w:p>
    <w:p>
      <w:pPr>
        <w:jc w:val="both"/>
        <w:ind w:left="430" w:right="160"/>
        <w:spacing w:after="0" w:line="258" w:lineRule="auto"/>
        <w:rPr>
          <w:sz w:val="20"/>
          <w:szCs w:val="20"/>
          <w:color w:val="auto"/>
        </w:rPr>
      </w:pPr>
      <w:r>
        <w:rPr>
          <w:rFonts w:ascii="Times New Roman" w:cs="Times New Roman" w:eastAsia="Times New Roman" w:hAnsi="Times New Roman"/>
          <w:sz w:val="18"/>
          <w:szCs w:val="18"/>
          <w:color w:val="auto"/>
        </w:rPr>
        <w:t>Without affecting the responsibility of an Obligor for information supplied by it or on its behalf in connection with any Finance Document, each of the Lenders confirms to each Administrative Party that it has been, and will continue to be, solely responsible for making its own independent appraisal and investigation of all risks arising under or in connection with any Finance Document including but not limited to:</w:t>
      </w:r>
    </w:p>
    <w:p>
      <w:pPr>
        <w:spacing w:after="0" w:line="86" w:lineRule="exact"/>
        <w:rPr>
          <w:sz w:val="20"/>
          <w:szCs w:val="20"/>
          <w:color w:val="auto"/>
        </w:rPr>
      </w:pPr>
    </w:p>
    <w:p>
      <w:pPr>
        <w:ind w:left="1050" w:hanging="626"/>
        <w:spacing w:after="0"/>
        <w:tabs>
          <w:tab w:leader="none" w:pos="1050"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status and nature of the Obligors, the Group Members and their respective Affiliates;</w:t>
      </w:r>
    </w:p>
    <w:p>
      <w:pPr>
        <w:spacing w:after="0" w:line="123" w:lineRule="exact"/>
        <w:rPr>
          <w:rFonts w:ascii="Times New Roman" w:cs="Times New Roman" w:eastAsia="Times New Roman" w:hAnsi="Times New Roman"/>
          <w:sz w:val="18"/>
          <w:szCs w:val="18"/>
          <w:color w:val="auto"/>
        </w:rPr>
      </w:pPr>
    </w:p>
    <w:p>
      <w:pPr>
        <w:ind w:left="1050" w:right="360" w:hanging="626"/>
        <w:spacing w:after="0" w:line="270" w:lineRule="auto"/>
        <w:tabs>
          <w:tab w:leader="none" w:pos="1050"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effectiveness, adequacy or enforceability of any Finance Document and/or any other agreement, arrangement or document entered into, made or executed in anticipation of, under or in connection with any Finance Document;</w:t>
      </w:r>
    </w:p>
    <w:p>
      <w:pPr>
        <w:spacing w:after="0" w:line="76" w:lineRule="exact"/>
        <w:rPr>
          <w:rFonts w:ascii="Times New Roman" w:cs="Times New Roman" w:eastAsia="Times New Roman" w:hAnsi="Times New Roman"/>
          <w:sz w:val="18"/>
          <w:szCs w:val="18"/>
          <w:color w:val="auto"/>
        </w:rPr>
      </w:pPr>
    </w:p>
    <w:p>
      <w:pPr>
        <w:jc w:val="both"/>
        <w:ind w:left="1050" w:right="300" w:hanging="626"/>
        <w:spacing w:after="0" w:line="253" w:lineRule="auto"/>
        <w:tabs>
          <w:tab w:leader="none" w:pos="1050"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Lender has recourse, and the nature and extent of that recourse, against any party to any Finance Document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92" w:lineRule="exact"/>
        <w:rPr>
          <w:rFonts w:ascii="Times New Roman" w:cs="Times New Roman" w:eastAsia="Times New Roman" w:hAnsi="Times New Roman"/>
          <w:sz w:val="18"/>
          <w:szCs w:val="18"/>
          <w:color w:val="auto"/>
        </w:rPr>
      </w:pPr>
    </w:p>
    <w:p>
      <w:pPr>
        <w:ind w:left="1050" w:right="180" w:hanging="626"/>
        <w:spacing w:after="0" w:line="253" w:lineRule="auto"/>
        <w:tabs>
          <w:tab w:leader="none" w:pos="1050"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accuracy and/or completeness of any information provided by the Agent, any party to any Finance Document or by any other person under or in connection with any Finance Document, the transactions contemplated by the Finance Documents or any other agreement, arrangement or document entered into, made or executed in anticipation of, under or in connection with any Finance Document.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26.16 Deduction from amounts payable by the Agent</w:t>
      </w:r>
    </w:p>
    <w:p>
      <w:pPr>
        <w:spacing w:after="0" w:line="112" w:lineRule="exact"/>
        <w:rPr>
          <w:sz w:val="20"/>
          <w:szCs w:val="20"/>
          <w:color w:val="auto"/>
        </w:rPr>
      </w:pPr>
    </w:p>
    <w:p>
      <w:pPr>
        <w:ind w:left="430" w:right="360"/>
        <w:spacing w:after="0" w:line="253" w:lineRule="auto"/>
        <w:rPr>
          <w:sz w:val="20"/>
          <w:szCs w:val="20"/>
          <w:color w:val="auto"/>
        </w:rPr>
      </w:pPr>
      <w:r>
        <w:rPr>
          <w:rFonts w:ascii="Times New Roman" w:cs="Times New Roman" w:eastAsia="Times New Roman" w:hAnsi="Times New Roman"/>
          <w:sz w:val="18"/>
          <w:szCs w:val="18"/>
          <w:color w:val="auto"/>
        </w:rPr>
        <w:t>If any Party owes an amount to the Agent under any of the Finance Documents, the Agent may, after giving notice to such Party, deduct an amount not exceeding that amount from any payment to such Party which the Agent would otherwise be obliged to make under the Finance Documents and apply the amount deducted in or towards satisfaction of that amount owed by such Party to the Agent. For the purposes of the Finance Documents such Party shall be regarded as having received any amount so deducted.</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90"/>
          </w:cols>
          <w:pgMar w:left="550" w:top="265" w:right="559" w:bottom="1440" w:gutter="0" w:footer="0" w:header="0"/>
        </w:sectPr>
      </w:pPr>
    </w:p>
    <w:bookmarkStart w:id="632" w:name="page633"/>
    <w:bookmarkEnd w:id="632"/>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3">
                      <a:extLst>
                        <a:ext uri="{28A0092B-C50C-407E-A947-70E740481C1C}"/>
                      </a:extLst>
                    </a:blip>
                    <a:srcRect/>
                    <a:stretch>
                      <a:fillRect/>
                    </a:stretch>
                  </pic:blipFill>
                  <pic:spPr bwMode="auto">
                    <a:xfrm>
                      <a:off x="0" y="0"/>
                      <a:ext cx="7177405" cy="38100"/>
                    </a:xfrm>
                    <a:prstGeom prst="rect">
                      <a:avLst/>
                    </a:prstGeom>
                    <a:noFill/>
                  </pic:spPr>
                </pic:pic>
              </a:graphicData>
            </a:graphic>
          </wp:anchor>
        </w:drawing>
        <w:t>26.17 Money laundering</w:t>
      </w:r>
    </w:p>
    <w:p>
      <w:pPr>
        <w:spacing w:after="0" w:line="112" w:lineRule="exact"/>
        <w:rPr>
          <w:sz w:val="20"/>
          <w:szCs w:val="20"/>
          <w:color w:val="auto"/>
        </w:rPr>
      </w:pPr>
    </w:p>
    <w:p>
      <w:pPr>
        <w:jc w:val="both"/>
        <w:ind w:left="430" w:right="260"/>
        <w:spacing w:after="0" w:line="253" w:lineRule="auto"/>
        <w:rPr>
          <w:sz w:val="20"/>
          <w:szCs w:val="20"/>
          <w:color w:val="auto"/>
        </w:rPr>
      </w:pPr>
      <w:r>
        <w:rPr>
          <w:rFonts w:ascii="Times New Roman" w:cs="Times New Roman" w:eastAsia="Times New Roman" w:hAnsi="Times New Roman"/>
          <w:sz w:val="18"/>
          <w:szCs w:val="18"/>
          <w:color w:val="auto"/>
        </w:rPr>
        <w:t xml:space="preserve">Unless mandatorily required by applicable laws or regulations to which the Agent is subject, the Agent shall not be responsible to any Party for providing any certification or documents with respect to any information (except for any information in respect of itself) required for any anti-money laundering due diligence purpose. Such certificates and related documents shall be provided directly by the Obligors,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request for such information may be made through the Agent.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26.18 Agent’s Management Time</w:t>
      </w:r>
    </w:p>
    <w:p>
      <w:pPr>
        <w:spacing w:after="0" w:line="126" w:lineRule="exact"/>
        <w:rPr>
          <w:sz w:val="20"/>
          <w:szCs w:val="20"/>
          <w:color w:val="auto"/>
        </w:rPr>
      </w:pPr>
    </w:p>
    <w:p>
      <w:pPr>
        <w:ind w:left="430" w:right="40" w:hanging="430"/>
        <w:spacing w:after="0" w:line="253" w:lineRule="auto"/>
        <w:tabs>
          <w:tab w:leader="none" w:pos="430"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payable to the Agent under Clause 15.3 (Indemnity to the Agent) and Clause 26.11 (Lenders’ Indemnity to the Agent) shall include the cost of utilising the management time or other resources of the Agent and will be calculated on the basis of such reasonable daily or hourly rates as the Agent may notify to the Obligors and the other Finance Parties, and is in addition to any fee paid or payable to the Agent under Clause 11 (Fees).</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paragraph (a) above, in the event of:</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w:t>
      </w:r>
    </w:p>
    <w:p>
      <w:pPr>
        <w:spacing w:after="0" w:line="123" w:lineRule="exact"/>
        <w:rPr>
          <w:rFonts w:ascii="Times New Roman" w:cs="Times New Roman" w:eastAsia="Times New Roman" w:hAnsi="Times New Roman"/>
          <w:sz w:val="18"/>
          <w:szCs w:val="18"/>
          <w:color w:val="auto"/>
        </w:rPr>
      </w:pPr>
    </w:p>
    <w:p>
      <w:pPr>
        <w:ind w:left="1050" w:right="80" w:hanging="626"/>
        <w:spacing w:after="0" w:line="270" w:lineRule="auto"/>
        <w:tabs>
          <w:tab w:leader="none" w:pos="1050" w:val="left"/>
        </w:tabs>
        <w:numPr>
          <w:ilvl w:val="1"/>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being requested by an Obligor or the Majority Lenders to undertake duties which the Agent and the Borrower(s) agree to be of an exceptional nature or outside the scope of the normal duties of the Agent, as applicable under the Finance Documents;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and the Borrower(s) agreeing that it is otherwise appropriate in the circumstances,</w:t>
      </w:r>
    </w:p>
    <w:p>
      <w:pPr>
        <w:spacing w:after="0" w:line="110" w:lineRule="exact"/>
        <w:rPr>
          <w:sz w:val="20"/>
          <w:szCs w:val="20"/>
          <w:color w:val="auto"/>
        </w:rPr>
      </w:pPr>
    </w:p>
    <w:p>
      <w:pPr>
        <w:ind w:left="430" w:right="40"/>
        <w:spacing w:after="0" w:line="270" w:lineRule="auto"/>
        <w:rPr>
          <w:sz w:val="20"/>
          <w:szCs w:val="20"/>
          <w:color w:val="auto"/>
        </w:rPr>
      </w:pPr>
      <w:r>
        <w:rPr>
          <w:rFonts w:ascii="Times New Roman" w:cs="Times New Roman" w:eastAsia="Times New Roman" w:hAnsi="Times New Roman"/>
          <w:sz w:val="18"/>
          <w:szCs w:val="18"/>
          <w:color w:val="auto"/>
        </w:rPr>
        <w:t>the Borrower(s) shall pay to the Agent any additional remuneration (together with any applicable VAT) that may be agreed between the Agent and the Borrower(s) or determined pursuant to paragraph (c) below.</w:t>
      </w:r>
    </w:p>
    <w:p>
      <w:pPr>
        <w:spacing w:after="0" w:line="76" w:lineRule="exact"/>
        <w:rPr>
          <w:sz w:val="20"/>
          <w:szCs w:val="20"/>
          <w:color w:val="auto"/>
        </w:rPr>
      </w:pPr>
    </w:p>
    <w:p>
      <w:pPr>
        <w:ind w:left="430" w:right="40" w:hanging="430"/>
        <w:spacing w:after="0" w:line="250" w:lineRule="auto"/>
        <w:tabs>
          <w:tab w:leader="none" w:pos="430"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and the Borrower(s) fail to agree upon whether such duties are of an exceptional nature or otherwise outside the scope of the normal duties of the Agent, or upon the amount of any additional remuneration referred to in paragraph (b) above or whether additional remuneration is appropriate in the circumstances, any dispute shall be determined by an investment bank (acting as an expert and not as an arbitrator) selected by the Agent and approved by the Borrower(s) or, failing approval, nominated (on the application of the Agent) by the President for the time being of the Law Society of Hong Kong (the costs of the nomination and the fees of the investment bank being payable by the Borrower(s)) and the determination of any investment bank shall be final and binding upon the Parties.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26.19 Reliance and Engagement Letters</w:t>
      </w:r>
    </w:p>
    <w:p>
      <w:pPr>
        <w:spacing w:after="0" w:line="112" w:lineRule="exact"/>
        <w:rPr>
          <w:sz w:val="20"/>
          <w:szCs w:val="20"/>
          <w:color w:val="auto"/>
        </w:rPr>
      </w:pPr>
    </w:p>
    <w:p>
      <w:pPr>
        <w:ind w:left="430" w:right="140"/>
        <w:spacing w:after="0" w:line="251" w:lineRule="auto"/>
        <w:rPr>
          <w:sz w:val="20"/>
          <w:szCs w:val="20"/>
          <w:color w:val="auto"/>
        </w:rPr>
      </w:pPr>
      <w:r>
        <w:rPr>
          <w:rFonts w:ascii="Times New Roman" w:cs="Times New Roman" w:eastAsia="Times New Roman" w:hAnsi="Times New Roman"/>
          <w:sz w:val="18"/>
          <w:szCs w:val="18"/>
          <w:color w:val="auto"/>
        </w:rPr>
        <w:t>Each Finance Party confirms that the Agent has authority to accept on its behalf (and ratifies the acceptance on its behalf of any letters or reports already accepted by any Administrative Party) the terms of any reliance letter or engagement letters relating to any reports or letters provided by auditors or providers of due diligence reports in connection with the Finance Documents or the transactions contemplated in the Finance Documents and to bind it in respect of the reports or letters and to sign such letters on its behalf and further confirms that it accepts the terms and qualifications set out in such letters.</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26.20 SFO</w:t>
      </w:r>
    </w:p>
    <w:p>
      <w:pPr>
        <w:spacing w:after="0" w:line="112" w:lineRule="exact"/>
        <w:rPr>
          <w:sz w:val="20"/>
          <w:szCs w:val="20"/>
          <w:color w:val="auto"/>
        </w:rPr>
      </w:pPr>
    </w:p>
    <w:p>
      <w:pPr>
        <w:ind w:left="430"/>
        <w:spacing w:after="0" w:line="270" w:lineRule="auto"/>
        <w:rPr>
          <w:sz w:val="20"/>
          <w:szCs w:val="20"/>
          <w:color w:val="auto"/>
        </w:rPr>
      </w:pPr>
      <w:r>
        <w:rPr>
          <w:rFonts w:ascii="Times New Roman" w:cs="Times New Roman" w:eastAsia="Times New Roman" w:hAnsi="Times New Roman"/>
          <w:sz w:val="18"/>
          <w:szCs w:val="18"/>
          <w:color w:val="auto"/>
        </w:rPr>
        <w:t>Nothing in this Agreement shall require the Agent to carry on an activity of the kind specified by any provision of part 1 of schedule 5 of the Hong Kong Securities and Futures Ordinance (Cap 571), or to lend money to the Borrower(s) in its capacity as the Agent.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26.21 Money held as banker</w:t>
      </w:r>
    </w:p>
    <w:p>
      <w:pPr>
        <w:spacing w:after="0" w:line="112" w:lineRule="exact"/>
        <w:rPr>
          <w:sz w:val="20"/>
          <w:szCs w:val="20"/>
          <w:color w:val="auto"/>
        </w:rPr>
      </w:pPr>
    </w:p>
    <w:p>
      <w:pPr>
        <w:ind w:left="430" w:right="320"/>
        <w:spacing w:after="0" w:line="258" w:lineRule="auto"/>
        <w:rPr>
          <w:sz w:val="20"/>
          <w:szCs w:val="20"/>
          <w:color w:val="auto"/>
        </w:rPr>
      </w:pPr>
      <w:r>
        <w:rPr>
          <w:rFonts w:ascii="Times New Roman" w:cs="Times New Roman" w:eastAsia="Times New Roman" w:hAnsi="Times New Roman"/>
          <w:sz w:val="18"/>
          <w:szCs w:val="18"/>
          <w:color w:val="auto"/>
        </w:rPr>
        <w:t>The Agent shall be entitled to deal with money paid to it by any person for the purposes of this Agreement in the same manner as other money paid to a banker by its customers except that it shall not be liable to account to any person for any interest or other amounts in respect of the money.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26.22 Abatement of fees</w:t>
      </w:r>
    </w:p>
    <w:p>
      <w:pPr>
        <w:spacing w:after="0" w:line="112" w:lineRule="exact"/>
        <w:rPr>
          <w:sz w:val="20"/>
          <w:szCs w:val="20"/>
          <w:color w:val="auto"/>
        </w:rPr>
      </w:pPr>
    </w:p>
    <w:p>
      <w:pPr>
        <w:ind w:left="430" w:right="140"/>
        <w:spacing w:after="0" w:line="258" w:lineRule="auto"/>
        <w:rPr>
          <w:sz w:val="20"/>
          <w:szCs w:val="20"/>
          <w:color w:val="auto"/>
        </w:rPr>
      </w:pPr>
      <w:r>
        <w:rPr>
          <w:rFonts w:ascii="Times New Roman" w:cs="Times New Roman" w:eastAsia="Times New Roman" w:hAnsi="Times New Roman"/>
          <w:sz w:val="18"/>
          <w:szCs w:val="18"/>
          <w:color w:val="auto"/>
        </w:rPr>
        <w:t>The fees, commissions and expenses payable to the Agent for services rendered and the performance of their obligations under this Agreement shall not be abated by any remuneration or other amounts or profits receivable by the Agent (or by any of their Affiliates) in connection with any transaction effected by the Agent with or for the Lenders or the Obligors to this Agreement.</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26.23 Amounts paid in error</w:t>
      </w:r>
    </w:p>
    <w:p>
      <w:pPr>
        <w:spacing w:after="0" w:line="126" w:lineRule="exact"/>
        <w:rPr>
          <w:sz w:val="20"/>
          <w:szCs w:val="20"/>
          <w:color w:val="auto"/>
        </w:rPr>
      </w:pPr>
    </w:p>
    <w:p>
      <w:pPr>
        <w:ind w:left="430" w:right="380" w:hanging="430"/>
        <w:spacing w:after="0" w:line="280" w:lineRule="auto"/>
        <w:tabs>
          <w:tab w:leader="none" w:pos="430" w:val="left"/>
        </w:tabs>
        <w:numPr>
          <w:ilvl w:val="0"/>
          <w:numId w:val="8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Agent pays an amount to another Party and the Agent notifies that Party that such payment was an Erroneous Payment then the Party to whom that amount was paid by the Agent shall as soon as reasonably practicable following demand refund the same to the Agent. For the avoidance of doubt, no such other Party shall be liable to the Agent for any amount of interest in respect of that Erroneous Payment.</w:t>
      </w:r>
    </w:p>
    <w:p>
      <w:pPr>
        <w:spacing w:after="0" w:line="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90"/>
          </w:cols>
          <w:pgMar w:left="550" w:top="265" w:right="559" w:bottom="1440" w:gutter="0" w:footer="0" w:header="0"/>
        </w:sectPr>
      </w:pPr>
    </w:p>
    <w:bookmarkStart w:id="633" w:name="page634"/>
    <w:bookmarkEnd w:id="633"/>
    <w:p>
      <w:pPr>
        <w:ind w:left="430" w:hanging="430"/>
        <w:spacing w:after="0"/>
        <w:tabs>
          <w:tab w:leader="none" w:pos="430"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Neither: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any Party to the Agent; nor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remedies of the Agent (whether arising under this Clause 26.18 or otherwise) which relate to an Erroneous Payment,</w:t>
      </w:r>
    </w:p>
    <w:p>
      <w:pPr>
        <w:spacing w:after="0" w:line="110" w:lineRule="exact"/>
        <w:rPr>
          <w:sz w:val="20"/>
          <w:szCs w:val="20"/>
          <w:color w:val="auto"/>
        </w:rPr>
      </w:pPr>
    </w:p>
    <w:p>
      <w:pPr>
        <w:ind w:left="430" w:right="160"/>
        <w:spacing w:after="0" w:line="270" w:lineRule="auto"/>
        <w:rPr>
          <w:sz w:val="20"/>
          <w:szCs w:val="20"/>
          <w:color w:val="auto"/>
        </w:rPr>
      </w:pPr>
      <w:r>
        <w:rPr>
          <w:rFonts w:ascii="Times New Roman" w:cs="Times New Roman" w:eastAsia="Times New Roman" w:hAnsi="Times New Roman"/>
          <w:sz w:val="18"/>
          <w:szCs w:val="18"/>
          <w:color w:val="auto"/>
        </w:rPr>
        <w:t>will be affected by any act, omission, matter or thing which, but for this paragraph (ii), would reduce, release or prejudice any such obligation or remedy (whether or not known by the Agent or any other Party).</w:t>
      </w:r>
    </w:p>
    <w:p>
      <w:pPr>
        <w:spacing w:after="0" w:line="76" w:lineRule="exact"/>
        <w:rPr>
          <w:sz w:val="20"/>
          <w:szCs w:val="20"/>
          <w:color w:val="auto"/>
        </w:rPr>
      </w:pPr>
    </w:p>
    <w:p>
      <w:pPr>
        <w:ind w:left="430" w:right="20" w:hanging="430"/>
        <w:spacing w:after="0" w:line="270" w:lineRule="auto"/>
        <w:tabs>
          <w:tab w:leader="none" w:pos="430"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a Party to the Agent (whether made pursuant to this Clause 26.18 or otherwise) which relate to an Erroneous Payment shall be calculated and be made without (and free and clear of any deduction for) set-off or counterclaim.</w:t>
      </w:r>
    </w:p>
    <w:p>
      <w:pPr>
        <w:spacing w:after="0" w:line="74" w:lineRule="exact"/>
        <w:rPr>
          <w:rFonts w:ascii="Times New Roman" w:cs="Times New Roman" w:eastAsia="Times New Roman" w:hAnsi="Times New Roman"/>
          <w:sz w:val="18"/>
          <w:szCs w:val="18"/>
          <w:color w:val="auto"/>
        </w:rPr>
      </w:pPr>
    </w:p>
    <w:p>
      <w:pPr>
        <w:ind w:left="430" w:right="320" w:hanging="430"/>
        <w:spacing w:after="0" w:line="273" w:lineRule="auto"/>
        <w:tabs>
          <w:tab w:leader="none" w:pos="430"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this Agreement,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means a payment of an amount by the Agent to another Party which the Agent determines (in its sole discretion) was made in error.</w:t>
      </w:r>
    </w:p>
    <w:p>
      <w:pPr>
        <w:spacing w:after="0" w:line="309" w:lineRule="exact"/>
        <w:rPr>
          <w:sz w:val="20"/>
          <w:szCs w:val="20"/>
          <w:color w:val="auto"/>
        </w:rPr>
      </w:pPr>
    </w:p>
    <w:p>
      <w:pPr>
        <w:ind w:left="10" w:right="6740" w:hanging="10"/>
        <w:spacing w:after="0" w:line="375" w:lineRule="auto"/>
        <w:tabs>
          <w:tab w:leader="none" w:pos="433" w:val="left"/>
        </w:tabs>
        <w:numPr>
          <w:ilvl w:val="0"/>
          <w:numId w:val="8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SHARING AMONG THE FINANCE PARTIES 27.1 Payments to Finance Parties</w:t>
      </w:r>
    </w:p>
    <w:p>
      <w:pPr>
        <w:spacing w:after="0" w:line="1" w:lineRule="exact"/>
        <w:rPr>
          <w:sz w:val="20"/>
          <w:szCs w:val="20"/>
          <w:color w:val="auto"/>
        </w:rPr>
      </w:pPr>
    </w:p>
    <w:p>
      <w:pPr>
        <w:ind w:left="430" w:right="220"/>
        <w:spacing w:after="0" w:line="259" w:lineRule="auto"/>
        <w:rPr>
          <w:sz w:val="20"/>
          <w:szCs w:val="20"/>
          <w:color w:val="auto"/>
        </w:rPr>
      </w:pPr>
      <w:r>
        <w:rPr>
          <w:rFonts w:ascii="Times New Roman" w:cs="Times New Roman" w:eastAsia="Times New Roman" w:hAnsi="Times New Roman"/>
          <w:sz w:val="18"/>
          <w:szCs w:val="18"/>
          <w:color w:val="auto"/>
        </w:rPr>
        <w:t xml:space="preserve">If a Finance Party (a </w:t>
      </w:r>
      <w:r>
        <w:rPr>
          <w:rFonts w:ascii="Times New Roman" w:cs="Times New Roman" w:eastAsia="Times New Roman" w:hAnsi="Times New Roman"/>
          <w:sz w:val="18"/>
          <w:szCs w:val="18"/>
          <w:b w:val="1"/>
          <w:bCs w:val="1"/>
          <w:color w:val="auto"/>
        </w:rPr>
        <w:t>Recovering Finance Party</w:t>
      </w:r>
      <w:r>
        <w:rPr>
          <w:rFonts w:ascii="Times New Roman" w:cs="Times New Roman" w:eastAsia="Times New Roman" w:hAnsi="Times New Roman"/>
          <w:sz w:val="18"/>
          <w:szCs w:val="18"/>
          <w:color w:val="auto"/>
        </w:rPr>
        <w:t xml:space="preserve">) receives or recovers (whether by set-off or otherwise) any amount from or in respect of an Obligor, other than through the Agent and in accordance with Clause 28 (Payment Mechanics), (such amount being a </w:t>
      </w:r>
      <w:r>
        <w:rPr>
          <w:rFonts w:ascii="Times New Roman" w:cs="Times New Roman" w:eastAsia="Times New Roman" w:hAnsi="Times New Roman"/>
          <w:sz w:val="18"/>
          <w:szCs w:val="18"/>
          <w:b w:val="1"/>
          <w:bCs w:val="1"/>
          <w:color w:val="auto"/>
        </w:rPr>
        <w:t>Recovered Amount</w:t>
      </w:r>
      <w:r>
        <w:rPr>
          <w:rFonts w:ascii="Times New Roman" w:cs="Times New Roman" w:eastAsia="Times New Roman" w:hAnsi="Times New Roman"/>
          <w:sz w:val="18"/>
          <w:szCs w:val="18"/>
          <w:color w:val="auto"/>
        </w:rPr>
        <w:t>) and applies that amount to a payment due under any of the Finance Documents then:</w:t>
      </w:r>
    </w:p>
    <w:p>
      <w:pPr>
        <w:spacing w:after="0" w:line="85" w:lineRule="exact"/>
        <w:rPr>
          <w:sz w:val="20"/>
          <w:szCs w:val="20"/>
          <w:color w:val="auto"/>
        </w:rPr>
      </w:pPr>
    </w:p>
    <w:p>
      <w:pPr>
        <w:ind w:left="1050" w:hanging="626"/>
        <w:spacing w:after="0"/>
        <w:tabs>
          <w:tab w:leader="none" w:pos="105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Recovering Finance Party shall, within three (3) Business Days, notify details of such receipt or recovery, to the Agent;</w:t>
      </w:r>
    </w:p>
    <w:p>
      <w:pPr>
        <w:spacing w:after="0" w:line="123" w:lineRule="exact"/>
        <w:rPr>
          <w:rFonts w:ascii="Times New Roman" w:cs="Times New Roman" w:eastAsia="Times New Roman" w:hAnsi="Times New Roman"/>
          <w:sz w:val="18"/>
          <w:szCs w:val="18"/>
          <w:color w:val="auto"/>
        </w:rPr>
      </w:pPr>
    </w:p>
    <w:p>
      <w:pPr>
        <w:ind w:left="1050" w:hanging="626"/>
        <w:spacing w:after="0" w:line="253" w:lineRule="auto"/>
        <w:tabs>
          <w:tab w:leader="none" w:pos="105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determine whether such receipt or recovery is in excess of the amount that the Recovering Finance Party would have been paid had such receipt or recovery been received or made by the Agent and distributed in accordance with Clause 28 (Payment Mechanics), without taking account of any Tax which would be imposed on the Agent in relation to such receipt, recovery or distribution; and</w:t>
      </w:r>
    </w:p>
    <w:p>
      <w:pPr>
        <w:spacing w:after="0" w:line="90" w:lineRule="exact"/>
        <w:rPr>
          <w:rFonts w:ascii="Times New Roman" w:cs="Times New Roman" w:eastAsia="Times New Roman" w:hAnsi="Times New Roman"/>
          <w:sz w:val="18"/>
          <w:szCs w:val="18"/>
          <w:color w:val="auto"/>
        </w:rPr>
      </w:pPr>
    </w:p>
    <w:p>
      <w:pPr>
        <w:ind w:left="1050" w:right="240" w:hanging="626"/>
        <w:spacing w:after="0" w:line="254" w:lineRule="auto"/>
        <w:tabs>
          <w:tab w:leader="none" w:pos="1050"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Recovering Finance Party shall, within three (3) Business Days of demand by the Agent, pay to the Agent an amount (the </w:t>
      </w:r>
      <w:r>
        <w:rPr>
          <w:rFonts w:ascii="Times New Roman" w:cs="Times New Roman" w:eastAsia="Times New Roman" w:hAnsi="Times New Roman"/>
          <w:sz w:val="18"/>
          <w:szCs w:val="18"/>
          <w:b w:val="1"/>
          <w:bCs w:val="1"/>
          <w:color w:val="auto"/>
        </w:rPr>
        <w:t>Sharing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equal to such receipt or recovery less any amount which the Agent determines may be retained by the Recovering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as its share of any payment to be made (by reference to such receipt or recovery) in accordance with Clause 28.6 (Partial payments).</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27.2 Redistribution of payments</w:t>
      </w:r>
    </w:p>
    <w:p>
      <w:pPr>
        <w:spacing w:after="0" w:line="112" w:lineRule="exact"/>
        <w:rPr>
          <w:sz w:val="20"/>
          <w:szCs w:val="20"/>
          <w:color w:val="auto"/>
        </w:rPr>
      </w:pPr>
    </w:p>
    <w:p>
      <w:pPr>
        <w:ind w:left="430" w:right="20"/>
        <w:spacing w:after="0" w:line="258" w:lineRule="auto"/>
        <w:rPr>
          <w:sz w:val="20"/>
          <w:szCs w:val="20"/>
          <w:color w:val="auto"/>
        </w:rPr>
      </w:pPr>
      <w:r>
        <w:rPr>
          <w:rFonts w:ascii="Times New Roman" w:cs="Times New Roman" w:eastAsia="Times New Roman" w:hAnsi="Times New Roman"/>
          <w:sz w:val="18"/>
          <w:szCs w:val="18"/>
          <w:color w:val="auto"/>
        </w:rPr>
        <w:t xml:space="preserve">The Agent shall treat the Sharing Payment as if it had been paid by the relevant Obligor and distribute it between the Finance Parties (other than the Recovering Finance Party) (the </w:t>
      </w:r>
      <w:r>
        <w:rPr>
          <w:rFonts w:ascii="Times New Roman" w:cs="Times New Roman" w:eastAsia="Times New Roman" w:hAnsi="Times New Roman"/>
          <w:sz w:val="18"/>
          <w:szCs w:val="18"/>
          <w:b w:val="1"/>
          <w:bCs w:val="1"/>
          <w:color w:val="auto"/>
        </w:rPr>
        <w:t>Sharing Finance Parties</w:t>
      </w:r>
      <w:r>
        <w:rPr>
          <w:rFonts w:ascii="Times New Roman" w:cs="Times New Roman" w:eastAsia="Times New Roman" w:hAnsi="Times New Roman"/>
          <w:sz w:val="18"/>
          <w:szCs w:val="18"/>
          <w:color w:val="auto"/>
        </w:rPr>
        <w:t>) in accordance with Clause 28.6 (Partial payments) towards the obligations owing to such Sharing Finance Parties.</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27.3 Recovering Finance Party’s rights</w:t>
      </w:r>
    </w:p>
    <w:p>
      <w:pPr>
        <w:spacing w:after="0" w:line="112" w:lineRule="exact"/>
        <w:rPr>
          <w:sz w:val="20"/>
          <w:szCs w:val="20"/>
          <w:color w:val="auto"/>
        </w:rPr>
      </w:pPr>
    </w:p>
    <w:p>
      <w:pPr>
        <w:ind w:left="430" w:right="40"/>
        <w:spacing w:after="0" w:line="258" w:lineRule="auto"/>
        <w:rPr>
          <w:sz w:val="20"/>
          <w:szCs w:val="20"/>
          <w:color w:val="auto"/>
        </w:rPr>
      </w:pPr>
      <w:r>
        <w:rPr>
          <w:rFonts w:ascii="Times New Roman" w:cs="Times New Roman" w:eastAsia="Times New Roman" w:hAnsi="Times New Roman"/>
          <w:sz w:val="18"/>
          <w:szCs w:val="18"/>
          <w:color w:val="auto"/>
        </w:rPr>
        <w:t>On a distribution by the Agent under Clause 27.2 (Redistribution of payments), as between an Obligor and the Recovering Finance Party, an amount of such Recovered Amount equal to such Sharing Payment shall be treated as not having been paid by that Obligor (and that Obligor shall be liable to the Recovering Finance Party for a debt equal to such Sharing Payment, which debt is immediately due and payable).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27.4 Reversal of redistribution</w:t>
      </w:r>
    </w:p>
    <w:p>
      <w:pPr>
        <w:spacing w:after="0" w:line="112" w:lineRule="exact"/>
        <w:rPr>
          <w:sz w:val="20"/>
          <w:szCs w:val="20"/>
          <w:color w:val="auto"/>
        </w:rPr>
      </w:pPr>
    </w:p>
    <w:p>
      <w:pPr>
        <w:ind w:left="430" w:right="60"/>
        <w:spacing w:after="0" w:line="270" w:lineRule="auto"/>
        <w:rPr>
          <w:sz w:val="20"/>
          <w:szCs w:val="20"/>
          <w:color w:val="auto"/>
        </w:rPr>
      </w:pPr>
      <w:r>
        <w:rPr>
          <w:rFonts w:ascii="Times New Roman" w:cs="Times New Roman" w:eastAsia="Times New Roman" w:hAnsi="Times New Roman"/>
          <w:sz w:val="18"/>
          <w:szCs w:val="18"/>
          <w:color w:val="auto"/>
        </w:rPr>
        <w:t>To the extent that any part of such Recovered Amount received or recovered by a Recovering Finance Party (which Recovered Amount gives rise to any Sharing Payment) becomes repayable and is repaid by that Recovering Finance Party, then:</w:t>
      </w:r>
    </w:p>
    <w:p>
      <w:pPr>
        <w:spacing w:after="0" w:line="76" w:lineRule="exact"/>
        <w:rPr>
          <w:sz w:val="20"/>
          <w:szCs w:val="20"/>
          <w:color w:val="auto"/>
        </w:rPr>
      </w:pPr>
    </w:p>
    <w:p>
      <w:pPr>
        <w:ind w:left="1050" w:right="80" w:hanging="626"/>
        <w:spacing w:after="0" w:line="250" w:lineRule="auto"/>
        <w:tabs>
          <w:tab w:leader="none" w:pos="1050"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Sharing Finance Party shall, upon request of the Agent, pay to the Agent for account of that Recovering Finance Party an amount equal to (i) the appropriate part of its share of such Sharing Payment (that is attributable to such Recovered Amount so repayable and repaid by such Recovering Finance Party) together with (ii) an amount as is necessary to reimburse that Recovering Finance Party for its proportion of any interest on such part of such Sharing Payment (or on such part of such Recovered Amount to which such Sharing Payment is attributable) which that Recovering Finance Party is required to pay ((i) and (ii) being collectively the </w:t>
      </w:r>
      <w:r>
        <w:rPr>
          <w:rFonts w:ascii="Times New Roman" w:cs="Times New Roman" w:eastAsia="Times New Roman" w:hAnsi="Times New Roman"/>
          <w:sz w:val="18"/>
          <w:szCs w:val="18"/>
          <w:b w:val="1"/>
          <w:bCs w:val="1"/>
          <w:color w:val="auto"/>
        </w:rPr>
        <w:t>Redistributed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jc w:val="both"/>
        <w:ind w:left="1050" w:right="260" w:hanging="626"/>
        <w:spacing w:after="0" w:line="258" w:lineRule="auto"/>
        <w:tabs>
          <w:tab w:leader="none" w:pos="1050"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an Obligor and each relevant Sharing Finance Party, an amount equal to such Redistributed Amount shall be treated as not having been paid by that Obligor (and that Obligor shall be liable to such Sharing Finance Party for a debt equal to such Redistributed Amount, which debt is immediately due and payable).</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70"/>
          </w:cols>
          <w:pgMar w:left="550" w:top="267" w:right="579" w:bottom="1440" w:gutter="0" w:footer="0" w:header="0"/>
        </w:sectPr>
      </w:pPr>
    </w:p>
    <w:bookmarkStart w:id="634" w:name="page635"/>
    <w:bookmarkEnd w:id="634"/>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27.5 Exceptions</w:t>
      </w:r>
    </w:p>
    <w:p>
      <w:pPr>
        <w:spacing w:after="0" w:line="126" w:lineRule="exact"/>
        <w:rPr>
          <w:sz w:val="20"/>
          <w:szCs w:val="20"/>
          <w:color w:val="auto"/>
        </w:rPr>
      </w:pPr>
    </w:p>
    <w:p>
      <w:pPr>
        <w:ind w:left="430" w:right="100" w:hanging="430"/>
        <w:spacing w:after="0" w:line="270" w:lineRule="auto"/>
        <w:tabs>
          <w:tab w:leader="none" w:pos="430"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Clause 27 shall not apply to the extent that the Recovering Finance Party would not, after making any payment pursuant to this Clause, have a valid and enforceable claim against an Obligor.</w:t>
      </w:r>
    </w:p>
    <w:p>
      <w:pPr>
        <w:spacing w:after="0" w:line="76" w:lineRule="exact"/>
        <w:rPr>
          <w:rFonts w:ascii="Times New Roman" w:cs="Times New Roman" w:eastAsia="Times New Roman" w:hAnsi="Times New Roman"/>
          <w:sz w:val="18"/>
          <w:szCs w:val="18"/>
          <w:color w:val="auto"/>
        </w:rPr>
      </w:pPr>
    </w:p>
    <w:p>
      <w:pPr>
        <w:ind w:left="430" w:right="20" w:hanging="430"/>
        <w:spacing w:after="0" w:line="270" w:lineRule="auto"/>
        <w:tabs>
          <w:tab w:leader="none" w:pos="430"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Recovering Finance Party is not obliged to share with any other Finance Party any amount which that Recovering Finance Party has received or recovered as a result of taking legal or arbitration proceedings, if:</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notified that other Finance Party of those legal or arbitration proceedings; and</w:t>
      </w:r>
    </w:p>
    <w:p>
      <w:pPr>
        <w:spacing w:after="0" w:line="123" w:lineRule="exact"/>
        <w:rPr>
          <w:rFonts w:ascii="Times New Roman" w:cs="Times New Roman" w:eastAsia="Times New Roman" w:hAnsi="Times New Roman"/>
          <w:sz w:val="18"/>
          <w:szCs w:val="18"/>
          <w:color w:val="auto"/>
        </w:rPr>
      </w:pPr>
    </w:p>
    <w:p>
      <w:pPr>
        <w:ind w:left="1050" w:right="40" w:hanging="626"/>
        <w:spacing w:after="0" w:line="270" w:lineRule="auto"/>
        <w:tabs>
          <w:tab w:leader="none" w:pos="1050" w:val="left"/>
        </w:tabs>
        <w:numPr>
          <w:ilvl w:val="1"/>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312" w:lineRule="exact"/>
        <w:rPr>
          <w:sz w:val="20"/>
          <w:szCs w:val="20"/>
          <w:color w:val="auto"/>
        </w:rPr>
      </w:pPr>
    </w:p>
    <w:p>
      <w:pPr>
        <w:ind w:left="10" w:right="8340" w:hanging="10"/>
        <w:spacing w:after="0" w:line="406" w:lineRule="auto"/>
        <w:tabs>
          <w:tab w:leader="none" w:pos="433" w:val="left"/>
        </w:tabs>
        <w:numPr>
          <w:ilvl w:val="0"/>
          <w:numId w:val="8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 MECHANICS 28.1 Payments to the Agent</w:t>
      </w:r>
    </w:p>
    <w:p>
      <w:pPr>
        <w:spacing w:after="0" w:line="2" w:lineRule="exact"/>
        <w:rPr>
          <w:sz w:val="20"/>
          <w:szCs w:val="20"/>
          <w:color w:val="auto"/>
        </w:rPr>
      </w:pPr>
    </w:p>
    <w:p>
      <w:pPr>
        <w:jc w:val="both"/>
        <w:ind w:left="430" w:right="100" w:hanging="430"/>
        <w:spacing w:after="0" w:line="253" w:lineRule="auto"/>
        <w:tabs>
          <w:tab w:leader="none" w:pos="43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date on which an Obligor or a Lender is required to make a payment under a Finance Document, that Obligor or that Lender (as the case may be) shall make the same available to the Agent (unless a contrary indication appears in a Finance Document) for value on the due date at the time and in such funds specified by the Agent as being customary at the time for settlement (in place of settlement) of transactions in the relevant currency in the place of payment.</w:t>
      </w:r>
    </w:p>
    <w:p>
      <w:pPr>
        <w:spacing w:after="0" w:line="92" w:lineRule="exact"/>
        <w:rPr>
          <w:rFonts w:ascii="Times New Roman" w:cs="Times New Roman" w:eastAsia="Times New Roman" w:hAnsi="Times New Roman"/>
          <w:sz w:val="18"/>
          <w:szCs w:val="18"/>
          <w:color w:val="auto"/>
        </w:rPr>
      </w:pPr>
    </w:p>
    <w:p>
      <w:pPr>
        <w:ind w:left="430" w:right="420" w:hanging="430"/>
        <w:spacing w:after="0" w:line="270" w:lineRule="auto"/>
        <w:tabs>
          <w:tab w:leader="none" w:pos="43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be made to such account in the principal financial centre of the country of the currency of such payment with such bank as the Agent specifies.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of any amount made by an Obligor to the Agent in accordance with any Finance Document (including without limitation paragraph</w:t>
      </w:r>
    </w:p>
    <w:p>
      <w:pPr>
        <w:spacing w:after="0" w:line="33" w:lineRule="exact"/>
        <w:rPr>
          <w:rFonts w:ascii="Times New Roman" w:cs="Times New Roman" w:eastAsia="Times New Roman" w:hAnsi="Times New Roman"/>
          <w:sz w:val="17"/>
          <w:szCs w:val="17"/>
          <w:color w:val="auto"/>
        </w:rPr>
      </w:pPr>
    </w:p>
    <w:p>
      <w:pPr>
        <w:ind w:left="430" w:right="16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above) is made to the Agent for and on behalf of each Finance Party to whom such amount is owing. The payment of any such amount to the Agent shall not in any way affect or prejudice the separate and independent nature of the debt owing to each such Finance Party, which may be enforced individually by each such Finance Party in the event that all or part of such debt remains unpaid when due.</w:t>
      </w:r>
    </w:p>
    <w:p>
      <w:pPr>
        <w:spacing w:after="0" w:line="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28.2 Distributions by the Agent</w:t>
      </w:r>
    </w:p>
    <w:p>
      <w:pPr>
        <w:spacing w:after="0" w:line="126" w:lineRule="exact"/>
        <w:rPr>
          <w:sz w:val="20"/>
          <w:szCs w:val="20"/>
          <w:color w:val="auto"/>
        </w:rPr>
      </w:pPr>
    </w:p>
    <w:p>
      <w:pPr>
        <w:ind w:left="430" w:right="120" w:hanging="430"/>
        <w:spacing w:after="0" w:line="265" w:lineRule="auto"/>
        <w:tabs>
          <w:tab w:leader="none" w:pos="430" w:val="left"/>
        </w:tabs>
        <w:numPr>
          <w:ilvl w:val="0"/>
          <w:numId w:val="8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payment received or recovered by the Agent under any Finance Documents for another Party shall, subject to Clause 28.3 (Distributions to the ), Clause 28.4 (Clawback), Clause 28.6 (Partial payments) and Clause 26.16 (Deduction from amounts payable by the Agent), be made available by the Agent as soon as practicable after receipt or recovery to the Party entitled to receive payment in accordance with this Agreement (in the case of a Lender, for the account of its Facility Office), to such account as that Party may notify to the Agent by not less than five</w:t>
      </w: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Business Days’ notice with a bank in the principal financial centre of the country of the currency of such payment.</w:t>
      </w:r>
    </w:p>
    <w:p>
      <w:pPr>
        <w:spacing w:after="0" w:line="106" w:lineRule="exact"/>
        <w:rPr>
          <w:rFonts w:ascii="Times New Roman" w:cs="Times New Roman" w:eastAsia="Times New Roman" w:hAnsi="Times New Roman"/>
          <w:sz w:val="17"/>
          <w:szCs w:val="17"/>
          <w:color w:val="auto"/>
        </w:rPr>
      </w:pPr>
    </w:p>
    <w:p>
      <w:pPr>
        <w:ind w:left="430" w:right="20" w:hanging="430"/>
        <w:spacing w:after="0" w:line="253" w:lineRule="auto"/>
        <w:tabs>
          <w:tab w:leader="none" w:pos="43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distribute payments received or recovered by it in relation to all or any part of a Loan to the applicable Lender(s) indicated in the records of the Agent as being so entitled on the applicable date, </w:t>
      </w:r>
      <w:r>
        <w:rPr>
          <w:rFonts w:ascii="Times New Roman" w:cs="Times New Roman" w:eastAsia="Times New Roman" w:hAnsi="Times New Roman"/>
          <w:sz w:val="18"/>
          <w:szCs w:val="18"/>
          <w:b w:val="1"/>
          <w:bCs w:val="1"/>
          <w:color w:val="auto"/>
        </w:rPr>
        <w:t>provided that</w:t>
      </w:r>
      <w:r>
        <w:rPr>
          <w:rFonts w:ascii="Times New Roman" w:cs="Times New Roman" w:eastAsia="Times New Roman" w:hAnsi="Times New Roman"/>
          <w:sz w:val="18"/>
          <w:szCs w:val="18"/>
          <w:color w:val="auto"/>
        </w:rPr>
        <w:t xml:space="preserve"> the Agent is authorised to distribute payments to be made on the date on which any assignment or transfer becomes effective pursuant to Clause 23 (Changes to the Lenders) to the applicable Lender(s) so entitled immediately before such assignment or transfer took place regardless of the period to which such payments relate.</w:t>
      </w:r>
    </w:p>
    <w:p>
      <w:pPr>
        <w:spacing w:after="0" w:line="92" w:lineRule="exact"/>
        <w:rPr>
          <w:rFonts w:ascii="Times New Roman" w:cs="Times New Roman" w:eastAsia="Times New Roman" w:hAnsi="Times New Roman"/>
          <w:sz w:val="18"/>
          <w:szCs w:val="18"/>
          <w:color w:val="auto"/>
        </w:rPr>
      </w:pPr>
    </w:p>
    <w:p>
      <w:pPr>
        <w:ind w:left="430" w:right="380" w:hanging="430"/>
        <w:spacing w:after="0" w:line="270" w:lineRule="auto"/>
        <w:tabs>
          <w:tab w:leader="none" w:pos="430"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not under any obligation to make payment to any Finance Party on account of any amount owing by an Obligor to such Finance Party in the same currency as that in which such latter-mentioned amount is denominated.</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28.3 Distributions to the Obligors</w:t>
      </w:r>
    </w:p>
    <w:p>
      <w:pPr>
        <w:spacing w:after="0" w:line="112" w:lineRule="exact"/>
        <w:rPr>
          <w:sz w:val="20"/>
          <w:szCs w:val="20"/>
          <w:color w:val="auto"/>
        </w:rPr>
      </w:pPr>
    </w:p>
    <w:p>
      <w:pPr>
        <w:ind w:left="430" w:right="140"/>
        <w:spacing w:after="0" w:line="258" w:lineRule="auto"/>
        <w:rPr>
          <w:sz w:val="20"/>
          <w:szCs w:val="20"/>
          <w:color w:val="auto"/>
        </w:rPr>
      </w:pPr>
      <w:r>
        <w:rPr>
          <w:rFonts w:ascii="Times New Roman" w:cs="Times New Roman" w:eastAsia="Times New Roman" w:hAnsi="Times New Roman"/>
          <w:sz w:val="18"/>
          <w:szCs w:val="18"/>
          <w:color w:val="auto"/>
        </w:rPr>
        <w:t>The Agent may (with the consent of the relevant Obligor or in accordance with Clause 29 (Set-Off)) apply any amount received by it for the an Obligor in or towards payment (on the date and in the currency and funds of receipt) of any amount due from that Obligor under any or all of the Finance Documents or in or towards purchase of any amount of any currency to be so applied.</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28.4 Clawback</w:t>
      </w:r>
    </w:p>
    <w:p>
      <w:pPr>
        <w:spacing w:after="0" w:line="126" w:lineRule="exact"/>
        <w:rPr>
          <w:sz w:val="20"/>
          <w:szCs w:val="20"/>
          <w:color w:val="auto"/>
        </w:rPr>
      </w:pPr>
    </w:p>
    <w:p>
      <w:pPr>
        <w:jc w:val="both"/>
        <w:ind w:left="430" w:hanging="430"/>
        <w:spacing w:after="0" w:line="300" w:lineRule="auto"/>
        <w:tabs>
          <w:tab w:leader="none" w:pos="430" w:val="left"/>
        </w:tabs>
        <w:numPr>
          <w:ilvl w:val="0"/>
          <w:numId w:val="8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770"/>
          </w:cols>
          <w:pgMar w:left="550" w:top="264" w:right="579" w:bottom="1440" w:gutter="0" w:footer="0" w:header="0"/>
        </w:sectPr>
      </w:pPr>
    </w:p>
    <w:bookmarkStart w:id="635" w:name="page636"/>
    <w:bookmarkEnd w:id="635"/>
    <w:p>
      <w:pPr>
        <w:ind w:left="430" w:hanging="430"/>
        <w:spacing w:after="0" w:line="253" w:lineRule="auto"/>
        <w:tabs>
          <w:tab w:leader="none" w:pos="430"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To the extent that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28.5 Impaired Agent</w:t>
      </w:r>
    </w:p>
    <w:p>
      <w:pPr>
        <w:spacing w:after="0" w:line="126" w:lineRule="exact"/>
        <w:rPr>
          <w:sz w:val="20"/>
          <w:szCs w:val="20"/>
          <w:color w:val="auto"/>
        </w:rPr>
      </w:pPr>
    </w:p>
    <w:p>
      <w:pPr>
        <w:ind w:left="430" w:right="400" w:hanging="430"/>
        <w:spacing w:after="0" w:line="300" w:lineRule="auto"/>
        <w:tabs>
          <w:tab w:leader="none" w:pos="430" w:val="left"/>
        </w:tabs>
        <w:numPr>
          <w:ilvl w:val="0"/>
          <w:numId w:val="8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Agent becomes an Impaired Agent, an Obligor or a Lender which is required to make a payment under any of the Finance Documents to the Agent for the account of any person in accordance with Clause 28.1 (Payments to the Agent) may instead either:</w:t>
      </w:r>
    </w:p>
    <w:p>
      <w:pPr>
        <w:spacing w:after="0" w:line="53"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amount direct to such person; or</w:t>
      </w:r>
    </w:p>
    <w:p>
      <w:pPr>
        <w:spacing w:after="0" w:line="123" w:lineRule="exact"/>
        <w:rPr>
          <w:rFonts w:ascii="Times New Roman" w:cs="Times New Roman" w:eastAsia="Times New Roman" w:hAnsi="Times New Roman"/>
          <w:sz w:val="18"/>
          <w:szCs w:val="18"/>
          <w:color w:val="auto"/>
        </w:rPr>
      </w:pPr>
    </w:p>
    <w:p>
      <w:pPr>
        <w:ind w:left="1050" w:right="80" w:hanging="626"/>
        <w:spacing w:after="0" w:line="251" w:lineRule="auto"/>
        <w:tabs>
          <w:tab w:leader="none" w:pos="1050" w:val="left"/>
        </w:tabs>
        <w:numPr>
          <w:ilvl w:val="1"/>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its absolute discretion it considers that it is not reasonably practicable to pay that amount direct to such person) pay that amount (or the applicable part thereof payable to such person) to an interest-bearing account held with an Acceptable Bank and in relation to which no Insolvency Event has occurred and is continuing, in the name of the Borrower(s) or the Lender making that payment (the </w:t>
      </w:r>
      <w:r>
        <w:rPr>
          <w:rFonts w:ascii="Times New Roman" w:cs="Times New Roman" w:eastAsia="Times New Roman" w:hAnsi="Times New Roman"/>
          <w:sz w:val="18"/>
          <w:szCs w:val="18"/>
          <w:b w:val="1"/>
          <w:b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designated as a trust account for the benefit of the Party or Parties beneficially entitled to that payment under the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(the </w:t>
      </w:r>
      <w:r>
        <w:rPr>
          <w:rFonts w:ascii="Times New Roman" w:cs="Times New Roman" w:eastAsia="Times New Roman" w:hAnsi="Times New Roman"/>
          <w:sz w:val="18"/>
          <w:szCs w:val="18"/>
          <w:b w:val="1"/>
          <w:bCs w:val="1"/>
          <w:color w:val="auto"/>
        </w:rPr>
        <w:t>Recipient Party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Recipient Parties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30" w:right="360"/>
        <w:spacing w:after="0" w:line="254" w:lineRule="auto"/>
        <w:rPr>
          <w:sz w:val="20"/>
          <w:szCs w:val="20"/>
          <w:color w:val="auto"/>
        </w:rPr>
      </w:pPr>
      <w:r>
        <w:rPr>
          <w:rFonts w:ascii="Times New Roman" w:cs="Times New Roman" w:eastAsia="Times New Roman" w:hAnsi="Times New Roman"/>
          <w:sz w:val="18"/>
          <w:szCs w:val="18"/>
          <w:color w:val="auto"/>
        </w:rPr>
        <w:t xml:space="preserve">and in each case such payments must be made on the due date for payment under the Finance Documents. </w:t>
      </w:r>
      <w:r>
        <w:rPr>
          <w:rFonts w:ascii="Times New Roman" w:cs="Times New Roman" w:eastAsia="Times New Roman" w:hAnsi="Times New Roman"/>
          <w:sz w:val="18"/>
          <w:szCs w:val="18"/>
          <w:b w:val="1"/>
          <w:bCs w:val="1"/>
          <w:color w:val="auto"/>
        </w:rPr>
        <w:t>Acceptable Bank</w:t>
      </w:r>
      <w:r>
        <w:rPr>
          <w:rFonts w:ascii="Times New Roman" w:cs="Times New Roman" w:eastAsia="Times New Roman" w:hAnsi="Times New Roman"/>
          <w:sz w:val="18"/>
          <w:szCs w:val="18"/>
          <w:color w:val="auto"/>
        </w:rPr>
        <w:t xml:space="preserve"> means a bank or financial institution which has a rating for its long-term unsecured and non credit-enhanced debt obligations of BBB or higher by Standard &amp; Poor’s Rating Services or Fitch Ratings Ltd or Baa2 or higher by Moody’s Investor Services Limited or a comparable rating from an internationally recognised credit rating agency.</w:t>
      </w:r>
    </w:p>
    <w:p>
      <w:pPr>
        <w:spacing w:after="0" w:line="91" w:lineRule="exact"/>
        <w:rPr>
          <w:sz w:val="20"/>
          <w:szCs w:val="20"/>
          <w:color w:val="auto"/>
        </w:rPr>
      </w:pPr>
    </w:p>
    <w:p>
      <w:pPr>
        <w:ind w:left="430" w:right="260" w:hanging="430"/>
        <w:spacing w:after="0" w:line="270" w:lineRule="auto"/>
        <w:tabs>
          <w:tab w:leader="none" w:pos="430" w:val="left"/>
        </w:tabs>
        <w:numPr>
          <w:ilvl w:val="0"/>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accrued on any amount standing to the credit of that trust account shall be for the benefit of the Recipient Party or Recipient Parties pro rata to their respective entitlements to such amount.</w:t>
      </w:r>
    </w:p>
    <w:p>
      <w:pPr>
        <w:spacing w:after="0" w:line="76" w:lineRule="exact"/>
        <w:rPr>
          <w:rFonts w:ascii="Times New Roman" w:cs="Times New Roman" w:eastAsia="Times New Roman" w:hAnsi="Times New Roman"/>
          <w:sz w:val="18"/>
          <w:szCs w:val="18"/>
          <w:color w:val="auto"/>
        </w:rPr>
      </w:pPr>
    </w:p>
    <w:p>
      <w:pPr>
        <w:ind w:left="430" w:right="240" w:hanging="430"/>
        <w:spacing w:after="0" w:line="300" w:lineRule="auto"/>
        <w:tabs>
          <w:tab w:leader="none" w:pos="430" w:val="left"/>
        </w:tabs>
        <w:numPr>
          <w:ilvl w:val="0"/>
          <w:numId w:val="8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Party which has made a payment in accordance with this Clause 28.5 shall be discharged of the applicable obligations to make such payment under the Finance Documents and shall not take any credit risk with respect to the amounts standing to the credit of that trust account.</w:t>
      </w:r>
    </w:p>
    <w:p>
      <w:pPr>
        <w:spacing w:after="0" w:line="53" w:lineRule="exact"/>
        <w:rPr>
          <w:rFonts w:ascii="Times New Roman" w:cs="Times New Roman" w:eastAsia="Times New Roman" w:hAnsi="Times New Roman"/>
          <w:sz w:val="17"/>
          <w:szCs w:val="17"/>
          <w:color w:val="auto"/>
        </w:rPr>
      </w:pPr>
    </w:p>
    <w:p>
      <w:pPr>
        <w:ind w:left="430" w:hanging="430"/>
        <w:spacing w:after="0" w:line="253" w:lineRule="auto"/>
        <w:tabs>
          <w:tab w:leader="none" w:pos="430" w:val="left"/>
        </w:tabs>
        <w:numPr>
          <w:ilvl w:val="0"/>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appointment of a successor Agent, each Paying Party which has made a payment to a trust account in accordance with this Clause 28.5 (other than to the extent that such Paying Party has given an instruction pursuant to paragraph (e) below with respect to such trust account) shall give all requisite instructions to the bank with whom that trust account is held to transfer the amount of such payment (together with any accrued interest thereon) to the successor Agent for distribution in accordance with Clause 28.2 (Distributions by the Agent).</w:t>
      </w:r>
    </w:p>
    <w:p>
      <w:pPr>
        <w:spacing w:after="0" w:line="92" w:lineRule="exact"/>
        <w:rPr>
          <w:rFonts w:ascii="Times New Roman" w:cs="Times New Roman" w:eastAsia="Times New Roman" w:hAnsi="Times New Roman"/>
          <w:sz w:val="18"/>
          <w:szCs w:val="18"/>
          <w:color w:val="auto"/>
        </w:rPr>
      </w:pPr>
    </w:p>
    <w:p>
      <w:pPr>
        <w:ind w:left="430" w:right="320" w:hanging="430"/>
        <w:spacing w:after="0" w:line="270" w:lineRule="auto"/>
        <w:tabs>
          <w:tab w:leader="none" w:pos="430" w:val="left"/>
        </w:tabs>
        <w:numPr>
          <w:ilvl w:val="0"/>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Paying Party which has made a payment to a trust account (on account of any amount payable by such Paying Party to a Recipient Party) in accordance with this Clause 28.5 shall, promptly upon request by that Recipient Party and to the extent:</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not given an instruction pursuant to paragraph (d) above (with respect to such trust account); and</w:t>
      </w:r>
    </w:p>
    <w:p>
      <w:pPr>
        <w:spacing w:after="0" w:line="123" w:lineRule="exact"/>
        <w:rPr>
          <w:rFonts w:ascii="Times New Roman" w:cs="Times New Roman" w:eastAsia="Times New Roman" w:hAnsi="Times New Roman"/>
          <w:sz w:val="18"/>
          <w:szCs w:val="18"/>
          <w:color w:val="auto"/>
        </w:rPr>
      </w:pPr>
    </w:p>
    <w:p>
      <w:pPr>
        <w:jc w:val="both"/>
        <w:ind w:left="1050" w:right="280" w:hanging="626"/>
        <w:spacing w:after="0" w:line="258" w:lineRule="auto"/>
        <w:tabs>
          <w:tab w:leader="none" w:pos="105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been provided with the necessary information by that Recipient Party, give all requisite instructions to the bank with whom such trust account is held to transfer such amount (so paid into and held in such account) together with any accrued interest thereon to that Recipient Party.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28.6 Partial payments</w:t>
      </w:r>
    </w:p>
    <w:p>
      <w:pPr>
        <w:spacing w:after="0" w:line="126" w:lineRule="exact"/>
        <w:rPr>
          <w:sz w:val="20"/>
          <w:szCs w:val="20"/>
          <w:color w:val="auto"/>
        </w:rPr>
      </w:pPr>
    </w:p>
    <w:p>
      <w:pPr>
        <w:ind w:left="430" w:right="20" w:hanging="430"/>
        <w:spacing w:after="0" w:line="258" w:lineRule="auto"/>
        <w:tabs>
          <w:tab w:leader="none" w:pos="430" w:val="left"/>
        </w:tabs>
        <w:numPr>
          <w:ilvl w:val="0"/>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Agent receives or recovers an amount from or in respect of an Obligor under or in connection with any Finance Document which amount is insufficient to, or is not applied to, discharge all the amounts then due and payable by the Borrower(s) under the Finance Documents, such amount shall be applied towards the obligations of that Obligor under the Finance Documents, in the following order:</w:t>
      </w:r>
    </w:p>
    <w:p>
      <w:pPr>
        <w:spacing w:after="0" w:line="85" w:lineRule="exact"/>
        <w:rPr>
          <w:rFonts w:ascii="Times New Roman" w:cs="Times New Roman" w:eastAsia="Times New Roman" w:hAnsi="Times New Roman"/>
          <w:sz w:val="18"/>
          <w:szCs w:val="18"/>
          <w:color w:val="auto"/>
        </w:rPr>
      </w:pPr>
    </w:p>
    <w:p>
      <w:pPr>
        <w:ind w:left="1050" w:right="60" w:hanging="626"/>
        <w:spacing w:after="0" w:line="270" w:lineRule="auto"/>
        <w:tabs>
          <w:tab w:leader="none" w:pos="1050" w:val="left"/>
        </w:tabs>
        <w:numPr>
          <w:ilvl w:val="1"/>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 or towards payment pro rata of any unpaid fees, costs and expenses of, and other amounts owing to, any Administrative Party (in each case for its own account) under the Finance Documents;</w:t>
      </w:r>
    </w:p>
    <w:p>
      <w:pPr>
        <w:spacing w:after="0" w:line="76" w:lineRule="exact"/>
        <w:rPr>
          <w:rFonts w:ascii="Times New Roman" w:cs="Times New Roman" w:eastAsia="Times New Roman" w:hAnsi="Times New Roman"/>
          <w:sz w:val="18"/>
          <w:szCs w:val="18"/>
          <w:color w:val="auto"/>
        </w:rPr>
      </w:pPr>
    </w:p>
    <w:p>
      <w:pPr>
        <w:ind w:left="1050" w:right="280" w:hanging="626"/>
        <w:spacing w:after="0" w:line="270" w:lineRule="auto"/>
        <w:tabs>
          <w:tab w:leader="none" w:pos="1050" w:val="left"/>
        </w:tabs>
        <w:numPr>
          <w:ilvl w:val="1"/>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secondly, in or towards payment pro rata of any accrued interest, fee (other than as provided in paragraph (a)(i) above) or commission due to any or all of the Finance Parties but unpaid under the Finance Documents;</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thirdly, in or towards payment pro rata of any principal due but unpaid under this Agreement; and</w:t>
      </w:r>
    </w:p>
    <w:p>
      <w:pPr>
        <w:spacing w:after="0" w:line="123" w:lineRule="exact"/>
        <w:rPr>
          <w:rFonts w:ascii="Times New Roman" w:cs="Times New Roman" w:eastAsia="Times New Roman" w:hAnsi="Times New Roman"/>
          <w:sz w:val="18"/>
          <w:szCs w:val="18"/>
          <w:color w:val="auto"/>
        </w:rPr>
      </w:pPr>
    </w:p>
    <w:p>
      <w:pPr>
        <w:ind w:left="1050" w:right="800" w:hanging="626"/>
        <w:spacing w:after="0" w:line="270" w:lineRule="auto"/>
        <w:tabs>
          <w:tab w:leader="none" w:pos="1050" w:val="left"/>
        </w:tabs>
        <w:numPr>
          <w:ilvl w:val="1"/>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fourthly, in or towards payment pro rata of any other sum due to any or all of the Finance Parties but unpaid under the Finance Documents.</w:t>
      </w:r>
    </w:p>
    <w:p>
      <w:pPr>
        <w:spacing w:after="0" w:line="7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if so directed by the Majority Lenders, vary the order set out in paragraphs (a)(ii) to (iv) above.</w:t>
      </w:r>
    </w:p>
    <w:p>
      <w:pPr>
        <w:spacing w:after="0" w:line="15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70"/>
          </w:cols>
          <w:pgMar w:left="550" w:top="267" w:right="579" w:bottom="1440" w:gutter="0" w:footer="0" w:header="0"/>
        </w:sectPr>
      </w:pPr>
    </w:p>
    <w:bookmarkStart w:id="636" w:name="page637"/>
    <w:bookmarkEnd w:id="636"/>
    <w:p>
      <w:pPr>
        <w:ind w:left="430" w:hanging="430"/>
        <w:spacing w:after="0"/>
        <w:tabs>
          <w:tab w:leader="none" w:pos="430" w:val="left"/>
        </w:tabs>
        <w:numPr>
          <w:ilvl w:val="0"/>
          <w:numId w:val="8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7">
                      <a:extLst>
                        <a:ext uri="{28A0092B-C50C-407E-A947-70E740481C1C}"/>
                      </a:extLst>
                    </a:blip>
                    <a:srcRect/>
                    <a:stretch>
                      <a:fillRect/>
                    </a:stretch>
                  </pic:blipFill>
                  <pic:spPr bwMode="auto">
                    <a:xfrm>
                      <a:off x="0" y="0"/>
                      <a:ext cx="7177405" cy="38100"/>
                    </a:xfrm>
                    <a:prstGeom prst="rect">
                      <a:avLst/>
                    </a:prstGeom>
                    <a:noFill/>
                  </pic:spPr>
                </pic:pic>
              </a:graphicData>
            </a:graphic>
          </wp:anchor>
        </w:drawing>
        <w:t>Paragraphs (a) and (b) above will override any appropriation made by any Obligor.</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28.7 No set-off by the Obligors</w:t>
      </w:r>
    </w:p>
    <w:p>
      <w:pPr>
        <w:spacing w:after="0" w:line="112" w:lineRule="exact"/>
        <w:rPr>
          <w:sz w:val="20"/>
          <w:szCs w:val="20"/>
          <w:color w:val="auto"/>
        </w:rPr>
      </w:pPr>
    </w:p>
    <w:p>
      <w:pPr>
        <w:ind w:left="430" w:right="80"/>
        <w:spacing w:after="0" w:line="270" w:lineRule="auto"/>
        <w:rPr>
          <w:sz w:val="20"/>
          <w:szCs w:val="20"/>
          <w:color w:val="auto"/>
        </w:rPr>
      </w:pPr>
      <w:r>
        <w:rPr>
          <w:rFonts w:ascii="Times New Roman" w:cs="Times New Roman" w:eastAsia="Times New Roman" w:hAnsi="Times New Roman"/>
          <w:sz w:val="18"/>
          <w:szCs w:val="18"/>
          <w:color w:val="auto"/>
        </w:rPr>
        <w:t>All payments to be made by an Obligor under any or all of the Finance Documents shall be calculated and be made without (and free and clear of any deduction for) set-off or counterclaim.</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28.8 Business Days</w:t>
      </w:r>
    </w:p>
    <w:p>
      <w:pPr>
        <w:spacing w:after="0" w:line="126" w:lineRule="exact"/>
        <w:rPr>
          <w:sz w:val="20"/>
          <w:szCs w:val="20"/>
          <w:color w:val="auto"/>
        </w:rPr>
      </w:pPr>
    </w:p>
    <w:p>
      <w:pPr>
        <w:ind w:left="430" w:right="160" w:hanging="430"/>
        <w:spacing w:after="0" w:line="270" w:lineRule="auto"/>
        <w:tabs>
          <w:tab w:leader="none" w:pos="430"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which is due to be made under a Finance Document on a day that is not a Business Day shall be made on the next Business Day in the same calendar month (if there is one) or the preceding Business Day (if there is not).</w:t>
      </w:r>
    </w:p>
    <w:p>
      <w:pPr>
        <w:spacing w:after="0" w:line="76" w:lineRule="exact"/>
        <w:rPr>
          <w:rFonts w:ascii="Times New Roman" w:cs="Times New Roman" w:eastAsia="Times New Roman" w:hAnsi="Times New Roman"/>
          <w:sz w:val="18"/>
          <w:szCs w:val="18"/>
          <w:color w:val="auto"/>
        </w:rPr>
      </w:pPr>
    </w:p>
    <w:p>
      <w:pPr>
        <w:ind w:left="430" w:right="340" w:hanging="430"/>
        <w:spacing w:after="0" w:line="270" w:lineRule="auto"/>
        <w:tabs>
          <w:tab w:leader="none" w:pos="430"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extension of the due date for payment of any principal or Unpaid Sum pursuant to paragraph (a) above, interest is payable on such principal or Unpaid Sum at the rate applicable on the original due date.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28.9 Currency of account</w:t>
      </w:r>
    </w:p>
    <w:p>
      <w:pPr>
        <w:spacing w:after="0" w:line="126" w:lineRule="exact"/>
        <w:rPr>
          <w:sz w:val="20"/>
          <w:szCs w:val="20"/>
          <w:color w:val="auto"/>
        </w:rPr>
      </w:pPr>
    </w:p>
    <w:p>
      <w:pPr>
        <w:ind w:left="430" w:hanging="430"/>
        <w:spacing w:after="0"/>
        <w:tabs>
          <w:tab w:leader="none" w:pos="430" w:val="left"/>
        </w:tabs>
        <w:numPr>
          <w:ilvl w:val="0"/>
          <w:numId w:val="8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paragraphs (b) to (c) below, euro is the currency of account and payment for any sum from an Obligor under any Finance Document.</w:t>
      </w:r>
    </w:p>
    <w:p>
      <w:pPr>
        <w:spacing w:after="0" w:line="135" w:lineRule="exact"/>
        <w:rPr>
          <w:rFonts w:ascii="Times New Roman" w:cs="Times New Roman" w:eastAsia="Times New Roman" w:hAnsi="Times New Roman"/>
          <w:sz w:val="17"/>
          <w:szCs w:val="17"/>
          <w:color w:val="auto"/>
        </w:rPr>
      </w:pPr>
    </w:p>
    <w:p>
      <w:pPr>
        <w:ind w:left="430" w:hanging="430"/>
        <w:spacing w:after="0"/>
        <w:tabs>
          <w:tab w:leader="none" w:pos="430" w:val="left"/>
        </w:tabs>
        <w:numPr>
          <w:ilvl w:val="0"/>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in respect of costs, expenses or Taxes shall be made in the currency in which such costs, expenses or Taxes are incurred.</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expressed to be payable in a currency other than euro shall be paid in that other currency.</w:t>
      </w:r>
    </w:p>
    <w:p>
      <w:pPr>
        <w:spacing w:after="0" w:line="1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28.10 Change of currency</w:t>
      </w:r>
    </w:p>
    <w:p>
      <w:pPr>
        <w:spacing w:after="0" w:line="126" w:lineRule="exact"/>
        <w:rPr>
          <w:sz w:val="20"/>
          <w:szCs w:val="20"/>
          <w:color w:val="auto"/>
        </w:rPr>
      </w:pPr>
    </w:p>
    <w:p>
      <w:pPr>
        <w:ind w:left="430" w:right="60" w:hanging="430"/>
        <w:spacing w:after="0" w:line="270" w:lineRule="auto"/>
        <w:tabs>
          <w:tab w:leader="none" w:pos="430"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prohibited by law, if more than one currency or currency unit are at the same time recognised by the central bank of any country as the lawful currency of that country, then:</w:t>
      </w:r>
    </w:p>
    <w:p>
      <w:pPr>
        <w:spacing w:after="0" w:line="76" w:lineRule="exact"/>
        <w:rPr>
          <w:rFonts w:ascii="Times New Roman" w:cs="Times New Roman" w:eastAsia="Times New Roman" w:hAnsi="Times New Roman"/>
          <w:sz w:val="18"/>
          <w:szCs w:val="18"/>
          <w:color w:val="auto"/>
        </w:rPr>
      </w:pPr>
    </w:p>
    <w:p>
      <w:pPr>
        <w:ind w:left="1050" w:right="320" w:hanging="626"/>
        <w:spacing w:after="0" w:line="258" w:lineRule="auto"/>
        <w:tabs>
          <w:tab w:leader="none" w:pos="1050" w:val="left"/>
        </w:tabs>
        <w:numPr>
          <w:ilvl w:val="1"/>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Borrower(s)); and</w:t>
      </w:r>
    </w:p>
    <w:p>
      <w:pPr>
        <w:spacing w:after="0" w:line="85"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1"/>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76" w:lineRule="exact"/>
        <w:rPr>
          <w:rFonts w:ascii="Times New Roman" w:cs="Times New Roman" w:eastAsia="Times New Roman" w:hAnsi="Times New Roman"/>
          <w:sz w:val="18"/>
          <w:szCs w:val="18"/>
          <w:color w:val="auto"/>
        </w:rPr>
      </w:pPr>
    </w:p>
    <w:p>
      <w:pPr>
        <w:ind w:left="430" w:right="320" w:hanging="430"/>
        <w:spacing w:after="0" w:line="258" w:lineRule="auto"/>
        <w:tabs>
          <w:tab w:leader="none" w:pos="430"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any currency of a country occurs, this Agreement will, to the extent the Agent (acting reasonably and after consultation with the Borrower(s)) specifies to be necessary, be amended to comply with any generally accepted conventions and market practice in the Relevant Market and otherwise to reflect the change in currency.</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28.11 Disruption to payment systems etc.</w:t>
      </w:r>
    </w:p>
    <w:p>
      <w:pPr>
        <w:spacing w:after="0" w:line="112" w:lineRule="exact"/>
        <w:rPr>
          <w:sz w:val="20"/>
          <w:szCs w:val="20"/>
          <w:color w:val="auto"/>
        </w:rPr>
      </w:pPr>
    </w:p>
    <w:p>
      <w:pPr>
        <w:ind w:left="430" w:right="60"/>
        <w:spacing w:after="0" w:line="270" w:lineRule="auto"/>
        <w:rPr>
          <w:sz w:val="20"/>
          <w:szCs w:val="20"/>
          <w:color w:val="auto"/>
        </w:rPr>
      </w:pPr>
      <w:r>
        <w:rPr>
          <w:rFonts w:ascii="Times New Roman" w:cs="Times New Roman" w:eastAsia="Times New Roman" w:hAnsi="Times New Roman"/>
          <w:sz w:val="18"/>
          <w:szCs w:val="18"/>
          <w:color w:val="auto"/>
        </w:rPr>
        <w:t>If either the Agent determines (in its discretion) that a Disruption Event has occurred or the Agent is notified by the Borrower(s) that a Disruption Event has occurred:</w:t>
      </w:r>
    </w:p>
    <w:p>
      <w:pPr>
        <w:spacing w:after="0" w:line="76" w:lineRule="exact"/>
        <w:rPr>
          <w:sz w:val="20"/>
          <w:szCs w:val="20"/>
          <w:color w:val="auto"/>
        </w:rPr>
      </w:pPr>
    </w:p>
    <w:p>
      <w:pPr>
        <w:ind w:left="1050" w:right="480" w:hanging="626"/>
        <w:spacing w:after="0" w:line="300" w:lineRule="auto"/>
        <w:tabs>
          <w:tab w:leader="none" w:pos="1050" w:val="left"/>
        </w:tabs>
        <w:numPr>
          <w:ilvl w:val="0"/>
          <w:numId w:val="8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may, and shall if requested to do so by the Borrower(s), consult with the Borrower(s) with a view to agreeing with the Borrower(s) such changes to the operation or administration of the Facility as the Agent may deem necessary in the circumstances;</w:t>
      </w:r>
    </w:p>
    <w:p>
      <w:pPr>
        <w:spacing w:after="0" w:line="53" w:lineRule="exact"/>
        <w:rPr>
          <w:rFonts w:ascii="Times New Roman" w:cs="Times New Roman" w:eastAsia="Times New Roman" w:hAnsi="Times New Roman"/>
          <w:sz w:val="17"/>
          <w:szCs w:val="17"/>
          <w:color w:val="auto"/>
        </w:rPr>
      </w:pPr>
    </w:p>
    <w:p>
      <w:pPr>
        <w:ind w:left="1050" w:right="480" w:hanging="626"/>
        <w:spacing w:after="0" w:line="300" w:lineRule="auto"/>
        <w:tabs>
          <w:tab w:leader="none" w:pos="1050" w:val="left"/>
        </w:tabs>
        <w:numPr>
          <w:ilvl w:val="0"/>
          <w:numId w:val="8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53" w:lineRule="exact"/>
        <w:rPr>
          <w:rFonts w:ascii="Times New Roman" w:cs="Times New Roman" w:eastAsia="Times New Roman" w:hAnsi="Times New Roman"/>
          <w:sz w:val="17"/>
          <w:szCs w:val="17"/>
          <w:color w:val="auto"/>
        </w:rPr>
      </w:pPr>
    </w:p>
    <w:p>
      <w:pPr>
        <w:ind w:left="1050" w:hanging="626"/>
        <w:spacing w:after="0" w:line="270" w:lineRule="auto"/>
        <w:tabs>
          <w:tab w:leader="none" w:pos="1050"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76" w:lineRule="exact"/>
        <w:rPr>
          <w:rFonts w:ascii="Times New Roman" w:cs="Times New Roman" w:eastAsia="Times New Roman" w:hAnsi="Times New Roman"/>
          <w:sz w:val="18"/>
          <w:szCs w:val="18"/>
          <w:color w:val="auto"/>
        </w:rPr>
      </w:pPr>
    </w:p>
    <w:p>
      <w:pPr>
        <w:ind w:left="1050" w:right="40" w:hanging="626"/>
        <w:spacing w:after="0" w:line="258" w:lineRule="auto"/>
        <w:tabs>
          <w:tab w:leader="none" w:pos="1050"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changes agreed upon by the Agent and the Borrower(s) shall (whether or not it is finally determined that a Disruption Event has occurred) be binding upon the Parties as an amendment to (or, as the case may be, waiver of) the terms of the Finance Documents notwithstanding the provisions of Clause 34 (Amendments and Waivers);</w:t>
      </w:r>
    </w:p>
    <w:p>
      <w:pPr>
        <w:spacing w:after="0" w:line="85" w:lineRule="exact"/>
        <w:rPr>
          <w:rFonts w:ascii="Times New Roman" w:cs="Times New Roman" w:eastAsia="Times New Roman" w:hAnsi="Times New Roman"/>
          <w:sz w:val="18"/>
          <w:szCs w:val="18"/>
          <w:color w:val="auto"/>
        </w:rPr>
      </w:pPr>
    </w:p>
    <w:p>
      <w:pPr>
        <w:ind w:left="1050" w:right="160" w:hanging="626"/>
        <w:spacing w:after="0" w:line="280" w:lineRule="auto"/>
        <w:tabs>
          <w:tab w:leader="none" w:pos="1050" w:val="left"/>
        </w:tabs>
        <w:numPr>
          <w:ilvl w:val="0"/>
          <w:numId w:val="8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arising as a result of its taking, or failing to take, any actions pursuant to or in connection with this Clause 28.11; and</w:t>
      </w:r>
    </w:p>
    <w:p>
      <w:pPr>
        <w:spacing w:after="0" w:line="69"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notify the Finance Parties of all changes agreed pursuant to paragraph (d) above.</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70"/>
          </w:cols>
          <w:pgMar w:left="550" w:top="267" w:right="579" w:bottom="1440" w:gutter="0" w:footer="0" w:header="0"/>
        </w:sectPr>
      </w:pPr>
    </w:p>
    <w:bookmarkStart w:id="637" w:name="page638"/>
    <w:bookmarkEnd w:id="637"/>
    <w:p>
      <w:pPr>
        <w:ind w:left="430" w:hanging="430"/>
        <w:spacing w:after="0"/>
        <w:tabs>
          <w:tab w:leader="none" w:pos="430" w:val="left"/>
        </w:tabs>
        <w:numPr>
          <w:ilvl w:val="0"/>
          <w:numId w:val="8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SET-OFF</w:t>
      </w:r>
    </w:p>
    <w:p>
      <w:pPr>
        <w:spacing w:after="0" w:line="112" w:lineRule="exact"/>
        <w:rPr>
          <w:rFonts w:ascii="Times New Roman" w:cs="Times New Roman" w:eastAsia="Times New Roman" w:hAnsi="Times New Roman"/>
          <w:sz w:val="18"/>
          <w:szCs w:val="18"/>
          <w:b w:val="1"/>
          <w:bCs w:val="1"/>
          <w:color w:val="auto"/>
        </w:rPr>
      </w:pPr>
    </w:p>
    <w:p>
      <w:pPr>
        <w:ind w:left="430" w:right="12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so long as an Event of Default is continuing, a Finance Party may set off any matured obligation due from an Obligor under any or all of the Finance Documents (to the extent beneficially owned by that Finance Party) against any matured obligation owed by that Finance Party to that Obligor, regardless of the place of payment, booking branch or currency of either obligation. If such obligations are in different currencies, that Finance Party may convert either obligation at a market rate of exchange in its usual course of business for the purpose of such set-off.</w:t>
      </w:r>
    </w:p>
    <w:p>
      <w:pPr>
        <w:spacing w:after="0" w:line="31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8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30.1 Communications in writing</w:t>
      </w:r>
    </w:p>
    <w:p>
      <w:pPr>
        <w:spacing w:after="0" w:line="112" w:lineRule="exact"/>
        <w:rPr>
          <w:sz w:val="20"/>
          <w:szCs w:val="20"/>
          <w:color w:val="auto"/>
        </w:rPr>
      </w:pPr>
    </w:p>
    <w:p>
      <w:pPr>
        <w:ind w:left="430" w:right="60"/>
        <w:spacing w:after="0" w:line="258" w:lineRule="auto"/>
        <w:rPr>
          <w:sz w:val="20"/>
          <w:szCs w:val="20"/>
          <w:color w:val="auto"/>
        </w:rPr>
      </w:pPr>
      <w:r>
        <w:rPr>
          <w:rFonts w:ascii="Times New Roman" w:cs="Times New Roman" w:eastAsia="Times New Roman" w:hAnsi="Times New Roman"/>
          <w:sz w:val="18"/>
          <w:szCs w:val="18"/>
          <w:color w:val="auto"/>
        </w:rPr>
        <w:t>Any communication to be made by a Party to another Party under or in connection with the Finance Documents shall be made in writing and, unless otherwise stated, may be made by electronic mail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(including scanned copies of executed documents and other attachments), fax or letter.</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30.2 Addresses</w:t>
      </w:r>
    </w:p>
    <w:p>
      <w:pPr>
        <w:spacing w:after="0" w:line="112" w:lineRule="exact"/>
        <w:rPr>
          <w:sz w:val="20"/>
          <w:szCs w:val="20"/>
          <w:color w:val="auto"/>
        </w:rPr>
      </w:pPr>
    </w:p>
    <w:p>
      <w:pPr>
        <w:ind w:left="430" w:right="260"/>
        <w:spacing w:after="0" w:line="300" w:lineRule="auto"/>
        <w:rPr>
          <w:sz w:val="20"/>
          <w:szCs w:val="20"/>
          <w:color w:val="auto"/>
        </w:rPr>
      </w:pPr>
      <w:r>
        <w:rPr>
          <w:rFonts w:ascii="Times New Roman" w:cs="Times New Roman" w:eastAsia="Times New Roman" w:hAnsi="Times New Roman"/>
          <w:sz w:val="17"/>
          <w:szCs w:val="17"/>
          <w:color w:val="auto"/>
        </w:rPr>
        <w:t>The email address, address and if applicable, fax number (and the department or officer, if any, for whose attention the communication is to be made) of each Party for any communication or document to be made or delivered under or in connection with the Finance Documents is:</w:t>
      </w:r>
    </w:p>
    <w:p>
      <w:pPr>
        <w:spacing w:after="0" w:line="53" w:lineRule="exact"/>
        <w:rPr>
          <w:sz w:val="20"/>
          <w:szCs w:val="20"/>
          <w:color w:val="auto"/>
        </w:rPr>
      </w:pPr>
    </w:p>
    <w:p>
      <w:pPr>
        <w:ind w:left="1050" w:hanging="626"/>
        <w:spacing w:after="0"/>
        <w:tabs>
          <w:tab w:leader="none" w:pos="105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Obligor, that identified with its name below;</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that notified in writing to the Agent on or prior to the date on which it becomes a Party;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Agent, that identified with its name below;</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MLABU, that identified with its name below; and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Arranger, that notified in writing to the Agent on or prior to the date on which it becomes a Party,</w:t>
      </w:r>
    </w:p>
    <w:p>
      <w:pPr>
        <w:spacing w:after="0" w:line="110" w:lineRule="exact"/>
        <w:rPr>
          <w:sz w:val="20"/>
          <w:szCs w:val="20"/>
          <w:color w:val="auto"/>
        </w:rPr>
      </w:pPr>
    </w:p>
    <w:p>
      <w:pPr>
        <w:ind w:left="430" w:right="120"/>
        <w:spacing w:after="0" w:line="270" w:lineRule="auto"/>
        <w:rPr>
          <w:sz w:val="20"/>
          <w:szCs w:val="20"/>
          <w:color w:val="auto"/>
        </w:rPr>
      </w:pPr>
      <w:r>
        <w:rPr>
          <w:rFonts w:ascii="Times New Roman" w:cs="Times New Roman" w:eastAsia="Times New Roman" w:hAnsi="Times New Roman"/>
          <w:sz w:val="18"/>
          <w:szCs w:val="18"/>
          <w:color w:val="auto"/>
        </w:rPr>
        <w:t>or any substitute email address, address or fax number or department or officer as that Party may notify to the Agent (or the Agent may notify to the other Parties, if a change is made by the Agent) by not less than five (5) Business Days’ notice.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30.3 Delivery</w:t>
      </w:r>
    </w:p>
    <w:p>
      <w:pPr>
        <w:spacing w:after="0" w:line="126" w:lineRule="exact"/>
        <w:rPr>
          <w:sz w:val="20"/>
          <w:szCs w:val="20"/>
          <w:color w:val="auto"/>
        </w:rPr>
      </w:pPr>
    </w:p>
    <w:p>
      <w:pPr>
        <w:ind w:left="430" w:right="240" w:hanging="430"/>
        <w:spacing w:after="0" w:line="270" w:lineRule="auto"/>
        <w:tabs>
          <w:tab w:leader="none" w:pos="430" w:val="left"/>
        </w:tabs>
        <w:numPr>
          <w:ilvl w:val="0"/>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made or delivered by one Party to another Party under or in connection with any Finance Documents will be effective:</w:t>
      </w:r>
    </w:p>
    <w:p>
      <w:pPr>
        <w:spacing w:after="0" w:line="76" w:lineRule="exact"/>
        <w:rPr>
          <w:rFonts w:ascii="Times New Roman" w:cs="Times New Roman" w:eastAsia="Times New Roman" w:hAnsi="Times New Roman"/>
          <w:sz w:val="18"/>
          <w:szCs w:val="18"/>
          <w:color w:val="auto"/>
        </w:rPr>
      </w:pPr>
    </w:p>
    <w:p>
      <w:pPr>
        <w:ind w:left="1050" w:right="640" w:hanging="626"/>
        <w:spacing w:after="0" w:line="270" w:lineRule="auto"/>
        <w:tabs>
          <w:tab w:leader="none" w:pos="1050" w:val="left"/>
        </w:tabs>
        <w:numPr>
          <w:ilvl w:val="1"/>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email, only when received in legible form by at least one of the relevant email addresses of the Party to whom such communication or document is to be made or delivered;</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fax, only when received in legible form; or</w:t>
      </w:r>
    </w:p>
    <w:p>
      <w:pPr>
        <w:spacing w:after="0" w:line="123" w:lineRule="exact"/>
        <w:rPr>
          <w:rFonts w:ascii="Times New Roman" w:cs="Times New Roman" w:eastAsia="Times New Roman" w:hAnsi="Times New Roman"/>
          <w:sz w:val="18"/>
          <w:szCs w:val="18"/>
          <w:color w:val="auto"/>
        </w:rPr>
      </w:pPr>
    </w:p>
    <w:p>
      <w:pPr>
        <w:ind w:left="1050" w:right="180" w:hanging="626"/>
        <w:spacing w:after="0" w:line="270" w:lineRule="auto"/>
        <w:tabs>
          <w:tab w:leader="none" w:pos="1050" w:val="left"/>
        </w:tabs>
        <w:numPr>
          <w:ilvl w:val="1"/>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way of letter, only when it has been left at the relevant address or five (5) Business Days after being deposited in the post postage prepaid in an envelope addressed to it at that address,</w:t>
      </w:r>
    </w:p>
    <w:p>
      <w:pPr>
        <w:spacing w:after="0" w:line="63" w:lineRule="exact"/>
        <w:rPr>
          <w:sz w:val="20"/>
          <w:szCs w:val="20"/>
          <w:color w:val="auto"/>
        </w:rPr>
      </w:pPr>
    </w:p>
    <w:p>
      <w:pPr>
        <w:ind w:left="1070"/>
        <w:spacing w:after="0" w:line="270" w:lineRule="auto"/>
        <w:rPr>
          <w:sz w:val="20"/>
          <w:szCs w:val="20"/>
          <w:color w:val="auto"/>
        </w:rPr>
      </w:pPr>
      <w:r>
        <w:rPr>
          <w:rFonts w:ascii="Times New Roman" w:cs="Times New Roman" w:eastAsia="Times New Roman" w:hAnsi="Times New Roman"/>
          <w:sz w:val="18"/>
          <w:szCs w:val="18"/>
          <w:color w:val="auto"/>
        </w:rPr>
        <w:t>and, if a particular department or officer is specified as part of its address details provided under Clause 30.2 (Addresses), if addressed to that department or officer.</w:t>
      </w:r>
    </w:p>
    <w:p>
      <w:pPr>
        <w:spacing w:after="0" w:line="76" w:lineRule="exact"/>
        <w:rPr>
          <w:sz w:val="20"/>
          <w:szCs w:val="20"/>
          <w:color w:val="auto"/>
        </w:rPr>
      </w:pPr>
    </w:p>
    <w:p>
      <w:pPr>
        <w:ind w:left="430" w:hanging="430"/>
        <w:spacing w:after="0" w:line="253" w:lineRule="auto"/>
        <w:tabs>
          <w:tab w:leader="none" w:pos="43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to be made or delivered to the Agent under or in connection with any Finance Document will be effective only when actually received by the Agent and then only if it is sent to the correct email address(es) or, in the case of a fax or a letter, expressly marked for the attention of the department or officer identified with the Agent’s signature below (or any substitute department or officer as the Agent shall specify for this purpose).</w:t>
      </w:r>
    </w:p>
    <w:p>
      <w:pPr>
        <w:spacing w:after="0" w:line="9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from or to an Obligor under or in connection with any Finance Document shall be sent through the Agent.</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from or to an Obligor shall not be made by fax.</w:t>
      </w:r>
    </w:p>
    <w:p>
      <w:pPr>
        <w:spacing w:after="0" w:line="123" w:lineRule="exact"/>
        <w:rPr>
          <w:rFonts w:ascii="Times New Roman" w:cs="Times New Roman" w:eastAsia="Times New Roman" w:hAnsi="Times New Roman"/>
          <w:sz w:val="18"/>
          <w:szCs w:val="18"/>
          <w:color w:val="auto"/>
        </w:rPr>
      </w:pPr>
    </w:p>
    <w:p>
      <w:pPr>
        <w:ind w:left="430" w:right="60" w:hanging="430"/>
        <w:spacing w:after="0" w:line="270" w:lineRule="auto"/>
        <w:tabs>
          <w:tab w:leader="none" w:pos="43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 or document which becomes effective, in accordance with paragraphs (a) to (c) above, after 5pm in the place of receipt shall be deemed only to become effective on the following Business Day.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30.4 Notification of address and fax number</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Promptly upon changing its own email address, address or fax number, the Agent shall notify the other Parties.</w:t>
      </w:r>
    </w:p>
    <w:p>
      <w:pPr>
        <w:spacing w:after="0" w:line="15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30"/>
          </w:cols>
          <w:pgMar w:left="550" w:top="265" w:right="619" w:bottom="1440" w:gutter="0" w:footer="0" w:header="0"/>
        </w:sectPr>
      </w:pPr>
    </w:p>
    <w:bookmarkStart w:id="638" w:name="page639"/>
    <w:bookmarkEnd w:id="638"/>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9">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30.5 Communication when Agent is an Impaired Agent</w:t>
      </w:r>
    </w:p>
    <w:p>
      <w:pPr>
        <w:spacing w:after="0" w:line="112" w:lineRule="exact"/>
        <w:rPr>
          <w:sz w:val="20"/>
          <w:szCs w:val="20"/>
          <w:color w:val="auto"/>
        </w:rPr>
      </w:pPr>
    </w:p>
    <w:p>
      <w:pPr>
        <w:ind w:left="430" w:right="40"/>
        <w:spacing w:after="0" w:line="253" w:lineRule="auto"/>
        <w:rPr>
          <w:sz w:val="20"/>
          <w:szCs w:val="20"/>
          <w:color w:val="auto"/>
        </w:rPr>
      </w:pPr>
      <w:r>
        <w:rPr>
          <w:rFonts w:ascii="Times New Roman" w:cs="Times New Roman" w:eastAsia="Times New Roman" w:hAnsi="Times New Roman"/>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 to replace such Impaired Agent.</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30.6 English language</w:t>
      </w:r>
    </w:p>
    <w:p>
      <w:pPr>
        <w:spacing w:after="0" w:line="126" w:lineRule="exact"/>
        <w:rPr>
          <w:sz w:val="20"/>
          <w:szCs w:val="20"/>
          <w:color w:val="auto"/>
        </w:rPr>
      </w:pPr>
    </w:p>
    <w:p>
      <w:pPr>
        <w:ind w:left="430" w:hanging="430"/>
        <w:spacing w:after="0"/>
        <w:tabs>
          <w:tab w:leader="none" w:pos="430"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given under or in connection with any Finance Document must be in English.</w:t>
      </w:r>
    </w:p>
    <w:p>
      <w:pPr>
        <w:spacing w:after="0" w:line="123"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provided under or in connection with any Finance Document must be:</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English; or</w:t>
      </w:r>
    </w:p>
    <w:p>
      <w:pPr>
        <w:spacing w:after="0" w:line="123" w:lineRule="exact"/>
        <w:rPr>
          <w:rFonts w:ascii="Times New Roman" w:cs="Times New Roman" w:eastAsia="Times New Roman" w:hAnsi="Times New Roman"/>
          <w:sz w:val="18"/>
          <w:szCs w:val="18"/>
          <w:color w:val="auto"/>
        </w:rPr>
      </w:pPr>
    </w:p>
    <w:p>
      <w:pPr>
        <w:ind w:left="1050" w:right="80" w:hanging="626"/>
        <w:spacing w:after="0" w:line="270" w:lineRule="auto"/>
        <w:tabs>
          <w:tab w:leader="none" w:pos="1050" w:val="left"/>
        </w:tabs>
        <w:numPr>
          <w:ilvl w:val="1"/>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312" w:lineRule="exact"/>
        <w:rPr>
          <w:sz w:val="20"/>
          <w:szCs w:val="20"/>
          <w:color w:val="auto"/>
        </w:rPr>
      </w:pPr>
    </w:p>
    <w:p>
      <w:pPr>
        <w:ind w:left="10" w:right="7160" w:hanging="10"/>
        <w:spacing w:after="0" w:line="376" w:lineRule="auto"/>
        <w:tabs>
          <w:tab w:leader="none" w:pos="433" w:val="left"/>
        </w:tabs>
        <w:numPr>
          <w:ilvl w:val="0"/>
          <w:numId w:val="8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CALCULATIONS AND CERTIFICATES 31.1 Accounts</w:t>
      </w:r>
    </w:p>
    <w:p>
      <w:pPr>
        <w:spacing w:after="0" w:line="1" w:lineRule="exact"/>
        <w:rPr>
          <w:sz w:val="20"/>
          <w:szCs w:val="20"/>
          <w:color w:val="auto"/>
        </w:rPr>
      </w:pPr>
    </w:p>
    <w:p>
      <w:pPr>
        <w:ind w:left="430" w:right="140"/>
        <w:spacing w:after="0" w:line="270" w:lineRule="auto"/>
        <w:rPr>
          <w:sz w:val="20"/>
          <w:szCs w:val="20"/>
          <w:color w:val="auto"/>
        </w:rPr>
      </w:pPr>
      <w:r>
        <w:rPr>
          <w:rFonts w:ascii="Times New Roman" w:cs="Times New Roman" w:eastAsia="Times New Roman" w:hAnsi="Times New Roman"/>
          <w:sz w:val="18"/>
          <w:szCs w:val="18"/>
          <w:color w:val="auto"/>
        </w:rPr>
        <w:t>In any litigation or arbitration proceedings arising out of or in connection with a Finance Document, the entries made in the accounts maintained by a Finance Party are prima facie evidence of the matters to which they relate.</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31.2 Certificates and determinations</w:t>
      </w:r>
    </w:p>
    <w:p>
      <w:pPr>
        <w:spacing w:after="0" w:line="112" w:lineRule="exact"/>
        <w:rPr>
          <w:sz w:val="20"/>
          <w:szCs w:val="20"/>
          <w:color w:val="auto"/>
        </w:rPr>
      </w:pPr>
    </w:p>
    <w:p>
      <w:pPr>
        <w:ind w:left="430" w:right="540"/>
        <w:spacing w:after="0" w:line="270" w:lineRule="auto"/>
        <w:rPr>
          <w:sz w:val="20"/>
          <w:szCs w:val="20"/>
          <w:color w:val="auto"/>
        </w:rPr>
      </w:pPr>
      <w:r>
        <w:rPr>
          <w:rFonts w:ascii="Times New Roman" w:cs="Times New Roman" w:eastAsia="Times New Roman" w:hAnsi="Times New Roman"/>
          <w:sz w:val="18"/>
          <w:szCs w:val="18"/>
          <w:color w:val="auto"/>
        </w:rPr>
        <w:t>Any certification or determination by a Finance Party of a rate or amount under any Finance Document is, in the absence of manifest error, conclusive evidence of the matters to which it relates.</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31.3 Day count convention</w:t>
      </w:r>
    </w:p>
    <w:p>
      <w:pPr>
        <w:spacing w:after="0" w:line="112" w:lineRule="exact"/>
        <w:rPr>
          <w:sz w:val="20"/>
          <w:szCs w:val="20"/>
          <w:color w:val="auto"/>
        </w:rPr>
      </w:pPr>
    </w:p>
    <w:p>
      <w:pPr>
        <w:jc w:val="both"/>
        <w:ind w:left="430" w:right="440"/>
        <w:spacing w:after="0" w:line="258" w:lineRule="auto"/>
        <w:rPr>
          <w:sz w:val="20"/>
          <w:szCs w:val="20"/>
          <w:color w:val="auto"/>
        </w:rPr>
      </w:pPr>
      <w:r>
        <w:rPr>
          <w:rFonts w:ascii="Times New Roman" w:cs="Times New Roman" w:eastAsia="Times New Roman" w:hAnsi="Times New Roman"/>
          <w:sz w:val="18"/>
          <w:szCs w:val="18"/>
          <w:color w:val="auto"/>
        </w:rPr>
        <w:t>Any interest, commission or fee accruing under a Finance Document will accrue from day to day and is calculated on the basis of the actual number of days elapsed and a year of three hundred and sixty (360) days or, in any case where the practice in the Relevant Market differs, in accordance with that market practice.</w:t>
      </w:r>
    </w:p>
    <w:p>
      <w:pPr>
        <w:spacing w:after="0" w:line="322" w:lineRule="exact"/>
        <w:rPr>
          <w:sz w:val="20"/>
          <w:szCs w:val="20"/>
          <w:color w:val="auto"/>
        </w:rPr>
      </w:pPr>
    </w:p>
    <w:p>
      <w:pPr>
        <w:ind w:left="430" w:hanging="430"/>
        <w:spacing w:after="0"/>
        <w:tabs>
          <w:tab w:leader="none" w:pos="430" w:val="left"/>
        </w:tabs>
        <w:numPr>
          <w:ilvl w:val="0"/>
          <w:numId w:val="8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PARTIAL INVALIDITY</w:t>
      </w:r>
    </w:p>
    <w:p>
      <w:pPr>
        <w:spacing w:after="0" w:line="112" w:lineRule="exact"/>
        <w:rPr>
          <w:rFonts w:ascii="Times New Roman" w:cs="Times New Roman" w:eastAsia="Times New Roman" w:hAnsi="Times New Roman"/>
          <w:sz w:val="18"/>
          <w:szCs w:val="18"/>
          <w:b w:val="1"/>
          <w:bCs w:val="1"/>
          <w:color w:val="auto"/>
        </w:rPr>
      </w:pPr>
    </w:p>
    <w:p>
      <w:pPr>
        <w:ind w:left="43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the Finance Documents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321"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8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 AND WAIVERS</w:t>
      </w:r>
    </w:p>
    <w:p>
      <w:pPr>
        <w:spacing w:after="0" w:line="112" w:lineRule="exact"/>
        <w:rPr>
          <w:rFonts w:ascii="Times New Roman" w:cs="Times New Roman" w:eastAsia="Times New Roman" w:hAnsi="Times New Roman"/>
          <w:sz w:val="18"/>
          <w:szCs w:val="18"/>
          <w:b w:val="1"/>
          <w:bCs w:val="1"/>
          <w:color w:val="auto"/>
        </w:rPr>
      </w:pPr>
    </w:p>
    <w:p>
      <w:pPr>
        <w:ind w:left="43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failure to exercise, nor any delay in exercising, on the part of any Finance Party, any right or remedy under the Finance Documents shall operate as a waiver or constitute an election to affirm any Finance Document. No election by a Finance Party to affirm any Finance Document shall be effective unless it is in writing. No single or partial exercise of any right or remedy by any Finance Party shall prevent any further or other exercise or the exercise of any other right or remedy. The rights and remedies provided in each Finance Document are cumulative and not exclusive of any rights or remedies provided by law.</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8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AND WAIVERS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34.1 Required consents</w:t>
      </w:r>
    </w:p>
    <w:p>
      <w:pPr>
        <w:spacing w:after="0" w:line="126" w:lineRule="exact"/>
        <w:rPr>
          <w:sz w:val="20"/>
          <w:szCs w:val="20"/>
          <w:color w:val="auto"/>
        </w:rPr>
      </w:pPr>
    </w:p>
    <w:p>
      <w:pPr>
        <w:ind w:left="430" w:right="100" w:hanging="430"/>
        <w:spacing w:after="0" w:line="258" w:lineRule="auto"/>
        <w:tabs>
          <w:tab w:leader="none" w:pos="430"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34.2 (Exceptions), any term of any Finance Document (other than any Fee Letter) may be amended or waived only in writing and with the consent of the Majority Lenders and the Borrower(s). Any such amendment or waiver so made with such consent will be binding on all Parties.</w:t>
      </w:r>
    </w:p>
    <w:p>
      <w:pPr>
        <w:spacing w:after="0" w:line="85"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effect, on behalf of any Finance Party, any amendment or waiver permitted by this Clause 34.</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70"/>
          </w:cols>
          <w:pgMar w:left="550" w:top="265" w:right="579" w:bottom="1440" w:gutter="0" w:footer="0" w:header="0"/>
        </w:sectPr>
      </w:pPr>
    </w:p>
    <w:bookmarkStart w:id="639" w:name="page640"/>
    <w:bookmarkEnd w:id="639"/>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00">
                      <a:extLst>
                        <a:ext uri="{28A0092B-C50C-407E-A947-70E740481C1C}"/>
                      </a:extLst>
                    </a:blip>
                    <a:srcRect/>
                    <a:stretch>
                      <a:fillRect/>
                    </a:stretch>
                  </pic:blipFill>
                  <pic:spPr bwMode="auto">
                    <a:xfrm>
                      <a:off x="0" y="0"/>
                      <a:ext cx="7177405" cy="38100"/>
                    </a:xfrm>
                    <a:prstGeom prst="rect">
                      <a:avLst/>
                    </a:prstGeom>
                    <a:noFill/>
                  </pic:spPr>
                </pic:pic>
              </a:graphicData>
            </a:graphic>
          </wp:anchor>
        </w:drawing>
        <w:t>34.2 Exceptions</w:t>
      </w:r>
    </w:p>
    <w:p>
      <w:pPr>
        <w:spacing w:after="0" w:line="126" w:lineRule="exact"/>
        <w:rPr>
          <w:sz w:val="20"/>
          <w:szCs w:val="20"/>
          <w:color w:val="auto"/>
        </w:rPr>
      </w:pPr>
    </w:p>
    <w:p>
      <w:pPr>
        <w:ind w:left="430" w:right="160" w:hanging="430"/>
        <w:spacing w:after="0" w:line="270" w:lineRule="auto"/>
        <w:tabs>
          <w:tab w:leader="none" w:pos="430" w:val="left"/>
        </w:tabs>
        <w:numPr>
          <w:ilvl w:val="0"/>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below and Clause 34.5 (Replacement of Screen Rate), an amendment or waiver that has the effect of changing or which relates to:</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“Majority Lenders” or “Super Majority Lenders” in Clause 1.1 (Definitions);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to the date of payment of any amount under the Finance Documents;</w:t>
      </w:r>
    </w:p>
    <w:p>
      <w:pPr>
        <w:spacing w:after="0" w:line="123"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Margin or a reduction in the amount of, or any change in the currency of, any payment of principal, interest, fees or commission payable;</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or any change in the currency of, any Commitment or the Total Commitments;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the Availability Period;</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that a cancellation of Commitments reduces the Commitments of the Lenders rateably;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which expressly requires the consent of all the Lenders;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an Obligor; or</w:t>
      </w:r>
    </w:p>
    <w:p>
      <w:pPr>
        <w:spacing w:after="0" w:line="123" w:lineRule="exact"/>
        <w:rPr>
          <w:rFonts w:ascii="Times New Roman" w:cs="Times New Roman" w:eastAsia="Times New Roman" w:hAnsi="Times New Roman"/>
          <w:sz w:val="18"/>
          <w:szCs w:val="18"/>
          <w:color w:val="auto"/>
        </w:rPr>
      </w:pPr>
    </w:p>
    <w:p>
      <w:pPr>
        <w:ind w:left="1050" w:right="140" w:hanging="626"/>
        <w:spacing w:after="0" w:line="258" w:lineRule="auto"/>
        <w:tabs>
          <w:tab w:leader="none" w:pos="1050"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1.6 (Sanctions), Clause 2.2 (Finance Parties’ rights and obligations), Clause 7.1 (Illegality), Clause 7.5 (Change of Control), Clause 17 (Guarantee and indemnity), Clause 23 (Changes to the Lenders), Clause 27 (Sharing among the Finance Parties), Clause 28.6 (Partial payments), this Clause 34, Clause 41 (Governing Law) or Clause 42.1 (Jurisdiction of English Courts),</w:t>
      </w:r>
    </w:p>
    <w:p>
      <w:pPr>
        <w:spacing w:after="0" w:line="7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shall not be made without the prior consent of all the Lenders.</w:t>
      </w:r>
    </w:p>
    <w:p>
      <w:pPr>
        <w:spacing w:after="0" w:line="124" w:lineRule="exact"/>
        <w:rPr>
          <w:sz w:val="20"/>
          <w:szCs w:val="20"/>
          <w:color w:val="auto"/>
        </w:rPr>
      </w:pPr>
    </w:p>
    <w:p>
      <w:pPr>
        <w:ind w:left="430" w:right="20" w:hanging="430"/>
        <w:spacing w:after="0" w:line="270" w:lineRule="auto"/>
        <w:tabs>
          <w:tab w:leader="none" w:pos="430"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that has the effect of changing or which relates to any shorter period as the Majority Lenders may agree as contemplated in Clause 7.2 (Voluntary cancellation) shall not be made without the agreement of the Majority Lenders.</w:t>
      </w:r>
    </w:p>
    <w:p>
      <w:pPr>
        <w:spacing w:after="0" w:line="76" w:lineRule="exact"/>
        <w:rPr>
          <w:rFonts w:ascii="Times New Roman" w:cs="Times New Roman" w:eastAsia="Times New Roman" w:hAnsi="Times New Roman"/>
          <w:sz w:val="18"/>
          <w:szCs w:val="18"/>
          <w:color w:val="auto"/>
        </w:rPr>
      </w:pPr>
    </w:p>
    <w:p>
      <w:pPr>
        <w:ind w:left="430" w:right="400" w:hanging="430"/>
        <w:spacing w:after="0" w:line="270" w:lineRule="auto"/>
        <w:tabs>
          <w:tab w:leader="none" w:pos="430"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which relates to the rights or obligations of an Administrative Party may not be effected without the consent of that Administrative Party.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34.3 Excluded commitment</w:t>
      </w:r>
    </w:p>
    <w:p>
      <w:pPr>
        <w:spacing w:after="0" w:line="112" w:lineRule="exact"/>
        <w:rPr>
          <w:sz w:val="20"/>
          <w:szCs w:val="20"/>
          <w:color w:val="auto"/>
        </w:rPr>
      </w:pPr>
    </w:p>
    <w:p>
      <w:pPr>
        <w:ind w:left="430"/>
        <w:spacing w:after="0" w:line="258" w:lineRule="auto"/>
        <w:rPr>
          <w:sz w:val="20"/>
          <w:szCs w:val="20"/>
          <w:color w:val="auto"/>
        </w:rPr>
      </w:pPr>
      <w:r>
        <w:rPr>
          <w:rFonts w:ascii="Times New Roman" w:cs="Times New Roman" w:eastAsia="Times New Roman" w:hAnsi="Times New Roman"/>
          <w:sz w:val="18"/>
          <w:szCs w:val="18"/>
          <w:color w:val="auto"/>
        </w:rPr>
        <w:t>If any Lender fails to respond to a request in writing for any consent, waiver, amendment of or in relation to any term of any Finance Document or any instruction or vote relating to any other matter under any Finance Document within twenty (20) Business Days of that request being made, then (unless the Borrower(s) and the Agent agree to a longer time period in relation to such request):</w:t>
      </w:r>
    </w:p>
    <w:p>
      <w:pPr>
        <w:spacing w:after="0" w:line="86" w:lineRule="exact"/>
        <w:rPr>
          <w:sz w:val="20"/>
          <w:szCs w:val="20"/>
          <w:color w:val="auto"/>
        </w:rPr>
      </w:pPr>
    </w:p>
    <w:p>
      <w:pPr>
        <w:ind w:left="1050" w:right="100" w:hanging="626"/>
        <w:spacing w:after="0" w:line="253" w:lineRule="auto"/>
        <w:tabs>
          <w:tab w:leader="none" w:pos="1050"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Lender’s Commitment and such Lender’s participation in any Loan shall not be included for the purpose of calculating the Commitments of the Lenders, or participations of the Lenders in any or all of the Loans when ascertaining whether the consent, instruction or vote of Lenders holding any applicable percentage (including, for the avoidance of doubt, unanimity) of the Commitments and/or participations in any or all of the Loans has been obtained to approve that request; and</w:t>
      </w:r>
    </w:p>
    <w:p>
      <w:pPr>
        <w:spacing w:after="0" w:line="92"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status as a Lender shall be disregarded for the purpose of ascertaining whether the agreement of all of the Lenders or any specified group of Lenders has been obtained to approve that request.</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34.4 Disenfranchisement of Defaulting Lenders</w:t>
      </w:r>
    </w:p>
    <w:p>
      <w:pPr>
        <w:spacing w:after="0" w:line="126" w:lineRule="exact"/>
        <w:rPr>
          <w:sz w:val="20"/>
          <w:szCs w:val="20"/>
          <w:color w:val="auto"/>
        </w:rPr>
      </w:pPr>
    </w:p>
    <w:p>
      <w:pPr>
        <w:ind w:left="430" w:hanging="430"/>
        <w:spacing w:after="0"/>
        <w:tabs>
          <w:tab w:leader="none" w:pos="430" w:val="left"/>
        </w:tabs>
        <w:numPr>
          <w:ilvl w:val="0"/>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Defaulting Lender has any Available Commitment, in ascertaining:</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or the Super Majority Lenders; or</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w:t>
      </w:r>
    </w:p>
    <w:p>
      <w:pPr>
        <w:spacing w:after="0" w:line="22"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given percentage (including, for the avoidance of doubt, unanimity) of the Total Commitments; or</w:t>
      </w:r>
    </w:p>
    <w:p>
      <w:pPr>
        <w:spacing w:after="0" w:line="10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any specified group of Lenders,</w:t>
      </w:r>
    </w:p>
    <w:p>
      <w:pPr>
        <w:spacing w:after="0" w:line="110" w:lineRule="exact"/>
        <w:rPr>
          <w:sz w:val="20"/>
          <w:szCs w:val="20"/>
          <w:color w:val="auto"/>
        </w:rPr>
      </w:pPr>
    </w:p>
    <w:p>
      <w:pPr>
        <w:ind w:left="430" w:right="260"/>
        <w:spacing w:after="0" w:line="266" w:lineRule="auto"/>
        <w:rPr>
          <w:sz w:val="20"/>
          <w:szCs w:val="20"/>
          <w:color w:val="auto"/>
        </w:rPr>
      </w:pPr>
      <w:r>
        <w:rPr>
          <w:rFonts w:ascii="Times New Roman" w:cs="Times New Roman" w:eastAsia="Times New Roman" w:hAnsi="Times New Roman"/>
          <w:sz w:val="17"/>
          <w:szCs w:val="17"/>
          <w:color w:val="auto"/>
        </w:rPr>
        <w:t>has been obtained to approve any request for a consent, waiver, amendment or other vote of Lenders under the Finance Documents, that Defaulting Lender’s Commitments will be reduced by the amount of its Available Commitments and, to the extent that that reduction results in that Defaulting Lender’s Commitments being zero, that Defaulting Lender shall be deemed not to be a Lender for the purposes of paragraphs</w:t>
      </w:r>
    </w:p>
    <w:p>
      <w:pPr>
        <w:spacing w:after="0" w:line="2" w:lineRule="exact"/>
        <w:rPr>
          <w:sz w:val="20"/>
          <w:szCs w:val="20"/>
          <w:color w:val="auto"/>
        </w:rPr>
      </w:pPr>
    </w:p>
    <w:p>
      <w:pPr>
        <w:ind w:left="650" w:hanging="218"/>
        <w:spacing w:after="0"/>
        <w:tabs>
          <w:tab w:leader="none" w:pos="650"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w:t>
      </w:r>
    </w:p>
    <w:p>
      <w:pPr>
        <w:spacing w:after="0" w:line="106"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Clause 34.4, the Agent may assume that the following Lenders are Defaulting Lenders:</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which has notified the Agent that it has become a Defaulting Lender;</w:t>
      </w:r>
    </w:p>
    <w:p>
      <w:pPr>
        <w:spacing w:after="0" w:line="15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70"/>
          </w:cols>
          <w:pgMar w:left="550" w:top="265" w:right="579" w:bottom="1440" w:gutter="0" w:footer="0" w:header="0"/>
        </w:sectPr>
      </w:pPr>
    </w:p>
    <w:bookmarkStart w:id="640" w:name="page641"/>
    <w:bookmarkEnd w:id="640"/>
    <w:p>
      <w:pPr>
        <w:ind w:left="1050" w:right="40" w:hanging="626"/>
        <w:spacing w:after="0" w:line="270" w:lineRule="auto"/>
        <w:tabs>
          <w:tab w:leader="none" w:pos="105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any Lender in relation to which it is aware that any of the events or circumstances referred to in paragraphs (a), (b) or (c) of the definition of “Defaulting Lender” has occurred,</w:t>
      </w:r>
    </w:p>
    <w:p>
      <w:pPr>
        <w:spacing w:after="0" w:line="63" w:lineRule="exact"/>
        <w:rPr>
          <w:sz w:val="20"/>
          <w:szCs w:val="20"/>
          <w:color w:val="auto"/>
        </w:rPr>
      </w:pPr>
    </w:p>
    <w:p>
      <w:pPr>
        <w:ind w:left="430" w:right="20"/>
        <w:spacing w:after="0" w:line="270" w:lineRule="auto"/>
        <w:rPr>
          <w:sz w:val="20"/>
          <w:szCs w:val="20"/>
          <w:color w:val="auto"/>
        </w:rPr>
      </w:pPr>
      <w:r>
        <w:rPr>
          <w:rFonts w:ascii="Times New Roman" w:cs="Times New Roman" w:eastAsia="Times New Roman" w:hAnsi="Times New Roman"/>
          <w:sz w:val="18"/>
          <w:szCs w:val="18"/>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34.5 Replacement of Screen Rate</w:t>
      </w:r>
    </w:p>
    <w:p>
      <w:pPr>
        <w:spacing w:after="0" w:line="126" w:lineRule="exact"/>
        <w:rPr>
          <w:sz w:val="20"/>
          <w:szCs w:val="20"/>
          <w:color w:val="auto"/>
        </w:rPr>
      </w:pPr>
    </w:p>
    <w:p>
      <w:pPr>
        <w:ind w:left="430" w:right="600" w:hanging="430"/>
        <w:spacing w:after="0" w:line="270" w:lineRule="auto"/>
        <w:tabs>
          <w:tab w:leader="none" w:pos="430"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(b) of Clause 34.2 (Exceptions), if a Screen Rate Replacement Event has occurred in relation to any Screen Rate, any amendment or waiver which relates to:</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use of a Replacement Benchmark; and</w:t>
      </w:r>
    </w:p>
    <w:p>
      <w:pPr>
        <w:spacing w:after="0" w:line="124"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(ii)</w:t>
      </w:r>
    </w:p>
    <w:p>
      <w:pPr>
        <w:spacing w:after="0" w:line="22" w:lineRule="exact"/>
        <w:rPr>
          <w:sz w:val="20"/>
          <w:szCs w:val="20"/>
          <w:color w:val="auto"/>
        </w:rPr>
      </w:pPr>
    </w:p>
    <w:p>
      <w:pPr>
        <w:ind w:left="1710" w:hanging="639"/>
        <w:spacing w:after="0"/>
        <w:tabs>
          <w:tab w:leader="none" w:pos="171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aligning any provision of any Finance Document to the use of that Replacement Benchmark;</w:t>
      </w:r>
    </w:p>
    <w:p>
      <w:pPr>
        <w:spacing w:after="0" w:line="106" w:lineRule="exact"/>
        <w:rPr>
          <w:rFonts w:ascii="Times New Roman" w:cs="Times New Roman" w:eastAsia="Times New Roman" w:hAnsi="Times New Roman"/>
          <w:sz w:val="18"/>
          <w:szCs w:val="18"/>
          <w:color w:val="auto"/>
        </w:rPr>
      </w:pPr>
    </w:p>
    <w:p>
      <w:pPr>
        <w:jc w:val="both"/>
        <w:ind w:left="1710" w:right="540" w:hanging="639"/>
        <w:spacing w:after="0" w:line="258" w:lineRule="auto"/>
        <w:tabs>
          <w:tab w:leader="none" w:pos="171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85"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market conventions applicable to that Replacement Benchmark;</w:t>
      </w:r>
    </w:p>
    <w:p>
      <w:pPr>
        <w:spacing w:after="0" w:line="12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appropriate fallback (and market disruption) provisions for that Replacement Benchmark; or</w:t>
      </w:r>
    </w:p>
    <w:p>
      <w:pPr>
        <w:spacing w:after="0" w:line="123" w:lineRule="exact"/>
        <w:rPr>
          <w:rFonts w:ascii="Times New Roman" w:cs="Times New Roman" w:eastAsia="Times New Roman" w:hAnsi="Times New Roman"/>
          <w:sz w:val="18"/>
          <w:szCs w:val="18"/>
          <w:color w:val="auto"/>
        </w:rPr>
      </w:pPr>
    </w:p>
    <w:p>
      <w:pPr>
        <w:ind w:left="1710" w:right="100" w:hanging="639"/>
        <w:spacing w:after="0" w:line="253" w:lineRule="auto"/>
        <w:tabs>
          <w:tab w:leader="none" w:pos="1710"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79"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may be made with the consent of the Agent (acting on the instructions of the Majority Lenders) and the Borrower(s).</w:t>
      </w:r>
    </w:p>
    <w:p>
      <w:pPr>
        <w:spacing w:after="0" w:line="124" w:lineRule="exact"/>
        <w:rPr>
          <w:sz w:val="20"/>
          <w:szCs w:val="20"/>
          <w:color w:val="auto"/>
        </w:rPr>
      </w:pPr>
    </w:p>
    <w:p>
      <w:pPr>
        <w:ind w:left="430" w:hanging="430"/>
        <w:spacing w:after="0"/>
        <w:tabs>
          <w:tab w:leader="none" w:pos="430" w:val="left"/>
        </w:tabs>
        <w:numPr>
          <w:ilvl w:val="0"/>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Clause 34.5:</w:t>
      </w:r>
    </w:p>
    <w:p>
      <w:pPr>
        <w:spacing w:after="0" w:line="108" w:lineRule="exact"/>
        <w:rPr>
          <w:rFonts w:ascii="Times New Roman" w:cs="Times New Roman" w:eastAsia="Times New Roman" w:hAnsi="Times New Roman"/>
          <w:sz w:val="18"/>
          <w:szCs w:val="18"/>
          <w:color w:val="auto"/>
        </w:rPr>
      </w:pPr>
    </w:p>
    <w:p>
      <w:pPr>
        <w:ind w:left="430" w:right="20"/>
        <w:spacing w:after="0" w:line="30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Quoted Tenor </w:t>
      </w:r>
      <w:r>
        <w:rPr>
          <w:rFonts w:ascii="Times New Roman" w:cs="Times New Roman" w:eastAsia="Times New Roman" w:hAnsi="Times New Roman"/>
          <w:sz w:val="17"/>
          <w:szCs w:val="17"/>
          <w:color w:val="auto"/>
        </w:rPr>
        <w:t>means, in relation to the Screen Rate, any period for which that Screen Rate is customarily displayed on the relevant page or screen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 information service and which may be selected as an Interest Period by the Borrower(s) under Clause 9.1 (Selection of Interest Periods).</w:t>
      </w:r>
    </w:p>
    <w:p>
      <w:pPr>
        <w:spacing w:after="0" w:line="35" w:lineRule="exact"/>
        <w:rPr>
          <w:rFonts w:ascii="Times New Roman" w:cs="Times New Roman" w:eastAsia="Times New Roman" w:hAnsi="Times New Roman"/>
          <w:sz w:val="18"/>
          <w:szCs w:val="18"/>
          <w:color w:val="auto"/>
        </w:rPr>
      </w:pPr>
    </w:p>
    <w:p>
      <w:pPr>
        <w:ind w:left="43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Relevant Nominating Body </w:t>
      </w:r>
      <w:r>
        <w:rPr>
          <w:rFonts w:ascii="Times New Roman" w:cs="Times New Roman" w:eastAsia="Times New Roman" w:hAnsi="Times New Roman"/>
          <w:sz w:val="18"/>
          <w:szCs w:val="18"/>
          <w:color w:val="auto"/>
        </w:rPr>
        <w:t>means any applicable central bank, regulator or other supervisory authority or a group of them, or any working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committee sponsored or chaired by, or constituted at the request of, any of them or the Financial Stability Board.</w:t>
      </w:r>
    </w:p>
    <w:p>
      <w:pPr>
        <w:spacing w:after="0" w:line="57"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Replacement Benchmark </w:t>
      </w:r>
      <w:r>
        <w:rPr>
          <w:rFonts w:ascii="Times New Roman" w:cs="Times New Roman" w:eastAsia="Times New Roman" w:hAnsi="Times New Roman"/>
          <w:sz w:val="18"/>
          <w:szCs w:val="18"/>
          <w:color w:val="auto"/>
        </w:rPr>
        <w:t>means a benchmark rate which is:</w:t>
      </w:r>
    </w:p>
    <w:p>
      <w:pPr>
        <w:spacing w:after="0" w:line="125"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formally designated, nominated or recommended as the replacement for a Screen Rate by:</w:t>
      </w:r>
    </w:p>
    <w:p>
      <w:pPr>
        <w:spacing w:after="0" w:line="123" w:lineRule="exact"/>
        <w:rPr>
          <w:rFonts w:ascii="Times New Roman" w:cs="Times New Roman" w:eastAsia="Times New Roman" w:hAnsi="Times New Roman"/>
          <w:sz w:val="18"/>
          <w:szCs w:val="18"/>
          <w:color w:val="auto"/>
        </w:rPr>
      </w:pPr>
    </w:p>
    <w:p>
      <w:pPr>
        <w:ind w:left="1710" w:right="320" w:hanging="639"/>
        <w:spacing w:after="0" w:line="270" w:lineRule="auto"/>
        <w:tabs>
          <w:tab w:leader="none" w:pos="1710"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(provided that the market or economic reality that such benchmark rate measures is the same as that measured by that Screen Rate);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Relevant Nominating Body,</w:t>
      </w:r>
    </w:p>
    <w:p>
      <w:pPr>
        <w:spacing w:after="0" w:line="110" w:lineRule="exact"/>
        <w:rPr>
          <w:sz w:val="20"/>
          <w:szCs w:val="20"/>
          <w:color w:val="auto"/>
        </w:rPr>
      </w:pPr>
    </w:p>
    <w:p>
      <w:pPr>
        <w:ind w:left="970" w:right="760"/>
        <w:spacing w:after="0" w:line="270" w:lineRule="auto"/>
        <w:rPr>
          <w:sz w:val="20"/>
          <w:szCs w:val="20"/>
          <w:color w:val="auto"/>
        </w:rPr>
      </w:pPr>
      <w:r>
        <w:rPr>
          <w:rFonts w:ascii="Times New Roman" w:cs="Times New Roman" w:eastAsia="Times New Roman" w:hAnsi="Times New Roman"/>
          <w:sz w:val="18"/>
          <w:szCs w:val="18"/>
          <w:color w:val="auto"/>
        </w:rPr>
        <w:t>and if replacements have, at the relevant time, been formally designated, nominated or recommended under both paragraphs, the “Replacement Benchmark” will be the replacement under paragraph (B) above;</w:t>
      </w:r>
    </w:p>
    <w:p>
      <w:pPr>
        <w:spacing w:after="0" w:line="76" w:lineRule="exact"/>
        <w:rPr>
          <w:sz w:val="20"/>
          <w:szCs w:val="20"/>
          <w:color w:val="auto"/>
        </w:rPr>
      </w:pPr>
    </w:p>
    <w:p>
      <w:pPr>
        <w:ind w:left="1050" w:right="220" w:hanging="626"/>
        <w:spacing w:after="0" w:line="270" w:lineRule="auto"/>
        <w:tabs>
          <w:tab w:leader="none" w:pos="1050"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Borrower(s), generally accepted in the international or any relevant domestic syndicated loan markets as the appropriate successor to a Screen Rate; or</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Borrower(s), an appropriate successor to a Screen Rate.</w:t>
      </w:r>
    </w:p>
    <w:p>
      <w:pPr>
        <w:spacing w:after="0" w:line="10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Screen Rate Replacement Event </w:t>
      </w:r>
      <w:r>
        <w:rPr>
          <w:rFonts w:ascii="Times New Roman" w:cs="Times New Roman" w:eastAsia="Times New Roman" w:hAnsi="Times New Roman"/>
          <w:sz w:val="18"/>
          <w:szCs w:val="18"/>
          <w:color w:val="auto"/>
        </w:rPr>
        <w:t>means, in relation to a Screen Rate:</w:t>
      </w:r>
    </w:p>
    <w:p>
      <w:pPr>
        <w:spacing w:after="0" w:line="126" w:lineRule="exact"/>
        <w:rPr>
          <w:sz w:val="20"/>
          <w:szCs w:val="20"/>
          <w:color w:val="auto"/>
        </w:rPr>
      </w:pPr>
    </w:p>
    <w:p>
      <w:pPr>
        <w:ind w:left="1050" w:right="900" w:hanging="626"/>
        <w:spacing w:after="0" w:line="270" w:lineRule="auto"/>
        <w:tabs>
          <w:tab w:leader="none" w:pos="1050"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methodology, formula or other means of determining that Screen Rate has, in the opinion of the Majority Lenders and the Borrower(s), materially changed;</w:t>
      </w:r>
    </w:p>
    <w:p>
      <w:pPr>
        <w:spacing w:after="0" w:line="76"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(A)</w:t>
      </w:r>
    </w:p>
    <w:p>
      <w:pPr>
        <w:spacing w:after="0" w:line="124" w:lineRule="exact"/>
        <w:rPr>
          <w:sz w:val="20"/>
          <w:szCs w:val="20"/>
          <w:color w:val="auto"/>
        </w:rPr>
      </w:pPr>
    </w:p>
    <w:p>
      <w:pPr>
        <w:ind w:left="5310" w:right="500" w:hanging="3591"/>
        <w:spacing w:after="0" w:line="439" w:lineRule="auto"/>
        <w:tabs>
          <w:tab w:leader="none" w:pos="2357"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publicly announces that such administrator is insolvent; or 56</w:t>
      </w:r>
    </w:p>
    <w:p>
      <w:pPr>
        <w:sectPr>
          <w:pgSz w:w="11900" w:h="16838" w:orient="portrait"/>
          <w:cols w:equalWidth="0" w:num="1">
            <w:col w:w="10790"/>
          </w:cols>
          <w:pgMar w:left="550" w:top="266" w:right="559" w:bottom="1440" w:gutter="0" w:footer="0" w:header="0"/>
        </w:sectPr>
      </w:pPr>
    </w:p>
    <w:bookmarkStart w:id="641" w:name="page642"/>
    <w:bookmarkEnd w:id="641"/>
    <w:p>
      <w:pPr>
        <w:ind w:left="2350" w:right="360" w:hanging="631"/>
        <w:spacing w:after="0" w:line="258" w:lineRule="auto"/>
        <w:tabs>
          <w:tab w:leader="none" w:pos="235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73" w:lineRule="exact"/>
        <w:rPr>
          <w:sz w:val="20"/>
          <w:szCs w:val="20"/>
          <w:color w:val="auto"/>
        </w:rPr>
      </w:pPr>
    </w:p>
    <w:p>
      <w:pPr>
        <w:ind w:left="970"/>
        <w:spacing w:after="0"/>
        <w:rPr>
          <w:sz w:val="20"/>
          <w:szCs w:val="20"/>
          <w:color w:val="auto"/>
        </w:rPr>
      </w:pPr>
      <w:r>
        <w:rPr>
          <w:rFonts w:ascii="Times New Roman" w:cs="Times New Roman" w:eastAsia="Times New Roman" w:hAnsi="Times New Roman"/>
          <w:sz w:val="18"/>
          <w:szCs w:val="18"/>
          <w:color w:val="auto"/>
        </w:rPr>
        <w:t>provided that, in each case, at that time, there is no successor administrator to continue to provide that Screen Rate;</w:t>
      </w:r>
    </w:p>
    <w:p>
      <w:pPr>
        <w:spacing w:after="0" w:line="124" w:lineRule="exact"/>
        <w:rPr>
          <w:sz w:val="20"/>
          <w:szCs w:val="20"/>
          <w:color w:val="auto"/>
        </w:rPr>
      </w:pPr>
    </w:p>
    <w:p>
      <w:pPr>
        <w:ind w:left="1710" w:hanging="639"/>
        <w:spacing w:after="0" w:line="258" w:lineRule="auto"/>
        <w:tabs>
          <w:tab w:leader="none" w:pos="171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publicly announces that it has ceased or will cease to provide that Screen Rate for all of the Quoted Tenors permanently or indefinitely and, at that time, there is no successor administrator to continue to provide that Screen Rate for such Quoted Tenors;</w:t>
      </w:r>
    </w:p>
    <w:p>
      <w:pPr>
        <w:spacing w:after="0" w:line="85" w:lineRule="exact"/>
        <w:rPr>
          <w:rFonts w:ascii="Times New Roman" w:cs="Times New Roman" w:eastAsia="Times New Roman" w:hAnsi="Times New Roman"/>
          <w:sz w:val="18"/>
          <w:szCs w:val="18"/>
          <w:color w:val="auto"/>
        </w:rPr>
      </w:pPr>
    </w:p>
    <w:p>
      <w:pPr>
        <w:ind w:left="1710" w:right="900" w:hanging="639"/>
        <w:spacing w:after="0" w:line="270" w:lineRule="auto"/>
        <w:tabs>
          <w:tab w:leader="none" w:pos="171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publicly announces that such Screen Rate has been or will be permanently or indefinitely discontinued for all of the Quoted Tenors;</w:t>
      </w:r>
    </w:p>
    <w:p>
      <w:pPr>
        <w:spacing w:after="0" w:line="76" w:lineRule="exact"/>
        <w:rPr>
          <w:rFonts w:ascii="Times New Roman" w:cs="Times New Roman" w:eastAsia="Times New Roman" w:hAnsi="Times New Roman"/>
          <w:sz w:val="18"/>
          <w:szCs w:val="18"/>
          <w:color w:val="auto"/>
        </w:rPr>
      </w:pPr>
    </w:p>
    <w:p>
      <w:pPr>
        <w:ind w:left="1710" w:right="440" w:hanging="639"/>
        <w:spacing w:after="0" w:line="270" w:lineRule="auto"/>
        <w:tabs>
          <w:tab w:leader="none" w:pos="171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or its supervisor announces that that Screen Rate for all of the Quoted Tenors may no longer be used; or</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 of the administrator of that Screen Rate makes a public announcement or publishes information:</w:t>
      </w:r>
    </w:p>
    <w:p>
      <w:pPr>
        <w:spacing w:after="0" w:line="124" w:lineRule="exact"/>
        <w:rPr>
          <w:sz w:val="20"/>
          <w:szCs w:val="20"/>
          <w:color w:val="auto"/>
        </w:rPr>
      </w:pPr>
    </w:p>
    <w:p>
      <w:pPr>
        <w:ind w:left="1710" w:right="60" w:hanging="639"/>
        <w:spacing w:after="0" w:line="258" w:lineRule="auto"/>
        <w:tabs>
          <w:tab w:leader="none" w:pos="1710" w:val="left"/>
        </w:tabs>
        <w:numPr>
          <w:ilvl w:val="1"/>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that Screen Rate for all of Quoted Tenors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85" w:lineRule="exact"/>
        <w:rPr>
          <w:rFonts w:ascii="Times New Roman" w:cs="Times New Roman" w:eastAsia="Times New Roman" w:hAnsi="Times New Roman"/>
          <w:sz w:val="18"/>
          <w:szCs w:val="18"/>
          <w:color w:val="auto"/>
        </w:rPr>
      </w:pPr>
    </w:p>
    <w:p>
      <w:pPr>
        <w:ind w:left="1710" w:right="440" w:hanging="639"/>
        <w:spacing w:after="0" w:line="270" w:lineRule="auto"/>
        <w:tabs>
          <w:tab w:leader="none" w:pos="1710" w:val="left"/>
        </w:tabs>
        <w:numPr>
          <w:ilvl w:val="1"/>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awareness that any such announcement or publication will engage certain triggers for fallback provisions in contracts which may be activated by any such pre-cessation announcement or publication;</w:t>
      </w:r>
    </w:p>
    <w:p>
      <w:pPr>
        <w:spacing w:after="0" w:line="76" w:lineRule="exact"/>
        <w:rPr>
          <w:rFonts w:ascii="Times New Roman" w:cs="Times New Roman" w:eastAsia="Times New Roman" w:hAnsi="Times New Roman"/>
          <w:sz w:val="18"/>
          <w:szCs w:val="18"/>
          <w:color w:val="auto"/>
        </w:rPr>
      </w:pPr>
    </w:p>
    <w:p>
      <w:pPr>
        <w:ind w:left="1050" w:right="300" w:hanging="626"/>
        <w:spacing w:after="0" w:line="270" w:lineRule="auto"/>
        <w:tabs>
          <w:tab w:leader="none" w:pos="1050"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of that Screen Rate determines that that Screen Rate for all of the Quoted Tenors should be calculated in accordance with its reduced submissions or other contingency or fallback policies or arrangements and either:</w:t>
      </w:r>
    </w:p>
    <w:p>
      <w:pPr>
        <w:spacing w:after="0" w:line="76" w:lineRule="exact"/>
        <w:rPr>
          <w:sz w:val="20"/>
          <w:szCs w:val="20"/>
          <w:color w:val="auto"/>
        </w:rPr>
      </w:pPr>
    </w:p>
    <w:p>
      <w:pPr>
        <w:ind w:left="1710" w:right="860" w:hanging="639"/>
        <w:spacing w:after="0" w:line="270" w:lineRule="auto"/>
        <w:tabs>
          <w:tab w:leader="none" w:pos="1710" w:val="left"/>
        </w:tabs>
        <w:numPr>
          <w:ilvl w:val="2"/>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or event(s) leading to such determination are not (in the opinion of the Majority Lenders and the Borrower(s)) temporary; or</w:t>
      </w:r>
    </w:p>
    <w:p>
      <w:pPr>
        <w:spacing w:after="0" w:line="76" w:lineRule="exact"/>
        <w:rPr>
          <w:rFonts w:ascii="Times New Roman" w:cs="Times New Roman" w:eastAsia="Times New Roman" w:hAnsi="Times New Roman"/>
          <w:sz w:val="18"/>
          <w:szCs w:val="18"/>
          <w:color w:val="auto"/>
        </w:rPr>
      </w:pPr>
    </w:p>
    <w:p>
      <w:pPr>
        <w:ind w:left="1710" w:right="120" w:hanging="639"/>
        <w:spacing w:after="0" w:line="270" w:lineRule="auto"/>
        <w:tabs>
          <w:tab w:leader="none" w:pos="1710" w:val="left"/>
        </w:tabs>
        <w:numPr>
          <w:ilvl w:val="2"/>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Screen Rate for the relevant Quoted Tenor is calculated in accordance with any such policy or arrangement for a period no less than one month; or</w:t>
      </w:r>
    </w:p>
    <w:p>
      <w:pPr>
        <w:spacing w:after="0" w:line="76" w:lineRule="exact"/>
        <w:rPr>
          <w:rFonts w:ascii="Times New Roman" w:cs="Times New Roman" w:eastAsia="Times New Roman" w:hAnsi="Times New Roman"/>
          <w:sz w:val="18"/>
          <w:szCs w:val="18"/>
          <w:color w:val="auto"/>
        </w:rPr>
      </w:pPr>
    </w:p>
    <w:p>
      <w:pPr>
        <w:ind w:left="1050" w:right="760" w:hanging="626"/>
        <w:spacing w:after="0" w:line="270" w:lineRule="auto"/>
        <w:tabs>
          <w:tab w:leader="none" w:pos="1050" w:val="left"/>
        </w:tabs>
        <w:numPr>
          <w:ilvl w:val="1"/>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the Majority Lenders and the Borrower(s), that Screen Rate for all of the Quoted Tenor is otherwise no longer appropriate for the purposes of calculating interest under this Agreement.</w:t>
      </w:r>
    </w:p>
    <w:p>
      <w:pPr>
        <w:spacing w:after="0" w:line="312"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9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DEBT PURCHASE TRANSACTIONS</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35.1 Prohibition on Debt Purchase Transactions</w:t>
      </w:r>
    </w:p>
    <w:p>
      <w:pPr>
        <w:spacing w:after="0" w:line="112" w:lineRule="exact"/>
        <w:rPr>
          <w:sz w:val="20"/>
          <w:szCs w:val="20"/>
          <w:color w:val="auto"/>
        </w:rPr>
      </w:pPr>
    </w:p>
    <w:p>
      <w:pPr>
        <w:ind w:left="430" w:right="100"/>
        <w:spacing w:after="0" w:line="280" w:lineRule="auto"/>
        <w:rPr>
          <w:sz w:val="20"/>
          <w:szCs w:val="20"/>
          <w:color w:val="auto"/>
        </w:rPr>
      </w:pPr>
      <w:r>
        <w:rPr>
          <w:rFonts w:ascii="Times New Roman" w:cs="Times New Roman" w:eastAsia="Times New Roman" w:hAnsi="Times New Roman"/>
          <w:sz w:val="17"/>
          <w:szCs w:val="17"/>
          <w:color w:val="auto"/>
        </w:rPr>
        <w:t>No Obligor shall, and the Guarantor shall procure that (except with the prior written consent of the Agent (acting on the instructions of all of the Lenders)) no Group Member or any Affiliate of any Group Member shall (a) enter into any Debt Purchase Transaction or (b) be (i) a Lender or (ii) a party to a Debt Purchase Transaction of the type referred to in any of paragraphs (b) or (c) of the definition of “Debt Purchase Transaction”.</w:t>
      </w:r>
    </w:p>
    <w:p>
      <w:pPr>
        <w:spacing w:after="0" w:line="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35.2 Notification to other Lenders of Debt Purchase Transactions</w:t>
      </w:r>
    </w:p>
    <w:p>
      <w:pPr>
        <w:spacing w:after="0" w:line="112" w:lineRule="exact"/>
        <w:rPr>
          <w:sz w:val="20"/>
          <w:szCs w:val="20"/>
          <w:color w:val="auto"/>
        </w:rPr>
      </w:pPr>
    </w:p>
    <w:p>
      <w:pPr>
        <w:ind w:left="430" w:right="120"/>
        <w:spacing w:after="0" w:line="250" w:lineRule="auto"/>
        <w:rPr>
          <w:sz w:val="20"/>
          <w:szCs w:val="20"/>
          <w:color w:val="auto"/>
        </w:rPr>
      </w:pPr>
      <w:r>
        <w:rPr>
          <w:rFonts w:ascii="Times New Roman" w:cs="Times New Roman" w:eastAsia="Times New Roman" w:hAnsi="Times New Roman"/>
          <w:sz w:val="18"/>
          <w:szCs w:val="18"/>
          <w:color w:val="auto"/>
        </w:rPr>
        <w:t>Without prejudice to Clause 35.1 (Prohibition on Debt Purchase Transactions) and Clause 23.12 (Assignments and transfers to Group Members), any Group Member or any Affiliate of any Group Member which is or becomes a Lender or which enters into a Debt Purchase Transaction as a purchaser, an acquirer or a participant (or similar capacity) shall (or the Borrower(s) shall, on its behalf), by 5pm on the Business Day following the day on which it entered into that Debt Purchase Transaction, notify the Agent of the extent of the Commitment(s) (or any commitment represented thereby), any Loan or any amount(s) outstanding to which that Debt Purchase Transaction relates. The Agent shall promptly disclose such information to the Lenders.</w:t>
      </w:r>
    </w:p>
    <w:p>
      <w:pPr>
        <w:spacing w:after="0" w:line="330" w:lineRule="exact"/>
        <w:rPr>
          <w:sz w:val="20"/>
          <w:szCs w:val="20"/>
          <w:color w:val="auto"/>
        </w:rPr>
      </w:pPr>
    </w:p>
    <w:p>
      <w:pPr>
        <w:ind w:left="430" w:hanging="430"/>
        <w:spacing w:after="0"/>
        <w:tabs>
          <w:tab w:leader="none" w:pos="430" w:val="left"/>
        </w:tabs>
        <w:numPr>
          <w:ilvl w:val="0"/>
          <w:numId w:val="9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12" w:lineRule="exact"/>
        <w:rPr>
          <w:rFonts w:ascii="Times New Roman" w:cs="Times New Roman" w:eastAsia="Times New Roman" w:hAnsi="Times New Roman"/>
          <w:sz w:val="18"/>
          <w:szCs w:val="18"/>
          <w:b w:val="1"/>
          <w:bCs w:val="1"/>
          <w:color w:val="auto"/>
        </w:rPr>
      </w:pPr>
    </w:p>
    <w:p>
      <w:pPr>
        <w:ind w:left="430" w:right="18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may be executed in any number of counterparts, and this has the same effect as if the signatures on such counterparts were on a single copy of this Agreement.</w:t>
      </w:r>
    </w:p>
    <w:p>
      <w:pPr>
        <w:spacing w:after="0" w:line="312"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9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U.S.A. PATRIOT ACT</w:t>
      </w:r>
    </w:p>
    <w:p>
      <w:pPr>
        <w:spacing w:after="0" w:line="112" w:lineRule="exact"/>
        <w:rPr>
          <w:rFonts w:ascii="Times New Roman" w:cs="Times New Roman" w:eastAsia="Times New Roman" w:hAnsi="Times New Roman"/>
          <w:sz w:val="18"/>
          <w:szCs w:val="18"/>
          <w:b w:val="1"/>
          <w:bCs w:val="1"/>
          <w:color w:val="auto"/>
        </w:rPr>
      </w:pPr>
    </w:p>
    <w:p>
      <w:pPr>
        <w:ind w:left="43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Lender that is subject to the requirements of the U.S.A. Patriot Act hereby notifies the Borrower(s) that pursuant to the requirements of the U.S.A. Patriot Act, such Lender is required to obtain, verify and record information that identifies the Borrower(s), which information includes the name and address of the Borrower(s) and other information that will allow such Lender to identify the Borrower(s) in accordance with the U.S.A. Patriot Act.</w:t>
      </w:r>
    </w:p>
    <w:p>
      <w:pPr>
        <w:spacing w:after="0" w:line="1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770"/>
          </w:cols>
          <w:pgMar w:left="550" w:top="266" w:right="579" w:bottom="1440" w:gutter="0" w:footer="0" w:header="0"/>
        </w:sectPr>
      </w:pPr>
    </w:p>
    <w:bookmarkStart w:id="642" w:name="page643"/>
    <w:bookmarkEnd w:id="642"/>
    <w:p>
      <w:pPr>
        <w:ind w:left="430" w:hanging="430"/>
        <w:spacing w:after="0"/>
        <w:tabs>
          <w:tab w:leader="none" w:pos="430" w:val="left"/>
        </w:tabs>
        <w:numPr>
          <w:ilvl w:val="0"/>
          <w:numId w:val="9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BAIL-IN</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38.1 Contractual recognition of bail-in</w:t>
      </w:r>
    </w:p>
    <w:p>
      <w:pPr>
        <w:spacing w:after="0" w:line="112" w:lineRule="exact"/>
        <w:rPr>
          <w:sz w:val="20"/>
          <w:szCs w:val="20"/>
          <w:color w:val="auto"/>
        </w:rPr>
      </w:pPr>
    </w:p>
    <w:p>
      <w:pPr>
        <w:jc w:val="both"/>
        <w:ind w:left="430" w:right="120"/>
        <w:spacing w:after="0" w:line="258" w:lineRule="auto"/>
        <w:rPr>
          <w:sz w:val="20"/>
          <w:szCs w:val="20"/>
          <w:color w:val="auto"/>
        </w:rPr>
      </w:pPr>
      <w:r>
        <w:rPr>
          <w:rFonts w:ascii="Times New Roman" w:cs="Times New Roman" w:eastAsia="Times New Roman" w:hAnsi="Times New Roman"/>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86" w:lineRule="exact"/>
        <w:rPr>
          <w:sz w:val="20"/>
          <w:szCs w:val="20"/>
          <w:color w:val="auto"/>
        </w:rPr>
      </w:pPr>
    </w:p>
    <w:p>
      <w:pPr>
        <w:ind w:left="1050" w:hanging="626"/>
        <w:spacing w:after="0"/>
        <w:tabs>
          <w:tab w:leader="none" w:pos="1050"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Bail-In Action in relation to any such liability, including (without limitation):</w:t>
      </w:r>
    </w:p>
    <w:p>
      <w:pPr>
        <w:spacing w:after="0" w:line="123" w:lineRule="exact"/>
        <w:rPr>
          <w:rFonts w:ascii="Times New Roman" w:cs="Times New Roman" w:eastAsia="Times New Roman" w:hAnsi="Times New Roman"/>
          <w:sz w:val="18"/>
          <w:szCs w:val="18"/>
          <w:color w:val="auto"/>
        </w:rPr>
      </w:pPr>
    </w:p>
    <w:p>
      <w:pPr>
        <w:ind w:left="1710" w:right="140" w:hanging="639"/>
        <w:spacing w:after="0" w:line="270" w:lineRule="auto"/>
        <w:tabs>
          <w:tab w:leader="none" w:pos="1710" w:val="left"/>
        </w:tabs>
        <w:numPr>
          <w:ilvl w:val="1"/>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in the principal amount, or outstanding amount due (including any accrued but unpaid interest) in respect of any such liability;</w:t>
      </w:r>
    </w:p>
    <w:p>
      <w:pPr>
        <w:spacing w:after="0" w:line="76" w:lineRule="exact"/>
        <w:rPr>
          <w:rFonts w:ascii="Times New Roman" w:cs="Times New Roman" w:eastAsia="Times New Roman" w:hAnsi="Times New Roman"/>
          <w:sz w:val="18"/>
          <w:szCs w:val="18"/>
          <w:color w:val="auto"/>
        </w:rPr>
      </w:pPr>
    </w:p>
    <w:p>
      <w:pPr>
        <w:ind w:left="1710" w:right="20" w:hanging="639"/>
        <w:spacing w:after="0" w:line="270" w:lineRule="auto"/>
        <w:tabs>
          <w:tab w:leader="none" w:pos="1710" w:val="left"/>
        </w:tabs>
        <w:numPr>
          <w:ilvl w:val="1"/>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part of, any such liability into shares or other instruments of ownership that may be issued to, or conferred on, it; and</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1"/>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of any such liability; and</w:t>
      </w:r>
    </w:p>
    <w:p>
      <w:pPr>
        <w:spacing w:after="0" w:line="123" w:lineRule="exact"/>
        <w:rPr>
          <w:rFonts w:ascii="Times New Roman" w:cs="Times New Roman" w:eastAsia="Times New Roman" w:hAnsi="Times New Roman"/>
          <w:sz w:val="18"/>
          <w:szCs w:val="18"/>
          <w:color w:val="auto"/>
        </w:rPr>
      </w:pPr>
    </w:p>
    <w:p>
      <w:pPr>
        <w:ind w:left="1050" w:right="480" w:hanging="626"/>
        <w:spacing w:after="0" w:line="270" w:lineRule="auto"/>
        <w:tabs>
          <w:tab w:leader="none" w:pos="1050"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variation of any term of any Finance Document to the extent necessary to give effect to any Bail-In Action in relation to any such liability.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38.2 Bail-in definitions</w:t>
      </w:r>
    </w:p>
    <w:p>
      <w:pPr>
        <w:spacing w:after="0" w:line="11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In this Clause 38:</w:t>
      </w:r>
    </w:p>
    <w:p>
      <w:pPr>
        <w:spacing w:after="0" w:line="108" w:lineRule="exact"/>
        <w:rPr>
          <w:sz w:val="20"/>
          <w:szCs w:val="20"/>
          <w:color w:val="auto"/>
        </w:rPr>
      </w:pPr>
    </w:p>
    <w:p>
      <w:pPr>
        <w:ind w:left="430" w:right="2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Article 55 BRRD </w:t>
      </w:r>
      <w:r>
        <w:rPr>
          <w:rFonts w:ascii="Times New Roman" w:cs="Times New Roman" w:eastAsia="Times New Roman" w:hAnsi="Times New Roman"/>
          <w:sz w:val="18"/>
          <w:szCs w:val="18"/>
          <w:color w:val="auto"/>
        </w:rPr>
        <w:t>means Article 55 of Directive 2014/59/EU establishing a framework for the recovery and resolution of credit institutions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firms.</w:t>
      </w:r>
    </w:p>
    <w:p>
      <w:pPr>
        <w:spacing w:after="0" w:line="5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Bail-In Action </w:t>
      </w:r>
      <w:r>
        <w:rPr>
          <w:rFonts w:ascii="Times New Roman" w:cs="Times New Roman" w:eastAsia="Times New Roman" w:hAnsi="Times New Roman"/>
          <w:sz w:val="18"/>
          <w:szCs w:val="18"/>
          <w:color w:val="auto"/>
        </w:rPr>
        <w:t>means the exercise of any Write-down and Conversion Powers.</w:t>
      </w:r>
    </w:p>
    <w:p>
      <w:pPr>
        <w:spacing w:after="0" w:line="11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Bail-In Legislation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620" w:hanging="626"/>
        <w:spacing w:after="0" w:line="270" w:lineRule="auto"/>
        <w:tabs>
          <w:tab w:leader="none" w:pos="1050"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76"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United Kingdom, the UK Bail-in Legislation; and</w:t>
      </w:r>
    </w:p>
    <w:p>
      <w:pPr>
        <w:spacing w:after="0" w:line="123" w:lineRule="exact"/>
        <w:rPr>
          <w:rFonts w:ascii="Times New Roman" w:cs="Times New Roman" w:eastAsia="Times New Roman" w:hAnsi="Times New Roman"/>
          <w:sz w:val="18"/>
          <w:szCs w:val="18"/>
          <w:color w:val="auto"/>
        </w:rPr>
      </w:pPr>
    </w:p>
    <w:p>
      <w:pPr>
        <w:ind w:left="1050" w:right="120" w:hanging="626"/>
        <w:spacing w:after="0" w:line="270" w:lineRule="auto"/>
        <w:tabs>
          <w:tab w:leader="none" w:pos="1050"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61"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EEA Member Country </w:t>
      </w:r>
      <w:r>
        <w:rPr>
          <w:rFonts w:ascii="Times New Roman" w:cs="Times New Roman" w:eastAsia="Times New Roman" w:hAnsi="Times New Roman"/>
          <w:sz w:val="18"/>
          <w:szCs w:val="18"/>
          <w:color w:val="auto"/>
        </w:rPr>
        <w:t>means any member state of the European Union, Iceland, Liechtenstein and Norway.</w:t>
      </w:r>
    </w:p>
    <w:p>
      <w:pPr>
        <w:spacing w:after="0" w:line="110" w:lineRule="exact"/>
        <w:rPr>
          <w:sz w:val="20"/>
          <w:szCs w:val="20"/>
          <w:color w:val="auto"/>
        </w:rPr>
      </w:pPr>
    </w:p>
    <w:p>
      <w:pPr>
        <w:ind w:left="430" w:right="56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EU Bail-In Legislation Schedule </w:t>
      </w:r>
      <w:r>
        <w:rPr>
          <w:rFonts w:ascii="Times New Roman" w:cs="Times New Roman" w:eastAsia="Times New Roman" w:hAnsi="Times New Roman"/>
          <w:sz w:val="18"/>
          <w:szCs w:val="18"/>
          <w:color w:val="auto"/>
        </w:rPr>
        <w:t>means the document described as such and published by the Loan Market Association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from time to time.</w:t>
      </w:r>
    </w:p>
    <w:p>
      <w:pPr>
        <w:spacing w:after="0" w:line="58"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Resolution Authority </w:t>
      </w:r>
      <w:r>
        <w:rPr>
          <w:rFonts w:ascii="Times New Roman" w:cs="Times New Roman" w:eastAsia="Times New Roman" w:hAnsi="Times New Roman"/>
          <w:sz w:val="18"/>
          <w:szCs w:val="18"/>
          <w:color w:val="auto"/>
        </w:rPr>
        <w:t>means any body which has authority to exercise any Write-down and Conversion Powers.</w:t>
      </w:r>
    </w:p>
    <w:p>
      <w:pPr>
        <w:spacing w:after="0" w:line="110" w:lineRule="exact"/>
        <w:rPr>
          <w:sz w:val="20"/>
          <w:szCs w:val="20"/>
          <w:color w:val="auto"/>
        </w:rPr>
      </w:pPr>
    </w:p>
    <w:p>
      <w:pPr>
        <w:ind w:left="43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UK Bail-In Legislation </w:t>
      </w:r>
      <w:r>
        <w:rPr>
          <w:rFonts w:ascii="Times New Roman" w:cs="Times New Roman" w:eastAsia="Times New Roman" w:hAnsi="Times New Roman"/>
          <w:sz w:val="18"/>
          <w:szCs w:val="18"/>
          <w:color w:val="auto"/>
        </w:rPr>
        <w:t>means Part I of the United Kingdom Banking Act 2009 and any other law or regulation applicable in the United Kingdom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resolution of unsound or failing banks, investment firms or other financial institutions or their affiliates (otherwise than through liquidation, administration or other insolvency proceedings).</w:t>
      </w:r>
    </w:p>
    <w:p>
      <w:pPr>
        <w:spacing w:after="0" w:line="70"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b w:val="1"/>
          <w:bCs w:val="1"/>
          <w:color w:val="auto"/>
        </w:rPr>
        <w:t xml:space="preserve">Write-down and Conversion Powers </w:t>
      </w:r>
      <w:r>
        <w:rPr>
          <w:rFonts w:ascii="Times New Roman" w:cs="Times New Roman" w:eastAsia="Times New Roman" w:hAnsi="Times New Roman"/>
          <w:sz w:val="18"/>
          <w:szCs w:val="18"/>
          <w:color w:val="auto"/>
        </w:rPr>
        <w:t>means:</w:t>
      </w:r>
    </w:p>
    <w:p>
      <w:pPr>
        <w:spacing w:after="0" w:line="126" w:lineRule="exact"/>
        <w:rPr>
          <w:sz w:val="20"/>
          <w:szCs w:val="20"/>
          <w:color w:val="auto"/>
        </w:rPr>
      </w:pPr>
    </w:p>
    <w:p>
      <w:pPr>
        <w:ind w:left="1050" w:right="40" w:hanging="626"/>
        <w:spacing w:after="0" w:line="270" w:lineRule="auto"/>
        <w:tabs>
          <w:tab w:leader="none" w:pos="1050"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76" w:lineRule="exact"/>
        <w:rPr>
          <w:rFonts w:ascii="Times New Roman" w:cs="Times New Roman" w:eastAsia="Times New Roman" w:hAnsi="Times New Roman"/>
          <w:sz w:val="18"/>
          <w:szCs w:val="18"/>
          <w:color w:val="auto"/>
        </w:rPr>
      </w:pPr>
    </w:p>
    <w:p>
      <w:pPr>
        <w:ind w:left="1050" w:right="60" w:hanging="626"/>
        <w:spacing w:after="0" w:line="250" w:lineRule="auto"/>
        <w:tabs>
          <w:tab w:leader="none" w:pos="1050"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90"/>
          </w:cols>
          <w:pgMar w:left="550" w:top="263" w:right="559" w:bottom="1440" w:gutter="0" w:footer="0" w:header="0"/>
        </w:sectPr>
      </w:pPr>
    </w:p>
    <w:bookmarkStart w:id="643" w:name="page644"/>
    <w:bookmarkEnd w:id="643"/>
    <w:p>
      <w:pPr>
        <w:ind w:left="1050" w:hanging="626"/>
        <w:spacing w:after="0"/>
        <w:tabs>
          <w:tab w:leader="none" w:pos="1050" w:val="left"/>
        </w:tabs>
        <w:numPr>
          <w:ilvl w:val="1"/>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 relation to any other applicable Bail-In Legislation:</w:t>
      </w:r>
    </w:p>
    <w:p>
      <w:pPr>
        <w:spacing w:after="0" w:line="123" w:lineRule="exact"/>
        <w:rPr>
          <w:rFonts w:ascii="Times New Roman" w:cs="Times New Roman" w:eastAsia="Times New Roman" w:hAnsi="Times New Roman"/>
          <w:sz w:val="18"/>
          <w:szCs w:val="18"/>
          <w:color w:val="auto"/>
        </w:rPr>
      </w:pPr>
    </w:p>
    <w:p>
      <w:pPr>
        <w:ind w:left="1710" w:right="20" w:hanging="639"/>
        <w:spacing w:after="0" w:line="250" w:lineRule="auto"/>
        <w:tabs>
          <w:tab w:leader="none" w:pos="1710" w:val="left"/>
        </w:tabs>
        <w:numPr>
          <w:ilvl w:val="2"/>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94"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2"/>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similar or analogous powers under that Bail-In Legislation.</w:t>
      </w:r>
    </w:p>
    <w:p>
      <w:pPr>
        <w:spacing w:after="0" w:line="359" w:lineRule="exact"/>
        <w:rPr>
          <w:rFonts w:ascii="Times New Roman" w:cs="Times New Roman" w:eastAsia="Times New Roman" w:hAnsi="Times New Roman"/>
          <w:sz w:val="18"/>
          <w:szCs w:val="18"/>
          <w:color w:val="auto"/>
        </w:rPr>
      </w:pPr>
    </w:p>
    <w:p>
      <w:pPr>
        <w:ind w:left="430" w:hanging="430"/>
        <w:spacing w:after="0"/>
        <w:tabs>
          <w:tab w:leader="none" w:pos="430" w:val="left"/>
        </w:tabs>
        <w:numPr>
          <w:ilvl w:val="0"/>
          <w:numId w:val="9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HK STAY RULES</w:t>
      </w:r>
    </w:p>
    <w:p>
      <w:pPr>
        <w:spacing w:after="0" w:line="125" w:lineRule="exact"/>
        <w:rPr>
          <w:rFonts w:ascii="Times New Roman" w:cs="Times New Roman" w:eastAsia="Times New Roman" w:hAnsi="Times New Roman"/>
          <w:sz w:val="18"/>
          <w:szCs w:val="18"/>
          <w:b w:val="1"/>
          <w:bCs w:val="1"/>
          <w:color w:val="auto"/>
        </w:rPr>
      </w:pPr>
    </w:p>
    <w:p>
      <w:pPr>
        <w:ind w:left="1050" w:right="80" w:hanging="626"/>
        <w:spacing w:after="0" w:line="250" w:lineRule="auto"/>
        <w:tabs>
          <w:tab w:leader="none" w:pos="1050" w:val="left"/>
        </w:tabs>
        <w:numPr>
          <w:ilvl w:val="1"/>
          <w:numId w:val="9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any Finance Document is or becomes a “covered contract” (within the meaning of the Financial Institutions (Resolution) (Contractual Recognition of Suspension of Termination Rights – Banking Sector) Rules (Cap. 628C) of Hong Kong (the </w:t>
      </w:r>
      <w:r>
        <w:rPr>
          <w:rFonts w:ascii="Times New Roman" w:cs="Times New Roman" w:eastAsia="Times New Roman" w:hAnsi="Times New Roman"/>
          <w:sz w:val="18"/>
          <w:szCs w:val="18"/>
          <w:b w:val="1"/>
          <w:bCs w:val="1"/>
          <w:color w:val="auto"/>
        </w:rPr>
        <w:t>Stay Rules</w:t>
      </w:r>
      <w:r>
        <w:rPr>
          <w:rFonts w:ascii="Times New Roman" w:cs="Times New Roman" w:eastAsia="Times New Roman" w:hAnsi="Times New Roman"/>
          <w:sz w:val="18"/>
          <w:szCs w:val="18"/>
          <w:color w:val="auto"/>
        </w:rPr>
        <w:t>)), the Parties agree that, despite any other term or conditions of any Finance Document or any other agreement, arrangement or understanding, the parties (other than an excluded counterparty (within the meaning of the Stay Rules)) will be bound by a suspension of a “termination right” (within the meaning of the Stay Rules) in relation to this Agreement imposed by the Resolution Authority under section 90(2) of the Financial Institutions (Resolution) Ordinance (Cap. 628) of Hong Kong.</w:t>
      </w:r>
    </w:p>
    <w:p>
      <w:pPr>
        <w:spacing w:after="0" w:line="94"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1"/>
          <w:numId w:val="9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Clause 39:</w:t>
      </w:r>
    </w:p>
    <w:p>
      <w:pPr>
        <w:spacing w:after="0" w:line="108" w:lineRule="exact"/>
        <w:rPr>
          <w:sz w:val="20"/>
          <w:szCs w:val="20"/>
          <w:color w:val="auto"/>
        </w:rPr>
      </w:pPr>
    </w:p>
    <w:p>
      <w:pPr>
        <w:ind w:left="1070" w:right="2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Resolution Authority </w:t>
      </w:r>
      <w:r>
        <w:rPr>
          <w:rFonts w:ascii="Times New Roman" w:cs="Times New Roman" w:eastAsia="Times New Roman" w:hAnsi="Times New Roman"/>
          <w:sz w:val="18"/>
          <w:szCs w:val="18"/>
          <w:color w:val="auto"/>
        </w:rPr>
        <w:t>means the resolution authority in relation to a banking sector entity from time to time, which is currently the Hong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Kong Monetary Authority.</w:t>
      </w:r>
    </w:p>
    <w:p>
      <w:pPr>
        <w:spacing w:after="0" w:line="309" w:lineRule="exact"/>
        <w:rPr>
          <w:sz w:val="20"/>
          <w:szCs w:val="20"/>
          <w:color w:val="auto"/>
        </w:rPr>
      </w:pPr>
    </w:p>
    <w:p>
      <w:pPr>
        <w:ind w:left="430" w:hanging="430"/>
        <w:spacing w:after="0"/>
        <w:tabs>
          <w:tab w:leader="none" w:pos="430" w:val="left"/>
        </w:tabs>
        <w:numPr>
          <w:ilvl w:val="0"/>
          <w:numId w:val="9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BANKING (EXPOSURE LIMITS) RULES</w:t>
      </w:r>
    </w:p>
    <w:p>
      <w:pPr>
        <w:spacing w:after="0" w:line="126" w:lineRule="exact"/>
        <w:rPr>
          <w:sz w:val="20"/>
          <w:szCs w:val="20"/>
          <w:color w:val="auto"/>
        </w:rPr>
      </w:pPr>
    </w:p>
    <w:p>
      <w:pPr>
        <w:ind w:left="430" w:right="380" w:hanging="430"/>
        <w:spacing w:after="0" w:line="258" w:lineRule="auto"/>
        <w:tabs>
          <w:tab w:leader="none" w:pos="430"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acknowledge that the Banking (Exposure Limits) Rules (Cap. 155S) and regulations in respect thereof in Hong Kong have imposed on each Lender incorporated in Hong Kong certain limitations on advances to persons related or connected to the applicable Finance Party Group. By entering into this Agreement, the Borrower(s) agree that:</w:t>
      </w:r>
    </w:p>
    <w:p>
      <w:pPr>
        <w:spacing w:after="0" w:line="85" w:lineRule="exact"/>
        <w:rPr>
          <w:rFonts w:ascii="Times New Roman" w:cs="Times New Roman" w:eastAsia="Times New Roman" w:hAnsi="Times New Roman"/>
          <w:sz w:val="18"/>
          <w:szCs w:val="18"/>
          <w:color w:val="auto"/>
        </w:rPr>
      </w:pPr>
    </w:p>
    <w:p>
      <w:pPr>
        <w:ind w:left="1050" w:right="140" w:hanging="626"/>
        <w:spacing w:after="0" w:line="270" w:lineRule="auto"/>
        <w:tabs>
          <w:tab w:leader="none" w:pos="1050" w:val="left"/>
        </w:tabs>
        <w:numPr>
          <w:ilvl w:val="1"/>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to the best of its knowledge, advise the relevant Lender in writing if it is in any way related or connected to the relevant Finance Party Group; and</w:t>
      </w:r>
    </w:p>
    <w:p>
      <w:pPr>
        <w:spacing w:after="0" w:line="76" w:lineRule="exact"/>
        <w:rPr>
          <w:rFonts w:ascii="Times New Roman" w:cs="Times New Roman" w:eastAsia="Times New Roman" w:hAnsi="Times New Roman"/>
          <w:sz w:val="18"/>
          <w:szCs w:val="18"/>
          <w:color w:val="auto"/>
        </w:rPr>
      </w:pPr>
    </w:p>
    <w:p>
      <w:pPr>
        <w:ind w:left="1050" w:right="420" w:hanging="626"/>
        <w:spacing w:after="0" w:line="270" w:lineRule="auto"/>
        <w:tabs>
          <w:tab w:leader="none" w:pos="1050" w:val="left"/>
        </w:tabs>
        <w:numPr>
          <w:ilvl w:val="1"/>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becomes aware that it is so related or connected at any time after the date of this Agreement, that it shall immediately advise the relevant Lender in writing,</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and, in each case, in the absence of such advice, each relevant Lender will assume that the Borrower(s) is not so related or connected.</w:t>
      </w:r>
    </w:p>
    <w:p>
      <w:pPr>
        <w:spacing w:after="0" w:line="124" w:lineRule="exact"/>
        <w:rPr>
          <w:sz w:val="20"/>
          <w:szCs w:val="20"/>
          <w:color w:val="auto"/>
        </w:rPr>
      </w:pPr>
    </w:p>
    <w:p>
      <w:pPr>
        <w:ind w:left="430" w:hanging="430"/>
        <w:spacing w:after="0" w:line="270" w:lineRule="auto"/>
        <w:tabs>
          <w:tab w:leader="none" w:pos="430"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refer to Schedule 8 (Banking (Exposure Limits) Rules) for an explanation of when it may be considered related or connected to a Finance Party Group for the purposes of this Agreement.</w:t>
      </w:r>
    </w:p>
    <w:p>
      <w:pPr>
        <w:spacing w:after="0" w:line="312" w:lineRule="exact"/>
        <w:rPr>
          <w:sz w:val="20"/>
          <w:szCs w:val="20"/>
          <w:color w:val="auto"/>
        </w:rPr>
      </w:pPr>
    </w:p>
    <w:p>
      <w:pPr>
        <w:ind w:left="430" w:hanging="430"/>
        <w:spacing w:after="0"/>
        <w:tabs>
          <w:tab w:leader="none" w:pos="430" w:val="left"/>
        </w:tabs>
        <w:numPr>
          <w:ilvl w:val="0"/>
          <w:numId w:val="9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2" w:lineRule="exact"/>
        <w:rPr>
          <w:rFonts w:ascii="Times New Roman" w:cs="Times New Roman" w:eastAsia="Times New Roman" w:hAnsi="Times New Roman"/>
          <w:sz w:val="18"/>
          <w:szCs w:val="18"/>
          <w:b w:val="1"/>
          <w:bCs w:val="1"/>
          <w:color w:val="auto"/>
        </w:rPr>
      </w:pPr>
    </w:p>
    <w:p>
      <w:pPr>
        <w:ind w:left="43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any non-contractual obligations arising out of or in connection with it are governed by English law.</w:t>
      </w:r>
    </w:p>
    <w:p>
      <w:pPr>
        <w:spacing w:after="0" w:line="359"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9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ENFORCEMENT</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42.1 Jurisdiction of English Courts</w:t>
      </w:r>
    </w:p>
    <w:p>
      <w:pPr>
        <w:spacing w:after="0" w:line="126" w:lineRule="exact"/>
        <w:rPr>
          <w:sz w:val="20"/>
          <w:szCs w:val="20"/>
          <w:color w:val="auto"/>
        </w:rPr>
      </w:pPr>
    </w:p>
    <w:p>
      <w:pPr>
        <w:ind w:left="430" w:right="320" w:hanging="430"/>
        <w:spacing w:after="0" w:line="258" w:lineRule="auto"/>
        <w:tabs>
          <w:tab w:leader="none" w:pos="430"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courts of England have exclusive jurisdiction to settle any dispute arising out of or in connection with this Agreement (including a dispute regarding the existence, validity or termination of this Agreement or any non-contractual obligation arising out of or in connection with this Agreement)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430" w:right="120" w:hanging="430"/>
        <w:spacing w:after="0" w:line="270" w:lineRule="auto"/>
        <w:tabs>
          <w:tab w:leader="none" w:pos="430"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the courts of England are the most appropriate and convenient courts to settle Disputes and accordingly no Party will argue to the contrary.</w:t>
      </w:r>
    </w:p>
    <w:p>
      <w:pPr>
        <w:spacing w:after="0" w:line="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42.2 Service of process</w:t>
      </w:r>
    </w:p>
    <w:p>
      <w:pPr>
        <w:spacing w:after="0" w:line="126" w:lineRule="exact"/>
        <w:rPr>
          <w:sz w:val="20"/>
          <w:szCs w:val="20"/>
          <w:color w:val="auto"/>
        </w:rPr>
      </w:pPr>
    </w:p>
    <w:p>
      <w:pPr>
        <w:ind w:left="5310" w:right="3740" w:hanging="5310"/>
        <w:spacing w:after="0" w:line="439" w:lineRule="auto"/>
        <w:tabs>
          <w:tab w:leader="none" w:pos="427"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any other mode of service allowed under any relevant law, each Obligor: 59</w:t>
      </w:r>
    </w:p>
    <w:p>
      <w:pPr>
        <w:sectPr>
          <w:pgSz w:w="11900" w:h="16838" w:orient="portrait"/>
          <w:cols w:equalWidth="0" w:num="1">
            <w:col w:w="10790"/>
          </w:cols>
          <w:pgMar w:left="550" w:top="266" w:right="559" w:bottom="1440" w:gutter="0" w:footer="0" w:header="0"/>
        </w:sectPr>
      </w:pPr>
    </w:p>
    <w:bookmarkStart w:id="644" w:name="page645"/>
    <w:bookmarkEnd w:id="644"/>
    <w:p>
      <w:pPr>
        <w:ind w:left="1050" w:right="60" w:hanging="626"/>
        <w:spacing w:after="0" w:line="300" w:lineRule="auto"/>
        <w:tabs>
          <w:tab w:leader="none" w:pos="1050" w:val="left"/>
        </w:tabs>
        <w:numPr>
          <w:ilvl w:val="1"/>
          <w:numId w:val="9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5">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irrevocably appoints Jingdong Retail (UK) Limited, as at the date of this Agreement, at Floor 3, 20 King Street, London, SW1Y 6QY, as its agent for service of process in relation to any proceedings before the English courts in connection with this Agreement; and</w:t>
      </w:r>
    </w:p>
    <w:p>
      <w:pPr>
        <w:spacing w:after="0" w:line="53" w:lineRule="exact"/>
        <w:rPr>
          <w:rFonts w:ascii="Times New Roman" w:cs="Times New Roman" w:eastAsia="Times New Roman" w:hAnsi="Times New Roman"/>
          <w:sz w:val="17"/>
          <w:szCs w:val="17"/>
          <w:color w:val="auto"/>
        </w:rPr>
      </w:pPr>
    </w:p>
    <w:p>
      <w:pPr>
        <w:ind w:left="1050" w:hanging="626"/>
        <w:spacing w:after="0"/>
        <w:tabs>
          <w:tab w:leader="none" w:pos="1050" w:val="left"/>
        </w:tabs>
        <w:numPr>
          <w:ilvl w:val="1"/>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failure by a process agent to notify the relevant Obligor of the process will not invalidate the proceedings concerned.</w:t>
      </w:r>
    </w:p>
    <w:p>
      <w:pPr>
        <w:spacing w:after="0" w:line="123" w:lineRule="exact"/>
        <w:rPr>
          <w:rFonts w:ascii="Times New Roman" w:cs="Times New Roman" w:eastAsia="Times New Roman" w:hAnsi="Times New Roman"/>
          <w:sz w:val="18"/>
          <w:szCs w:val="18"/>
          <w:color w:val="auto"/>
        </w:rPr>
      </w:pPr>
    </w:p>
    <w:p>
      <w:pPr>
        <w:jc w:val="both"/>
        <w:ind w:left="430" w:hanging="430"/>
        <w:spacing w:after="0" w:line="258" w:lineRule="auto"/>
        <w:tabs>
          <w:tab w:leader="none" w:pos="430" w:val="left"/>
        </w:tabs>
        <w:numPr>
          <w:ilvl w:val="0"/>
          <w:numId w:val="9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appointed as an agent for service of process is unable for any reason to act as agent for service of process, the Borrower(s) (for itself and on behalf of the Guarantor) must immediately (and in any event within ten (10) days of the event taking place) appoint another agent on terms acceptable to the Agent. Failing this, the Agent may appoint another agent for this purpose.</w:t>
      </w:r>
    </w:p>
    <w:p>
      <w:pPr>
        <w:spacing w:after="0" w:line="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42.3 Waiver of immunity</w:t>
      </w:r>
    </w:p>
    <w:p>
      <w:pPr>
        <w:spacing w:after="0" w:line="112"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Each Obligor irrevocably waives, to the extent permitted by applicable law, with respect to itself and its revenues and assets (irrespective of their use or intended use), all immunity on the grounds of sovereignty or other similar grounds from:</w:t>
      </w:r>
    </w:p>
    <w:p>
      <w:pPr>
        <w:spacing w:after="0" w:line="76" w:lineRule="exact"/>
        <w:rPr>
          <w:sz w:val="20"/>
          <w:szCs w:val="20"/>
          <w:color w:val="auto"/>
        </w:rPr>
      </w:pPr>
    </w:p>
    <w:p>
      <w:pPr>
        <w:ind w:left="1050" w:hanging="626"/>
        <w:spacing w:after="0"/>
        <w:tabs>
          <w:tab w:leader="none" w:pos="105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 of any court;</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by way of injunction or order for specific performance or recovery of property;</w:t>
      </w:r>
    </w:p>
    <w:p>
      <w:pPr>
        <w:spacing w:after="0" w:line="123" w:lineRule="exact"/>
        <w:rPr>
          <w:rFonts w:ascii="Times New Roman" w:cs="Times New Roman" w:eastAsia="Times New Roman" w:hAnsi="Times New Roman"/>
          <w:sz w:val="18"/>
          <w:szCs w:val="18"/>
          <w:color w:val="auto"/>
        </w:rPr>
      </w:pPr>
    </w:p>
    <w:p>
      <w:pPr>
        <w:ind w:left="1050" w:hanging="626"/>
        <w:spacing w:after="0"/>
        <w:tabs>
          <w:tab w:leader="none" w:pos="105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attachment of its assets (whether before or after judgment); and</w:t>
      </w:r>
    </w:p>
    <w:p>
      <w:pPr>
        <w:spacing w:after="0" w:line="123" w:lineRule="exact"/>
        <w:rPr>
          <w:rFonts w:ascii="Times New Roman" w:cs="Times New Roman" w:eastAsia="Times New Roman" w:hAnsi="Times New Roman"/>
          <w:sz w:val="18"/>
          <w:szCs w:val="18"/>
          <w:color w:val="auto"/>
        </w:rPr>
      </w:pPr>
    </w:p>
    <w:p>
      <w:pPr>
        <w:ind w:left="1050" w:right="260" w:hanging="626"/>
        <w:spacing w:after="0" w:line="258" w:lineRule="auto"/>
        <w:tabs>
          <w:tab w:leader="none" w:pos="1050"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or enforcement of any judgment to which it or its revenues or assets might otherwise be entitled in any proceedings in the courts of any jurisdiction (and irrevocably agrees, to the extent permitted by applicable law, that it will not claim any immunity in any such proceedings).</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has been entered into on the date stated at the beginning of this Agreement.</w:t>
      </w:r>
    </w:p>
    <w:p>
      <w:pPr>
        <w:spacing w:after="0" w:line="152" w:lineRule="exact"/>
        <w:rPr>
          <w:sz w:val="20"/>
          <w:szCs w:val="20"/>
          <w:color w:val="auto"/>
        </w:rPr>
      </w:pPr>
    </w:p>
    <w:p>
      <w:pPr>
        <w:ind w:left="531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50"/>
          </w:cols>
          <w:pgMar w:left="550" w:top="266" w:right="599" w:bottom="1440" w:gutter="0" w:footer="0" w:header="0"/>
        </w:sectPr>
      </w:pPr>
    </w:p>
    <w:bookmarkStart w:id="645" w:name="page646"/>
    <w:bookmarkEnd w:id="64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SCHEDULES AND SIGNATORIES</w:t>
      </w:r>
    </w:p>
    <w:p>
      <w:pPr>
        <w:sectPr>
          <w:pgSz w:w="11900" w:h="16838" w:orient="portrait"/>
          <w:cols w:equalWidth="0" w:num="1">
            <w:col w:w="9019"/>
          </w:cols>
          <w:pgMar w:left="1440" w:top="264" w:right="1440"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[REDACTED]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019"/>
          </w:cols>
          <w:pgMar w:left="1440" w:top="264" w:right="1440" w:bottom="1440" w:gutter="0" w:footer="0" w:header="0"/>
          <w:type w:val="continuous"/>
        </w:sectPr>
      </w:pPr>
    </w:p>
    <w:bookmarkStart w:id="646" w:name="page647"/>
    <w:bookmarkEnd w:id="646"/>
    <w:p>
      <w:pPr>
        <w:ind w:left="9860"/>
        <w:spacing w:after="0"/>
        <w:rPr>
          <w:sz w:val="20"/>
          <w:szCs w:val="20"/>
          <w:color w:val="auto"/>
        </w:rPr>
      </w:pPr>
      <w:r>
        <w:rPr>
          <w:rFonts w:ascii="Times New Roman" w:cs="Times New Roman" w:eastAsia="Times New Roman" w:hAnsi="Times New Roman"/>
          <w:sz w:val="17"/>
          <w:szCs w:val="17"/>
          <w:b w:val="1"/>
          <w:bCs w:val="1"/>
          <w:color w:val="auto"/>
        </w:rPr>
        <w:t>Exhibit 4.39</w:t>
      </w:r>
    </w:p>
    <w:p>
      <w:pPr>
        <w:spacing w:after="0" w:line="228"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8"/>
          <w:szCs w:val="18"/>
          <w:b w:val="1"/>
          <w:bCs w:val="1"/>
          <w:color w:val="auto"/>
        </w:rPr>
        <w:t>THE SYMBOL “[***]” OR “[REDACTED]” DENOTES PLACES WHERE CERTAIN IDENTIFIED INFORMATION HAS BEEN EXCLUDED FROM THE EXHIBIT BECAUSE IT IS BOTH (i) NOT MATERIAL, AND (ii) IS THE TYPE THAT THE REGISTRANT TREATS AS PRIVATE OR CONFIDENTIAL.</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CECONOMY AG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JINGDONG HOLDING GERMANY GmbH</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JD.com International Limited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relating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Project Galaxy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Junghofstr. 9</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60311 Frankfurt am Main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www.kirkland.com</w:t>
      </w:r>
    </w:p>
    <w:p>
      <w:pPr>
        <w:sectPr>
          <w:pgSz w:w="11900" w:h="16838" w:orient="portrait"/>
          <w:cols w:equalWidth="0" w:num="1">
            <w:col w:w="10780"/>
          </w:cols>
          <w:pgMar w:left="560" w:top="119" w:right="559" w:bottom="1440" w:gutter="0" w:footer="0" w:header="0"/>
        </w:sectPr>
      </w:pPr>
    </w:p>
    <w:bookmarkStart w:id="647" w:name="page648"/>
    <w:bookmarkEnd w:id="647"/>
    <w:p>
      <w:pPr>
        <w:jc w:val="center"/>
        <w:ind w:right="-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Investment Agreement</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by and among</w:t>
      </w:r>
    </w:p>
    <w:p>
      <w:pPr>
        <w:spacing w:after="0" w:line="122" w:lineRule="exact"/>
        <w:rPr>
          <w:sz w:val="20"/>
          <w:szCs w:val="20"/>
          <w:color w:val="auto"/>
        </w:rPr>
      </w:pPr>
    </w:p>
    <w:p>
      <w:pPr>
        <w:ind w:left="430" w:right="260" w:hanging="430"/>
        <w:spacing w:after="0" w:line="259" w:lineRule="auto"/>
        <w:tabs>
          <w:tab w:leader="none" w:pos="430" w:val="left"/>
        </w:tabs>
        <w:numPr>
          <w:ilvl w:val="0"/>
          <w:numId w:val="9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CECONOMY AG, </w:t>
      </w:r>
      <w:r>
        <w:rPr>
          <w:rFonts w:ascii="Times New Roman" w:cs="Times New Roman" w:eastAsia="Times New Roman" w:hAnsi="Times New Roman"/>
          <w:sz w:val="18"/>
          <w:szCs w:val="18"/>
          <w:color w:val="auto"/>
        </w:rPr>
        <w:t>a stock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the Federal Republic of Germany, with its seat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Düsseldorf, Germany, registered with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xml:space="preserve">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Düsseldorf, Germany, under registration no. HRB 39473,</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“Ceconomy” or “Company” -</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122" w:lineRule="exact"/>
        <w:rPr>
          <w:sz w:val="20"/>
          <w:szCs w:val="20"/>
          <w:color w:val="auto"/>
        </w:rPr>
      </w:pPr>
    </w:p>
    <w:p>
      <w:pPr>
        <w:ind w:left="430" w:right="120" w:hanging="430"/>
        <w:spacing w:after="0" w:line="259" w:lineRule="auto"/>
        <w:tabs>
          <w:tab w:leader="none" w:pos="43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JINGDONG HOLDING GERMANY GmbH, </w:t>
      </w:r>
      <w:r>
        <w:rPr>
          <w:rFonts w:ascii="Times New Roman" w:cs="Times New Roman" w:eastAsia="Times New Roman" w:hAnsi="Times New Roman"/>
          <w:sz w:val="18"/>
          <w:szCs w:val="18"/>
          <w:color w:val="auto"/>
        </w:rPr>
        <w:t>a German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laws of the Federal Republic of Germany, with its statutory seat in Düsseldorf,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xml:space="preserve"> of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xml:space="preserve"> of Düsseldorf under HRB 107672,</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“Bidder” -</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and</w:t>
      </w:r>
    </w:p>
    <w:p>
      <w:pPr>
        <w:spacing w:after="0" w:line="122" w:lineRule="exact"/>
        <w:rPr>
          <w:sz w:val="20"/>
          <w:szCs w:val="20"/>
          <w:color w:val="auto"/>
        </w:rPr>
      </w:pPr>
    </w:p>
    <w:p>
      <w:pPr>
        <w:ind w:left="430" w:right="360" w:hanging="430"/>
        <w:spacing w:after="0" w:line="273" w:lineRule="auto"/>
        <w:tabs>
          <w:tab w:leader="none" w:pos="430"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JD.com International Limited, </w:t>
      </w:r>
      <w:r>
        <w:rPr>
          <w:rFonts w:ascii="Times New Roman" w:cs="Times New Roman" w:eastAsia="Times New Roman" w:hAnsi="Times New Roman"/>
          <w:sz w:val="18"/>
          <w:szCs w:val="18"/>
          <w:color w:val="auto"/>
        </w:rPr>
        <w:t>a limited liability company incorporated under the laws of Hong Kong, with its statutory seat in Hong Kong,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with the Hong Kong Companies Directory under company registration number 1702556,</w:t>
      </w:r>
    </w:p>
    <w:p>
      <w:pPr>
        <w:spacing w:after="0" w:line="163" w:lineRule="exact"/>
        <w:rPr>
          <w:rFonts w:ascii="Times New Roman" w:cs="Times New Roman" w:eastAsia="Times New Roman" w:hAnsi="Times New Roman"/>
          <w:sz w:val="18"/>
          <w:szCs w:val="18"/>
          <w:color w:val="auto"/>
        </w:rPr>
      </w:pPr>
    </w:p>
    <w:p>
      <w:pPr>
        <w:ind w:left="9690" w:hanging="96"/>
        <w:spacing w:after="0"/>
        <w:tabs>
          <w:tab w:leader="none" w:pos="9690" w:val="left"/>
        </w:tabs>
        <w:numPr>
          <w:ilvl w:val="2"/>
          <w:numId w:val="9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“Guarantor” -</w:t>
      </w:r>
    </w:p>
    <w:p>
      <w:pPr>
        <w:spacing w:after="0" w:line="227" w:lineRule="exact"/>
        <w:rPr>
          <w:rFonts w:ascii="Times New Roman" w:cs="Times New Roman" w:eastAsia="Times New Roman" w:hAnsi="Times New Roman"/>
          <w:sz w:val="17"/>
          <w:szCs w:val="17"/>
          <w:b w:val="1"/>
          <w:bCs w:val="1"/>
          <w:color w:val="auto"/>
        </w:rPr>
      </w:pPr>
    </w:p>
    <w:p>
      <w:pPr>
        <w:ind w:left="530" w:hanging="98"/>
        <w:spacing w:after="0"/>
        <w:tabs>
          <w:tab w:leader="none" w:pos="530" w:val="left"/>
        </w:tabs>
        <w:numPr>
          <w:ilvl w:val="1"/>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Bidder individually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“Parties” -</w:t>
      </w:r>
    </w:p>
    <w:p>
      <w:pPr>
        <w:spacing w:after="0" w:line="1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790"/>
          </w:cols>
          <w:pgMar w:left="550" w:top="264" w:right="559" w:bottom="1440" w:gutter="0" w:footer="0" w:header="0"/>
        </w:sectPr>
      </w:pPr>
    </w:p>
    <w:bookmarkStart w:id="648" w:name="page649"/>
    <w:bookmarkEnd w:id="64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Announcement of the Takeover Offer; Press Statements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Launch of the Takeover Offer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Conduct until the Closing of the Takeover Offer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Reasoned Statement by the Company’s Management Board and Supervisory Board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Strategic Roadmap; European Tech Stack; European Consolidation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 Governance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Corporate Seats and Headquarters, Locations, Reorganisations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Funding, Refinancing, Leverage, Dividend Policy, no DPLTA, Delisting and Squeeze-out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Employees and their Representations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Data Protection and Compliance with Law / Reporting co-operation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Brands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Approval by Corporate Bodies and Assurance of Financing</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Regulatory Clearances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Effectiveness, Term and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Guarantor’s Undertaking</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17"/>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Miscellaneous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8">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TABLE OF ANNEXES</w:t>
      </w:r>
    </w:p>
    <w:p>
      <w:pPr>
        <w:spacing w:after="0" w:line="24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1.1.1</w:t>
      </w:r>
      <w:r>
        <w:rPr>
          <w:sz w:val="20"/>
          <w:szCs w:val="20"/>
          <w:color w:val="auto"/>
        </w:rPr>
        <w:tab/>
      </w:r>
      <w:r>
        <w:rPr>
          <w:rFonts w:ascii="Times New Roman" w:cs="Times New Roman" w:eastAsia="Times New Roman" w:hAnsi="Times New Roman"/>
          <w:sz w:val="17"/>
          <w:szCs w:val="17"/>
          <w:color w:val="auto"/>
        </w:rPr>
        <w:t>Form of Offer Announcement</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1.1.2</w:t>
      </w:r>
      <w:r>
        <w:rPr>
          <w:sz w:val="20"/>
          <w:szCs w:val="20"/>
          <w:color w:val="auto"/>
        </w:rPr>
        <w:tab/>
      </w:r>
      <w:r>
        <w:rPr>
          <w:rFonts w:ascii="Times New Roman" w:cs="Times New Roman" w:eastAsia="Times New Roman" w:hAnsi="Times New Roman"/>
          <w:sz w:val="17"/>
          <w:szCs w:val="17"/>
          <w:color w:val="auto"/>
        </w:rPr>
        <w:t>Form of Ad-Hoc Announcement</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2.5.1</w:t>
      </w:r>
      <w:r>
        <w:rPr>
          <w:sz w:val="20"/>
          <w:szCs w:val="20"/>
          <w:color w:val="auto"/>
        </w:rPr>
        <w:tab/>
      </w:r>
      <w:r>
        <w:rPr>
          <w:rFonts w:ascii="Times New Roman" w:cs="Times New Roman" w:eastAsia="Times New Roman" w:hAnsi="Times New Roman"/>
          <w:sz w:val="17"/>
          <w:szCs w:val="17"/>
          <w:color w:val="auto"/>
        </w:rPr>
        <w:t>Foreign Investment Clearances</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2.5.2</w:t>
      </w:r>
      <w:r>
        <w:rPr>
          <w:sz w:val="20"/>
          <w:szCs w:val="20"/>
          <w:color w:val="auto"/>
        </w:rPr>
        <w:tab/>
      </w:r>
      <w:r>
        <w:rPr>
          <w:rFonts w:ascii="Times New Roman" w:cs="Times New Roman" w:eastAsia="Times New Roman" w:hAnsi="Times New Roman"/>
          <w:sz w:val="17"/>
          <w:szCs w:val="17"/>
          <w:color w:val="auto"/>
        </w:rPr>
        <w:t>Merger Clearances</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5.2</w:t>
      </w:r>
      <w:r>
        <w:rPr>
          <w:sz w:val="20"/>
          <w:szCs w:val="20"/>
          <w:color w:val="auto"/>
        </w:rPr>
        <w:tab/>
      </w:r>
      <w:r>
        <w:rPr>
          <w:rFonts w:ascii="Times New Roman" w:cs="Times New Roman" w:eastAsia="Times New Roman" w:hAnsi="Times New Roman"/>
          <w:sz w:val="17"/>
          <w:szCs w:val="17"/>
          <w:color w:val="auto"/>
        </w:rPr>
        <w:t>Strategic Roadmap</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8.1</w:t>
      </w:r>
      <w:r>
        <w:rPr>
          <w:sz w:val="20"/>
          <w:szCs w:val="20"/>
          <w:color w:val="auto"/>
        </w:rPr>
        <w:tab/>
      </w:r>
      <w:r>
        <w:rPr>
          <w:rFonts w:ascii="Times New Roman" w:cs="Times New Roman" w:eastAsia="Times New Roman" w:hAnsi="Times New Roman"/>
          <w:sz w:val="17"/>
          <w:szCs w:val="17"/>
          <w:color w:val="auto"/>
        </w:rPr>
        <w:t>Transaction Funding</w:t>
      </w:r>
    </w:p>
    <w:p>
      <w:pPr>
        <w:spacing w:after="0" w:line="1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Annex 8.2</w:t>
      </w:r>
      <w:r>
        <w:rPr>
          <w:sz w:val="20"/>
          <w:szCs w:val="20"/>
          <w:color w:val="auto"/>
        </w:rPr>
        <w:tab/>
      </w:r>
      <w:r>
        <w:rPr>
          <w:rFonts w:ascii="Times New Roman" w:cs="Times New Roman" w:eastAsia="Times New Roman" w:hAnsi="Times New Roman"/>
          <w:sz w:val="17"/>
          <w:szCs w:val="17"/>
          <w:color w:val="auto"/>
        </w:rPr>
        <w:t>Back-stop Facility</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720"/>
          </w:cols>
          <w:pgMar w:left="560" w:top="249" w:right="619" w:bottom="1440" w:gutter="0" w:footer="0" w:header="0"/>
        </w:sectPr>
      </w:pPr>
    </w:p>
    <w:bookmarkStart w:id="649" w:name="page650"/>
    <w:bookmarkEnd w:id="649"/>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4480" w:type="dxa"/>
            <w:vAlign w:val="bottom"/>
            <w:gridSpan w:val="4"/>
          </w:tcPr>
          <w:p>
            <w:pPr>
              <w:ind w:left="1200"/>
              <w:spacing w:after="0"/>
              <w:rPr>
                <w:sz w:val="20"/>
                <w:szCs w:val="20"/>
                <w:color w:val="auto"/>
              </w:rPr>
            </w:pPr>
            <w:r>
              <w:rPr>
                <w:rFonts w:ascii="Times New Roman" w:cs="Times New Roman" w:eastAsia="Times New Roman" w:hAnsi="Times New Roman"/>
                <w:sz w:val="18"/>
                <w:szCs w:val="18"/>
                <w:b w:val="1"/>
                <w:bCs w:val="1"/>
                <w:color w:val="auto"/>
              </w:rPr>
              <w:t>LIST OF DEFINITIONS</w:t>
            </w: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32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A</w:t>
            </w:r>
          </w:p>
        </w:tc>
        <w:tc>
          <w:tcPr>
            <w:tcW w:w="12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rPr>
              <w:t>I</w:t>
            </w:r>
          </w:p>
        </w:tc>
        <w:tc>
          <w:tcPr>
            <w:tcW w:w="0" w:type="dxa"/>
            <w:vAlign w:val="bottom"/>
          </w:tcPr>
          <w:p>
            <w:pPr>
              <w:spacing w:after="0"/>
              <w:rPr>
                <w:sz w:val="1"/>
                <w:szCs w:val="1"/>
                <w:color w:val="auto"/>
              </w:rPr>
            </w:pPr>
          </w:p>
        </w:tc>
      </w:tr>
      <w:tr>
        <w:trPr>
          <w:trHeight w:val="30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Ad-Hoc Announcement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1.1.2</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Initial Acceptance Period</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2.6</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16.10.5</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0" w:type="dxa"/>
            <w:vAlign w:val="bottom"/>
          </w:tcPr>
          <w:p>
            <w:pPr>
              <w:spacing w:after="0"/>
              <w:rPr>
                <w:sz w:val="1"/>
                <w:szCs w:val="1"/>
                <w:color w:val="auto"/>
              </w:rPr>
            </w:pPr>
          </w:p>
        </w:tc>
      </w:tr>
      <w:tr>
        <w:trPr>
          <w:trHeight w:val="1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AGM 2026</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3.1.2(g)</w:t>
            </w:r>
          </w:p>
        </w:tc>
        <w:tc>
          <w:tcPr>
            <w:tcW w:w="10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240" w:type="dxa"/>
            <w:vAlign w:val="bottom"/>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Parties Section</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Liquidated Damages Event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16.5</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AktG</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3.3.3</w:t>
            </w:r>
          </w:p>
        </w:tc>
        <w:tc>
          <w:tcPr>
            <w:tcW w:w="1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3"/>
              </w:rPr>
              <w:t>M</w:t>
            </w:r>
          </w:p>
        </w:tc>
        <w:tc>
          <w:tcPr>
            <w:tcW w:w="0" w:type="dxa"/>
            <w:vAlign w:val="bottom"/>
          </w:tcPr>
          <w:p>
            <w:pPr>
              <w:spacing w:after="0"/>
              <w:rPr>
                <w:sz w:val="1"/>
                <w:szCs w:val="1"/>
                <w:color w:val="auto"/>
              </w:rPr>
            </w:pPr>
          </w:p>
        </w:tc>
      </w:tr>
      <w:tr>
        <w:trPr>
          <w:trHeight w:val="106"/>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B</w:t>
            </w: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Management Board</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Preamble (E)</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BaFin</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1.3</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1.1.2</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Bidder</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Parties Section</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Maximum 2025 Dividend</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3.1.2(b)</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Bidder Group</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5.2</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Merger Clearances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2.5.2</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16.10.5</w:t>
            </w:r>
          </w:p>
        </w:tc>
        <w:tc>
          <w:tcPr>
            <w:tcW w:w="1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85"/>
              </w:rPr>
              <w:t>O</w:t>
            </w:r>
          </w:p>
        </w:tc>
        <w:tc>
          <w:tcPr>
            <w:tcW w:w="0" w:type="dxa"/>
            <w:vAlign w:val="bottom"/>
          </w:tcPr>
          <w:p>
            <w:pPr>
              <w:spacing w:after="0"/>
              <w:rPr>
                <w:sz w:val="1"/>
                <w:szCs w:val="1"/>
                <w:color w:val="auto"/>
              </w:rPr>
            </w:pPr>
          </w:p>
        </w:tc>
      </w:tr>
      <w:tr>
        <w:trPr>
          <w:trHeight w:val="106"/>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C</w:t>
            </w: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Offer Announcement</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1.1.1</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Ceconomy</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Parties Section</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Offer Conditions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2.5</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Ceconomy Group</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Preamble (A)</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Offer Document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Ceconomy IP</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11.2</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Offer Price</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Ceconomy Share</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Preamble (A)</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rPr>
              <w:t>P</w:t>
            </w:r>
          </w:p>
        </w:tc>
        <w:tc>
          <w:tcPr>
            <w:tcW w:w="0" w:type="dxa"/>
            <w:vAlign w:val="bottom"/>
          </w:tcPr>
          <w:p>
            <w:pPr>
              <w:spacing w:after="0"/>
              <w:rPr>
                <w:sz w:val="1"/>
                <w:szCs w:val="1"/>
                <w:color w:val="auto"/>
              </w:rPr>
            </w:pPr>
          </w:p>
        </w:tc>
      </w:tr>
      <w:tr>
        <w:trPr>
          <w:trHeight w:val="1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Ceconomy Shares</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Preamble (A)</w:t>
            </w:r>
          </w:p>
        </w:tc>
        <w:tc>
          <w:tcPr>
            <w:tcW w:w="10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240" w:type="dxa"/>
            <w:vAlign w:val="bottom"/>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3.1</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Parties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Parties Section</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Parties Section</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Party</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Parties Section</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Competing Offer</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3.1.2(k)</w:t>
            </w: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1"/>
              </w:rPr>
              <w:t>R</w:t>
            </w:r>
          </w:p>
        </w:tc>
        <w:tc>
          <w:tcPr>
            <w:tcW w:w="0" w:type="dxa"/>
            <w:vAlign w:val="bottom"/>
          </w:tcPr>
          <w:p>
            <w:pPr>
              <w:spacing w:after="0"/>
              <w:rPr>
                <w:sz w:val="1"/>
                <w:szCs w:val="1"/>
                <w:color w:val="auto"/>
              </w:rPr>
            </w:pPr>
          </w:p>
        </w:tc>
      </w:tr>
      <w:tr>
        <w:trPr>
          <w:trHeight w:val="1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13.8</w:t>
            </w:r>
          </w:p>
        </w:tc>
        <w:tc>
          <w:tcPr>
            <w:tcW w:w="10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240" w:type="dxa"/>
            <w:vAlign w:val="bottom"/>
            <w:vMerge w:val="continue"/>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16.10.5</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Reasoned Statement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Bonds</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Section 2.5.4(b)</w:t>
            </w: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Regulatory Clearances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2.5.3</w:t>
            </w:r>
          </w:p>
        </w:tc>
        <w:tc>
          <w:tcPr>
            <w:tcW w:w="0" w:type="dxa"/>
            <w:vAlign w:val="bottom"/>
          </w:tcPr>
          <w:p>
            <w:pPr>
              <w:spacing w:after="0"/>
              <w:rPr>
                <w:sz w:val="1"/>
                <w:szCs w:val="1"/>
                <w:color w:val="auto"/>
              </w:rPr>
            </w:pPr>
          </w:p>
        </w:tc>
      </w:tr>
      <w:tr>
        <w:trPr>
          <w:trHeight w:val="212"/>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D</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Remedial Measures</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13.6.3(b)</w:t>
            </w:r>
          </w:p>
        </w:tc>
        <w:tc>
          <w:tcPr>
            <w:tcW w:w="0" w:type="dxa"/>
            <w:vAlign w:val="bottom"/>
          </w:tcPr>
          <w:p>
            <w:pPr>
              <w:spacing w:after="0"/>
              <w:rPr>
                <w:sz w:val="1"/>
                <w:szCs w:val="1"/>
                <w:color w:val="auto"/>
              </w:rPr>
            </w:pPr>
          </w:p>
        </w:tc>
      </w:tr>
      <w:tr>
        <w:trPr>
          <w:trHeight w:val="123"/>
        </w:trPr>
        <w:tc>
          <w:tcPr>
            <w:tcW w:w="32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Requirements</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13.6</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DPLTA</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8.5</w:t>
            </w: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restart"/>
          </w:tcPr>
          <w:p>
            <w:pPr>
              <w:jc w:val="center"/>
              <w:ind w:right="2112"/>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0" w:type="dxa"/>
            <w:vAlign w:val="bottom"/>
          </w:tcPr>
          <w:p>
            <w:pPr>
              <w:spacing w:after="0"/>
              <w:rPr>
                <w:sz w:val="1"/>
                <w:szCs w:val="1"/>
                <w:color w:val="auto"/>
              </w:rPr>
            </w:pPr>
          </w:p>
        </w:tc>
      </w:tr>
      <w:tr>
        <w:trPr>
          <w:trHeight w:val="106"/>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E</w:t>
            </w: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Strategic Roadmap</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5.2</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European Consolidation</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5.4</w:t>
            </w: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Superior Offer</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4.1.1</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European Tech Stack</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5.3</w:t>
            </w: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240" w:type="dxa"/>
            <w:vAlign w:val="bottom"/>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Supervisory Board</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Preamble (E)</w:t>
            </w:r>
          </w:p>
        </w:tc>
        <w:tc>
          <w:tcPr>
            <w:tcW w:w="0" w:type="dxa"/>
            <w:vAlign w:val="bottom"/>
          </w:tcPr>
          <w:p>
            <w:pPr>
              <w:spacing w:after="0"/>
              <w:rPr>
                <w:sz w:val="1"/>
                <w:szCs w:val="1"/>
                <w:color w:val="auto"/>
              </w:rPr>
            </w:pPr>
          </w:p>
        </w:tc>
      </w:tr>
      <w:tr>
        <w:trPr>
          <w:trHeight w:val="106"/>
        </w:trPr>
        <w:tc>
          <w:tcPr>
            <w:tcW w:w="324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F</w:t>
            </w: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Fiduciary Duties</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3.3.3</w:t>
            </w: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Takeover Offer</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Preamble (C)</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Foreign Investment Clearances</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2.5.1</w:t>
            </w: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Transaction</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Preamble (C)</w:t>
            </w:r>
          </w:p>
        </w:tc>
        <w:tc>
          <w:tcPr>
            <w:tcW w:w="0" w:type="dxa"/>
            <w:vAlign w:val="bottom"/>
          </w:tcPr>
          <w:p>
            <w:pPr>
              <w:spacing w:after="0"/>
              <w:rPr>
                <w:sz w:val="1"/>
                <w:szCs w:val="1"/>
                <w:color w:val="auto"/>
              </w:rPr>
            </w:pPr>
          </w:p>
        </w:tc>
      </w:tr>
      <w:tr>
        <w:trPr>
          <w:trHeight w:val="106"/>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FSR</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2.5.3</w:t>
            </w: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Transaction Funding</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8.1</w:t>
            </w:r>
          </w:p>
        </w:tc>
        <w:tc>
          <w:tcPr>
            <w:tcW w:w="0" w:type="dxa"/>
            <w:vAlign w:val="bottom"/>
          </w:tcPr>
          <w:p>
            <w:pPr>
              <w:spacing w:after="0"/>
              <w:rPr>
                <w:sz w:val="1"/>
                <w:szCs w:val="1"/>
                <w:color w:val="auto"/>
              </w:rPr>
            </w:pPr>
          </w:p>
        </w:tc>
      </w:tr>
      <w:tr>
        <w:trPr>
          <w:trHeight w:val="12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FSR Clearance</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2.5.3</w:t>
            </w:r>
          </w:p>
        </w:tc>
        <w:tc>
          <w:tcPr>
            <w:tcW w:w="2420" w:type="dxa"/>
            <w:vAlign w:val="bottom"/>
            <w:gridSpan w:val="2"/>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91"/>
              </w:rPr>
              <w:t>U</w:t>
            </w:r>
          </w:p>
        </w:tc>
        <w:tc>
          <w:tcPr>
            <w:tcW w:w="0" w:type="dxa"/>
            <w:vAlign w:val="bottom"/>
          </w:tcPr>
          <w:p>
            <w:pPr>
              <w:spacing w:after="0"/>
              <w:rPr>
                <w:sz w:val="1"/>
                <w:szCs w:val="1"/>
                <w:color w:val="auto"/>
              </w:rPr>
            </w:pPr>
          </w:p>
        </w:tc>
      </w:tr>
      <w:tr>
        <w:trPr>
          <w:trHeight w:val="212"/>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G</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Unreasonable Hardship</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13.6.3</w:t>
            </w:r>
          </w:p>
        </w:tc>
        <w:tc>
          <w:tcPr>
            <w:tcW w:w="0" w:type="dxa"/>
            <w:vAlign w:val="bottom"/>
          </w:tcPr>
          <w:p>
            <w:pPr>
              <w:spacing w:after="0"/>
              <w:rPr>
                <w:sz w:val="1"/>
                <w:szCs w:val="1"/>
                <w:color w:val="auto"/>
              </w:rPr>
            </w:pPr>
          </w:p>
        </w:tc>
      </w:tr>
      <w:tr>
        <w:trPr>
          <w:trHeight w:val="212"/>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Guarantor</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Parties Section</w:t>
            </w:r>
          </w:p>
        </w:tc>
        <w:tc>
          <w:tcPr>
            <w:tcW w:w="2420" w:type="dxa"/>
            <w:vAlign w:val="bottom"/>
            <w:gridSpan w:val="2"/>
            <w:vMerge w:val="continue"/>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980" w:type="dxa"/>
            <w:vAlign w:val="bottom"/>
            <w:vMerge w:val="restart"/>
          </w:tcPr>
          <w:p>
            <w:pPr>
              <w:jc w:val="center"/>
              <w:ind w:right="2132"/>
              <w:spacing w:after="0"/>
              <w:rPr>
                <w:sz w:val="20"/>
                <w:szCs w:val="20"/>
                <w:color w:val="auto"/>
              </w:rPr>
            </w:pPr>
            <w:r>
              <w:rPr>
                <w:rFonts w:ascii="Times New Roman" w:cs="Times New Roman" w:eastAsia="Times New Roman" w:hAnsi="Times New Roman"/>
                <w:sz w:val="18"/>
                <w:szCs w:val="18"/>
                <w:b w:val="1"/>
                <w:bCs w:val="1"/>
                <w:color w:val="auto"/>
                <w:w w:val="88"/>
              </w:rPr>
              <w:t>W</w:t>
            </w:r>
          </w:p>
        </w:tc>
        <w:tc>
          <w:tcPr>
            <w:tcW w:w="0" w:type="dxa"/>
            <w:vAlign w:val="bottom"/>
          </w:tcPr>
          <w:p>
            <w:pPr>
              <w:spacing w:after="0"/>
              <w:rPr>
                <w:sz w:val="1"/>
                <w:szCs w:val="1"/>
                <w:color w:val="auto"/>
              </w:rPr>
            </w:pPr>
          </w:p>
        </w:tc>
      </w:tr>
      <w:tr>
        <w:trPr>
          <w:trHeight w:val="212"/>
        </w:trPr>
        <w:tc>
          <w:tcPr>
            <w:tcW w:w="324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H</w:t>
            </w: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2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WpÜG</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Preamble (C)</w:t>
            </w:r>
          </w:p>
        </w:tc>
        <w:tc>
          <w:tcPr>
            <w:tcW w:w="0" w:type="dxa"/>
            <w:vAlign w:val="bottom"/>
          </w:tcPr>
          <w:p>
            <w:pPr>
              <w:spacing w:after="0"/>
              <w:rPr>
                <w:sz w:val="1"/>
                <w:szCs w:val="1"/>
                <w:color w:val="auto"/>
              </w:rPr>
            </w:pPr>
          </w:p>
        </w:tc>
      </w:tr>
      <w:tr>
        <w:trPr>
          <w:trHeight w:val="194"/>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Hardship Costs</w:t>
            </w:r>
          </w:p>
        </w:tc>
        <w:tc>
          <w:tcPr>
            <w:tcW w:w="2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Section 13.6.3(g)</w:t>
            </w:r>
          </w:p>
        </w:tc>
        <w:tc>
          <w:tcPr>
            <w:tcW w:w="2420" w:type="dxa"/>
            <w:vAlign w:val="bottom"/>
            <w:gridSpan w:val="2"/>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240" w:type="dxa"/>
            <w:vAlign w:val="bottom"/>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WpÜG AngebV</w:t>
            </w:r>
          </w:p>
        </w:tc>
        <w:tc>
          <w:tcPr>
            <w:tcW w:w="2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Section 2.1</w:t>
            </w: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9">
                      <a:extLst>
                        <a:ext uri="{28A0092B-C50C-407E-A947-70E740481C1C}"/>
                      </a:extLst>
                    </a:blip>
                    <a:srcRect/>
                    <a:stretch>
                      <a:fillRect/>
                    </a:stretch>
                  </pic:blipFill>
                  <pic:spPr bwMode="auto">
                    <a:xfrm>
                      <a:off x="0" y="0"/>
                      <a:ext cx="7177405" cy="3746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700"/>
          </w:cols>
          <w:pgMar w:left="560" w:top="250" w:right="639" w:bottom="1440" w:gutter="0" w:footer="0" w:header="0"/>
        </w:sectPr>
      </w:pPr>
    </w:p>
    <w:bookmarkStart w:id="650" w:name="page651"/>
    <w:bookmarkEnd w:id="650"/>
    <w:p>
      <w:pPr>
        <w:ind w:left="1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Preamble</w:t>
      </w:r>
    </w:p>
    <w:p>
      <w:pPr>
        <w:spacing w:after="0" w:line="124" w:lineRule="exact"/>
        <w:rPr>
          <w:sz w:val="20"/>
          <w:szCs w:val="20"/>
          <w:color w:val="auto"/>
        </w:rPr>
      </w:pPr>
    </w:p>
    <w:p>
      <w:pPr>
        <w:ind w:left="430" w:right="100" w:hanging="430"/>
        <w:spacing w:after="0" w:line="250" w:lineRule="auto"/>
        <w:tabs>
          <w:tab w:leader="none" w:pos="43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together with its Affiliates (as defined below, collectively, “</w:t>
      </w:r>
      <w:r>
        <w:rPr>
          <w:rFonts w:ascii="Times New Roman" w:cs="Times New Roman" w:eastAsia="Times New Roman" w:hAnsi="Times New Roman"/>
          <w:sz w:val="18"/>
          <w:szCs w:val="18"/>
          <w:b w:val="1"/>
          <w:bCs w:val="1"/>
          <w:color w:val="auto"/>
        </w:rPr>
        <w:t>Ceconomy Group</w:t>
      </w:r>
      <w:r>
        <w:rPr>
          <w:rFonts w:ascii="Times New Roman" w:cs="Times New Roman" w:eastAsia="Times New Roman" w:hAnsi="Times New Roman"/>
          <w:sz w:val="18"/>
          <w:szCs w:val="18"/>
          <w:color w:val="auto"/>
        </w:rPr>
        <w:t xml:space="preserve">”) is a leading retailer for consumer electronics. The Company’s share capital amounts to EUR 1,240,448,004.17 and is divided into 485,221,084 ordinary no-par value bearer shares </w:t>
      </w:r>
      <w:r>
        <w:rPr>
          <w:rFonts w:ascii="Times New Roman" w:cs="Times New Roman" w:eastAsia="Times New Roman" w:hAnsi="Times New Roman"/>
          <w:sz w:val="18"/>
          <w:szCs w:val="18"/>
          <w:i w:val="1"/>
          <w:iCs w:val="1"/>
          <w:color w:val="auto"/>
        </w:rPr>
        <w:t>(auf den Inhaber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lautende Stammaktien) </w:t>
      </w:r>
      <w:r>
        <w:rPr>
          <w:rFonts w:ascii="Times New Roman" w:cs="Times New Roman" w:eastAsia="Times New Roman" w:hAnsi="Times New Roman"/>
          <w:sz w:val="18"/>
          <w:szCs w:val="18"/>
          <w:color w:val="auto"/>
        </w:rPr>
        <w:t>(all shares in Ceconomy, as issued from time to time, “</w:t>
      </w:r>
      <w:r>
        <w:rPr>
          <w:rFonts w:ascii="Times New Roman" w:cs="Times New Roman" w:eastAsia="Times New Roman" w:hAnsi="Times New Roman"/>
          <w:sz w:val="18"/>
          <w:szCs w:val="18"/>
          <w:b w:val="1"/>
          <w:bCs w:val="1"/>
          <w:color w:val="auto"/>
        </w:rPr>
        <w:t>Ceconomy 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Ceconomy Share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Ceconomy Shares are listed on the regulated market </w:t>
      </w:r>
      <w:r>
        <w:rPr>
          <w:rFonts w:ascii="Times New Roman" w:cs="Times New Roman" w:eastAsia="Times New Roman" w:hAnsi="Times New Roman"/>
          <w:sz w:val="18"/>
          <w:szCs w:val="18"/>
          <w:i w:val="1"/>
          <w:iCs w:val="1"/>
          <w:color w:val="auto"/>
        </w:rPr>
        <w:t>(regulierter Markt)</w:t>
      </w:r>
      <w:r>
        <w:rPr>
          <w:rFonts w:ascii="Times New Roman" w:cs="Times New Roman" w:eastAsia="Times New Roman" w:hAnsi="Times New Roman"/>
          <w:sz w:val="18"/>
          <w:szCs w:val="18"/>
          <w:color w:val="auto"/>
        </w:rPr>
        <w:t xml:space="preserve"> (Prime Standard) of the Frankfurt Stock Exchange (ISIN: DE0007257503) and also on the open markets </w:t>
      </w:r>
      <w:r>
        <w:rPr>
          <w:rFonts w:ascii="Times New Roman" w:cs="Times New Roman" w:eastAsia="Times New Roman" w:hAnsi="Times New Roman"/>
          <w:sz w:val="18"/>
          <w:szCs w:val="18"/>
          <w:i w:val="1"/>
          <w:iCs w:val="1"/>
          <w:color w:val="auto"/>
        </w:rPr>
        <w:t>(Freiverkehr)</w:t>
      </w:r>
      <w:r>
        <w:rPr>
          <w:rFonts w:ascii="Times New Roman" w:cs="Times New Roman" w:eastAsia="Times New Roman" w:hAnsi="Times New Roman"/>
          <w:sz w:val="18"/>
          <w:szCs w:val="18"/>
          <w:color w:val="auto"/>
        </w:rPr>
        <w:t xml:space="preserve"> of several stock exchanges. As of the date of this Agreement, the Company holds no Ceconomy Shares as treasury shares.</w:t>
      </w:r>
    </w:p>
    <w:p>
      <w:pPr>
        <w:spacing w:after="0" w:line="94" w:lineRule="exact"/>
        <w:rPr>
          <w:rFonts w:ascii="Times New Roman" w:cs="Times New Roman" w:eastAsia="Times New Roman" w:hAnsi="Times New Roman"/>
          <w:sz w:val="18"/>
          <w:szCs w:val="18"/>
          <w:color w:val="auto"/>
        </w:rPr>
      </w:pPr>
    </w:p>
    <w:p>
      <w:pPr>
        <w:ind w:left="430" w:right="20" w:hanging="430"/>
        <w:spacing w:after="0" w:line="303" w:lineRule="auto"/>
        <w:tabs>
          <w:tab w:leader="none" w:pos="430" w:val="left"/>
        </w:tabs>
        <w:numPr>
          <w:ilvl w:val="0"/>
          <w:numId w:val="9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Bidder and the Guarantor are Affiliates of JD.com, Inc. (“</w:t>
      </w:r>
      <w:r>
        <w:rPr>
          <w:rFonts w:ascii="Times New Roman" w:cs="Times New Roman" w:eastAsia="Times New Roman" w:hAnsi="Times New Roman"/>
          <w:sz w:val="17"/>
          <w:szCs w:val="17"/>
          <w:b w:val="1"/>
          <w:bCs w:val="1"/>
          <w:color w:val="auto"/>
        </w:rPr>
        <w:t>JD</w:t>
      </w:r>
      <w:r>
        <w:rPr>
          <w:rFonts w:ascii="Times New Roman" w:cs="Times New Roman" w:eastAsia="Times New Roman" w:hAnsi="Times New Roman"/>
          <w:sz w:val="17"/>
          <w:szCs w:val="17"/>
          <w:color w:val="auto"/>
        </w:rPr>
        <w:t>”). JD is a retailer active in the business areas of technology, logistics, healthcare, insurance, property development, industrials, private label and international business, including both e-commerce and offline presence.</w:t>
      </w:r>
    </w:p>
    <w:p>
      <w:pPr>
        <w:spacing w:after="0" w:line="50" w:lineRule="exact"/>
        <w:rPr>
          <w:rFonts w:ascii="Times New Roman" w:cs="Times New Roman" w:eastAsia="Times New Roman" w:hAnsi="Times New Roman"/>
          <w:sz w:val="17"/>
          <w:szCs w:val="17"/>
          <w:color w:val="auto"/>
        </w:rPr>
      </w:pPr>
    </w:p>
    <w:p>
      <w:pPr>
        <w:ind w:left="430" w:right="20" w:hanging="430"/>
        <w:spacing w:after="0" w:line="251" w:lineRule="auto"/>
        <w:tabs>
          <w:tab w:leader="none" w:pos="43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view to strengthening the business of the Company, the Bidder considers launching a voluntary public cash takeover offer </w:t>
      </w:r>
      <w:r>
        <w:rPr>
          <w:rFonts w:ascii="Times New Roman" w:cs="Times New Roman" w:eastAsia="Times New Roman" w:hAnsi="Times New Roman"/>
          <w:sz w:val="18"/>
          <w:szCs w:val="18"/>
          <w:i w:val="1"/>
          <w:iCs w:val="1"/>
          <w:color w:val="auto"/>
        </w:rPr>
        <w:t xml:space="preserve">(Übernahmeangebot)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Takeover Offer</w:t>
      </w:r>
      <w:r>
        <w:rPr>
          <w:rFonts w:ascii="Times New Roman" w:cs="Times New Roman" w:eastAsia="Times New Roman" w:hAnsi="Times New Roman"/>
          <w:sz w:val="18"/>
          <w:szCs w:val="18"/>
          <w:color w:val="auto"/>
        </w:rPr>
        <w:t>”) within the meaning of section 29 para. 1 of the German Takeover Act</w:t>
      </w:r>
      <w:r>
        <w:rPr>
          <w:rFonts w:ascii="Times New Roman" w:cs="Times New Roman" w:eastAsia="Times New Roman" w:hAnsi="Times New Roman"/>
          <w:sz w:val="18"/>
          <w:szCs w:val="18"/>
          <w:i w:val="1"/>
          <w:iCs w:val="1"/>
          <w:color w:val="auto"/>
        </w:rPr>
        <w:t xml:space="preserve"> (Wertpapiererwerbs- und Übernahmegesetz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WpÜG</w:t>
      </w:r>
      <w:r>
        <w:rPr>
          <w:rFonts w:ascii="Times New Roman" w:cs="Times New Roman" w:eastAsia="Times New Roman" w:hAnsi="Times New Roman"/>
          <w:sz w:val="18"/>
          <w:szCs w:val="18"/>
          <w:color w:val="auto"/>
        </w:rPr>
        <w:t>”) to the shareholders of the Company for all Ceconomy Shares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The term “Takeover Offer”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any amendments to the Takeover Offer made in accordance with the terms of this Agreement. The Parties believe that the Transaction is in the best interest of both Ceconomy Group and the Bidder, and their respective shareholders.</w:t>
      </w:r>
    </w:p>
    <w:p>
      <w:pPr>
        <w:spacing w:after="0" w:line="92" w:lineRule="exact"/>
        <w:rPr>
          <w:rFonts w:ascii="Times New Roman" w:cs="Times New Roman" w:eastAsia="Times New Roman" w:hAnsi="Times New Roman"/>
          <w:sz w:val="18"/>
          <w:szCs w:val="18"/>
          <w:color w:val="auto"/>
        </w:rPr>
      </w:pPr>
    </w:p>
    <w:p>
      <w:pPr>
        <w:ind w:left="430" w:right="160" w:hanging="430"/>
        <w:spacing w:after="0" w:line="252" w:lineRule="auto"/>
        <w:tabs>
          <w:tab w:leader="none" w:pos="43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Transaction and by entering into this Agreement, the Parties,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wish to pursue the following objectives: (i) to support the ongoing omni-channel focused logistics transformation, (ii) to drive technological excellence of Ceconomy, (iii) to strengthen branded products and private label sourcing capabilities of Ceconomy Group, (iv) to support growth of Ceconomy Group across all business segments, all of these objectives reflecting that the rationale of the Transaction is predicated on improving Ceconomy’s operations, global competitive position and on increasing revenues and earnings as further described in this Agreement.</w:t>
      </w:r>
    </w:p>
    <w:p>
      <w:pPr>
        <w:spacing w:after="0" w:line="89" w:lineRule="exact"/>
        <w:rPr>
          <w:rFonts w:ascii="Times New Roman" w:cs="Times New Roman" w:eastAsia="Times New Roman" w:hAnsi="Times New Roman"/>
          <w:sz w:val="18"/>
          <w:szCs w:val="18"/>
          <w:color w:val="auto"/>
        </w:rPr>
      </w:pPr>
    </w:p>
    <w:p>
      <w:pPr>
        <w:ind w:left="430" w:right="120" w:hanging="430"/>
        <w:spacing w:after="0" w:line="274" w:lineRule="auto"/>
        <w:tabs>
          <w:tab w:leader="none" w:pos="430" w:val="left"/>
        </w:tabs>
        <w:numPr>
          <w:ilvl w:val="0"/>
          <w:numId w:val="9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management board of the Company (“</w:t>
      </w:r>
      <w:r>
        <w:rPr>
          <w:rFonts w:ascii="Times New Roman" w:cs="Times New Roman" w:eastAsia="Times New Roman" w:hAnsi="Times New Roman"/>
          <w:sz w:val="17"/>
          <w:szCs w:val="17"/>
          <w:b w:val="1"/>
          <w:bCs w:val="1"/>
          <w:color w:val="auto"/>
        </w:rPr>
        <w:t>Management Board</w:t>
      </w:r>
      <w:r>
        <w:rPr>
          <w:rFonts w:ascii="Times New Roman" w:cs="Times New Roman" w:eastAsia="Times New Roman" w:hAnsi="Times New Roman"/>
          <w:sz w:val="17"/>
          <w:szCs w:val="17"/>
          <w:color w:val="auto"/>
        </w:rPr>
        <w:t>”) and the supervisory board of the Company (the “</w:t>
      </w:r>
      <w:r>
        <w:rPr>
          <w:rFonts w:ascii="Times New Roman" w:cs="Times New Roman" w:eastAsia="Times New Roman" w:hAnsi="Times New Roman"/>
          <w:sz w:val="17"/>
          <w:szCs w:val="17"/>
          <w:b w:val="1"/>
          <w:bCs w:val="1"/>
          <w:color w:val="auto"/>
        </w:rPr>
        <w:t>Supervisory Board</w:t>
      </w:r>
      <w:r>
        <w:rPr>
          <w:rFonts w:ascii="Times New Roman" w:cs="Times New Roman" w:eastAsia="Times New Roman" w:hAnsi="Times New Roman"/>
          <w:sz w:val="17"/>
          <w:szCs w:val="17"/>
          <w:color w:val="auto"/>
        </w:rPr>
        <w:t>”) intend to support the Takeover Offer by jointly or separately issuing a reasoned statement in accordance with the statutory requirements of section 27 WpÜG, subject to the provisions of this Agreement. At the date of this Agreement each of the Management Board and the Supervisory Board are of the view that the Transaction is in the best interest of the Company, the Company’s shareholders, its employees and other stakeholders.</w:t>
      </w:r>
    </w:p>
    <w:p>
      <w:pPr>
        <w:spacing w:after="0" w:line="74" w:lineRule="exact"/>
        <w:rPr>
          <w:rFonts w:ascii="Times New Roman" w:cs="Times New Roman" w:eastAsia="Times New Roman" w:hAnsi="Times New Roman"/>
          <w:sz w:val="17"/>
          <w:szCs w:val="17"/>
          <w:color w:val="auto"/>
        </w:rPr>
      </w:pPr>
    </w:p>
    <w:p>
      <w:pPr>
        <w:ind w:left="430" w:right="460" w:hanging="430"/>
        <w:spacing w:after="0" w:line="270" w:lineRule="auto"/>
        <w:tabs>
          <w:tab w:leader="none" w:pos="43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to carry out a double merger after the Offer Announcement but prior to the settlement of the Transaction, namely merging both CECONOMY Retail GmbH and Media-Saturn-Holding GmbH into the Company (the “</w:t>
      </w:r>
      <w:r>
        <w:rPr>
          <w:rFonts w:ascii="Times New Roman" w:cs="Times New Roman" w:eastAsia="Times New Roman" w:hAnsi="Times New Roman"/>
          <w:sz w:val="18"/>
          <w:szCs w:val="18"/>
          <w:b w:val="1"/>
          <w:bCs w:val="1"/>
          <w:color w:val="auto"/>
        </w:rPr>
        <w:t>Double-Merger</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430" w:right="120" w:hanging="430"/>
        <w:spacing w:after="0" w:line="258" w:lineRule="auto"/>
        <w:tabs>
          <w:tab w:leader="none" w:pos="430"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includes the material terms and conditions of the Transaction and the Parties’ common objectives in relation thereto and the Parties’ understanding in relation to the Company’s future organizational and management structure as well as the business strategy pursued with the investment, and the future corporate governance of the Company.</w:t>
      </w:r>
    </w:p>
    <w:p>
      <w:pPr>
        <w:spacing w:after="0" w:line="70" w:lineRule="exact"/>
        <w:rPr>
          <w:rFonts w:ascii="Times New Roman" w:cs="Times New Roman" w:eastAsia="Times New Roman" w:hAnsi="Times New Roman"/>
          <w:sz w:val="18"/>
          <w:szCs w:val="18"/>
          <w:color w:val="auto"/>
        </w:rPr>
      </w:pPr>
    </w:p>
    <w:p>
      <w:pPr>
        <w:ind w:left="43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Now, therefore, the Parties agree as follows:</w:t>
      </w:r>
    </w:p>
    <w:p>
      <w:pPr>
        <w:spacing w:after="0" w:line="124" w:lineRule="exact"/>
        <w:rPr>
          <w:sz w:val="20"/>
          <w:szCs w:val="20"/>
          <w:color w:val="auto"/>
        </w:rPr>
      </w:pPr>
    </w:p>
    <w:p>
      <w:pPr>
        <w:ind w:left="430" w:hanging="430"/>
        <w:spacing w:after="0"/>
        <w:tabs>
          <w:tab w:leader="none" w:pos="430" w:val="left"/>
        </w:tabs>
        <w:numPr>
          <w:ilvl w:val="0"/>
          <w:numId w:val="9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Announcement of the Takeover Offer; Press Statements</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Immediately after the signing of this Agreement,</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the Bidder will publish the decision regarding the launch of the Takeover Offer, also stating the offered consideration, pursuant to section</w:t>
      </w:r>
    </w:p>
    <w:p>
      <w:pPr>
        <w:spacing w:after="0" w:line="22"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color w:val="auto"/>
        </w:rPr>
        <w:t xml:space="preserve">10 WpÜG in the form as set forth in </w:t>
      </w:r>
      <w:r>
        <w:rPr>
          <w:rFonts w:ascii="Times New Roman" w:cs="Times New Roman" w:eastAsia="Times New Roman" w:hAnsi="Times New Roman"/>
          <w:sz w:val="18"/>
          <w:szCs w:val="18"/>
          <w:b w:val="1"/>
          <w:bCs w:val="1"/>
          <w:u w:val="single" w:color="auto"/>
          <w:color w:val="auto"/>
        </w:rPr>
        <w:t>Annex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 Announcement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06" w:lineRule="exact"/>
        <w:rPr>
          <w:sz w:val="20"/>
          <w:szCs w:val="20"/>
          <w:color w:val="auto"/>
        </w:rPr>
      </w:pPr>
    </w:p>
    <w:p>
      <w:pPr>
        <w:jc w:val="center"/>
        <w:ind w:right="-129"/>
        <w:spacing w:after="0"/>
        <w:tabs>
          <w:tab w:leader="none" w:pos="2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the Company shall publish an ad-hoc announcement pursuant to Art. 17 para. 1 of the Regulation (EU) No. 596/2014 of the European</w:t>
      </w:r>
    </w:p>
    <w:p>
      <w:pPr>
        <w:spacing w:after="0" w:line="22" w:lineRule="exact"/>
        <w:rPr>
          <w:sz w:val="20"/>
          <w:szCs w:val="20"/>
          <w:color w:val="auto"/>
        </w:rPr>
      </w:pPr>
    </w:p>
    <w:p>
      <w:pPr>
        <w:ind w:left="1050" w:right="940"/>
        <w:spacing w:after="0" w:line="250" w:lineRule="auto"/>
        <w:rPr>
          <w:sz w:val="20"/>
          <w:szCs w:val="20"/>
          <w:color w:val="auto"/>
        </w:rPr>
      </w:pPr>
      <w:r>
        <w:rPr>
          <w:rFonts w:ascii="Times New Roman" w:cs="Times New Roman" w:eastAsia="Times New Roman" w:hAnsi="Times New Roman"/>
          <w:sz w:val="18"/>
          <w:szCs w:val="18"/>
          <w:color w:val="auto"/>
        </w:rPr>
        <w:t>Parliament and of the Council of 16 April 2014 on market abuse (“</w:t>
      </w:r>
      <w:r>
        <w:rPr>
          <w:rFonts w:ascii="Times New Roman" w:cs="Times New Roman" w:eastAsia="Times New Roman" w:hAnsi="Times New Roman"/>
          <w:sz w:val="18"/>
          <w:szCs w:val="18"/>
          <w:b w:val="1"/>
          <w:bCs w:val="1"/>
          <w:color w:val="auto"/>
        </w:rPr>
        <w:t>MAR</w:t>
      </w:r>
      <w:r>
        <w:rPr>
          <w:rFonts w:ascii="Times New Roman" w:cs="Times New Roman" w:eastAsia="Times New Roman" w:hAnsi="Times New Roman"/>
          <w:sz w:val="18"/>
          <w:szCs w:val="18"/>
          <w:color w:val="auto"/>
        </w:rPr>
        <w:t xml:space="preserve">”) in the form as set forth in </w:t>
      </w:r>
      <w:r>
        <w:rPr>
          <w:rFonts w:ascii="Times New Roman" w:cs="Times New Roman" w:eastAsia="Times New Roman" w:hAnsi="Times New Roman"/>
          <w:sz w:val="18"/>
          <w:szCs w:val="18"/>
          <w:b w:val="1"/>
          <w:bCs w:val="1"/>
          <w:u w:val="single" w:color="auto"/>
          <w:color w:val="auto"/>
        </w:rPr>
        <w:t>Annex 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Ad-Hoc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both"/>
        <w:ind w:left="43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1.2</w:t>
        <w:tab/>
        <w:t>In the Ad-Hoc Announcement and in any accompanying press release issued by the Company, it shall be reflected that the Management Board and the Supervisory Board of the Company welcome and, subject to a review of the published offer document within the meaning of section 11 WpÜG (“</w:t>
      </w:r>
      <w:r>
        <w:rPr>
          <w:rFonts w:ascii="Times New Roman" w:cs="Times New Roman" w:eastAsia="Times New Roman" w:hAnsi="Times New Roman"/>
          <w:sz w:val="18"/>
          <w:szCs w:val="18"/>
          <w:b w:val="1"/>
          <w:bCs w:val="1"/>
          <w:color w:val="auto"/>
        </w:rPr>
        <w:t>Offer Document</w:t>
      </w:r>
      <w:r>
        <w:rPr>
          <w:rFonts w:ascii="Times New Roman" w:cs="Times New Roman" w:eastAsia="Times New Roman" w:hAnsi="Times New Roman"/>
          <w:sz w:val="18"/>
          <w:szCs w:val="18"/>
          <w:color w:val="auto"/>
        </w:rPr>
        <w:t>”), support the Takeover Offer.</w:t>
      </w:r>
    </w:p>
    <w:p>
      <w:pPr>
        <w:spacing w:after="0" w:line="86" w:lineRule="exact"/>
        <w:rPr>
          <w:sz w:val="20"/>
          <w:szCs w:val="20"/>
          <w:color w:val="auto"/>
        </w:rPr>
      </w:pPr>
    </w:p>
    <w:p>
      <w:pPr>
        <w:ind w:left="430" w:right="120" w:hanging="422"/>
        <w:spacing w:after="0" w:line="266" w:lineRule="auto"/>
        <w:tabs>
          <w:tab w:leader="none" w:pos="409"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No member of the Bidder Group shall, without the Company’s prior consent (such consent not to be unreasonably withheld or delayed), publish, disclose or release any and all terms of this Agreement or any press releases or other public communications (in particular, but not limited to, when communicating to the capital markets) with respect to the Transaction, provided, however, that the foregoing does not apply with respect to</w:t>
      </w:r>
    </w:p>
    <w:p>
      <w:pPr>
        <w:spacing w:after="0" w:line="2" w:lineRule="exact"/>
        <w:rPr>
          <w:sz w:val="20"/>
          <w:szCs w:val="20"/>
          <w:color w:val="auto"/>
        </w:rPr>
      </w:pPr>
    </w:p>
    <w:p>
      <w:pPr>
        <w:ind w:left="430" w:right="40" w:hanging="6"/>
        <w:spacing w:after="0" w:line="246" w:lineRule="auto"/>
        <w:tabs>
          <w:tab w:leader="none" w:pos="640"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mandatory publications to be made pursuant to (x) applicable laws (in particular the provisions of the WpÜG), rules or regulations, or stock exchange rules, in each case including in the United States of America and Hong Kong, as well as (y) administrative practice </w:t>
      </w:r>
      <w:r>
        <w:rPr>
          <w:rFonts w:ascii="Times New Roman" w:cs="Times New Roman" w:eastAsia="Times New Roman" w:hAnsi="Times New Roman"/>
          <w:sz w:val="18"/>
          <w:szCs w:val="18"/>
          <w:i w:val="1"/>
          <w:iCs w:val="1"/>
          <w:color w:val="auto"/>
        </w:rPr>
        <w:t>(Verwaltungspraxis)</w:t>
      </w:r>
      <w:r>
        <w:rPr>
          <w:rFonts w:ascii="Times New Roman" w:cs="Times New Roman" w:eastAsia="Times New Roman" w:hAnsi="Times New Roman"/>
          <w:sz w:val="18"/>
          <w:szCs w:val="18"/>
          <w:color w:val="auto"/>
        </w:rPr>
        <w:t xml:space="preserve"> applied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BaFin</w:t>
      </w:r>
      <w:r>
        <w:rPr>
          <w:rFonts w:ascii="Times New Roman" w:cs="Times New Roman" w:eastAsia="Times New Roman" w:hAnsi="Times New Roman"/>
          <w:sz w:val="18"/>
          <w:szCs w:val="18"/>
          <w:color w:val="auto"/>
        </w:rPr>
        <w:t>”) and (ii) the disclosure of a summary of the material contents of this Agreement as part of the Offer Document.</w:t>
      </w:r>
    </w:p>
    <w:p>
      <w:pPr>
        <w:spacing w:after="0" w:line="1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90"/>
          </w:cols>
          <w:pgMar w:left="550" w:top="265" w:right="559" w:bottom="1440" w:gutter="0" w:footer="0" w:header="0"/>
        </w:sectPr>
      </w:pPr>
    </w:p>
    <w:bookmarkStart w:id="651" w:name="page652"/>
    <w:bookmarkEnd w:id="651"/>
    <w:p>
      <w:pPr>
        <w:ind w:left="430" w:right="4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1">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1.4</w:t>
        <w:tab/>
        <w:t>The Bidder hereby agrees that the Company may disclose a summary of the material content of this Agreement in the Ad-Hoc Announcement and in any press release issued by the Company in connection with the Takeover Offer as well as in the reasoned statements of its corporate bodies pursuant to section 27 WpÜG.</w:t>
      </w:r>
    </w:p>
    <w:p>
      <w:pPr>
        <w:spacing w:after="0" w:line="86" w:lineRule="exact"/>
        <w:rPr>
          <w:sz w:val="20"/>
          <w:szCs w:val="20"/>
          <w:color w:val="auto"/>
        </w:rPr>
      </w:pPr>
    </w:p>
    <w:p>
      <w:pPr>
        <w:ind w:left="430" w:right="8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1.5</w:t>
        <w:tab/>
        <w:t>The Bidder and the Company shall reasonably pre-align and coordinate with respect to any further press releases, public statements and any other communication in relation to the Transaction.</w:t>
      </w:r>
    </w:p>
    <w:p>
      <w:pPr>
        <w:spacing w:after="0" w:line="312" w:lineRule="exact"/>
        <w:rPr>
          <w:sz w:val="20"/>
          <w:szCs w:val="20"/>
          <w:color w:val="auto"/>
        </w:rPr>
      </w:pPr>
    </w:p>
    <w:p>
      <w:pPr>
        <w:ind w:left="430" w:hanging="430"/>
        <w:spacing w:after="0"/>
        <w:tabs>
          <w:tab w:leader="none" w:pos="430" w:val="left"/>
        </w:tabs>
        <w:numPr>
          <w:ilvl w:val="0"/>
          <w:numId w:val="9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Launch of the Takeover Offer</w:t>
      </w:r>
    </w:p>
    <w:p>
      <w:pPr>
        <w:spacing w:after="0" w:line="126" w:lineRule="exact"/>
        <w:rPr>
          <w:sz w:val="20"/>
          <w:szCs w:val="20"/>
          <w:color w:val="auto"/>
        </w:rPr>
      </w:pPr>
    </w:p>
    <w:p>
      <w:pPr>
        <w:ind w:left="430" w:hanging="422"/>
        <w:spacing w:after="0" w:line="249" w:lineRule="auto"/>
        <w:tabs>
          <w:tab w:leader="none" w:pos="409" w:val="left"/>
        </w:tabs>
        <w:rPr>
          <w:sz w:val="20"/>
          <w:szCs w:val="20"/>
          <w:color w:val="auto"/>
        </w:rPr>
      </w:pPr>
      <w:r>
        <w:rPr>
          <w:rFonts w:ascii="Times New Roman" w:cs="Times New Roman" w:eastAsia="Times New Roman" w:hAnsi="Times New Roman"/>
          <w:sz w:val="18"/>
          <w:szCs w:val="18"/>
          <w:color w:val="auto"/>
        </w:rPr>
        <w:t>2.1</w:t>
        <w:tab/>
        <w:t xml:space="preserve">The Bidder will prepare the Offer Document in accordance with the provisions of the WpÜG and the German Takeover Act Offer Ordinance </w:t>
      </w:r>
      <w:r>
        <w:rPr>
          <w:rFonts w:ascii="Times New Roman" w:cs="Times New Roman" w:eastAsia="Times New Roman" w:hAnsi="Times New Roman"/>
          <w:sz w:val="18"/>
          <w:szCs w:val="18"/>
          <w:i w:val="1"/>
          <w:iCs w:val="1"/>
          <w:color w:val="auto"/>
        </w:rPr>
        <w:t xml:space="preserve">(Angebotsverordnung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WpÜG AngebV</w:t>
      </w:r>
      <w:r>
        <w:rPr>
          <w:rFonts w:ascii="Times New Roman" w:cs="Times New Roman" w:eastAsia="Times New Roman" w:hAnsi="Times New Roman"/>
          <w:sz w:val="18"/>
          <w:szCs w:val="18"/>
          <w:color w:val="auto"/>
        </w:rPr>
        <w:t>”) and in accordance with the terms of this Agreement in reasonable cooperation and consultation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advisors. The Bidder shall (i) give the Company and its advisors the opportunity to review and comment upon the Offer Document prior to each submission of the Offer Document to BaFin, and (ii) reasonably reflect any comments received from the Company or its advisors. In case of any contradiction between legally mandatory provisions under the WpÜG as interpreted by BaFin (including any regulation promulgated thereunder) and this Agreement, the respective provisions under, and interpretation of, the WpÜG shall prevail and this Agreement shall be amended to reflect the Parties’ intentions to the utmost extent.</w:t>
      </w:r>
    </w:p>
    <w:p>
      <w:pPr>
        <w:spacing w:after="0" w:line="9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Bidder shall submit the Offer Document to BaFin within the statutory submission period pursuant to section 14 para. 1 WpÜG.</w:t>
      </w:r>
    </w:p>
    <w:p>
      <w:pPr>
        <w:spacing w:after="0" w:line="124" w:lineRule="exact"/>
        <w:rPr>
          <w:sz w:val="20"/>
          <w:szCs w:val="20"/>
          <w:color w:val="auto"/>
        </w:rPr>
      </w:pPr>
    </w:p>
    <w:p>
      <w:pPr>
        <w:jc w:val="both"/>
        <w:ind w:left="430" w:right="8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2.3</w:t>
        <w:tab/>
        <w:t>The consideration offered for the Ceconomy Shares in the Takeover Offer will be a cash consideration in the amount of at least EUR 4.60 (Euro 4 and 60 Eurocents) per Ceconomy Share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subject to any increases made either voluntarily or in accordance with the provisions of the WpÜG (including any claims under section 31 para. 3 to 6 WpÜG).</w:t>
      </w:r>
    </w:p>
    <w:p>
      <w:pPr>
        <w:spacing w:after="0" w:line="8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Bidder will publish the Offer Document without undue delay after approval by BaFin.</w:t>
      </w:r>
    </w:p>
    <w:p>
      <w:pPr>
        <w:spacing w:after="0" w:line="12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Takeover Offer will not be made subject to conditions (“</w:t>
      </w:r>
      <w:r>
        <w:rPr>
          <w:rFonts w:ascii="Times New Roman" w:cs="Times New Roman" w:eastAsia="Times New Roman" w:hAnsi="Times New Roman"/>
          <w:sz w:val="17"/>
          <w:szCs w:val="17"/>
          <w:b w:val="1"/>
          <w:bCs w:val="1"/>
          <w:color w:val="auto"/>
        </w:rPr>
        <w:t>Offer Conditions</w:t>
      </w:r>
      <w:r>
        <w:rPr>
          <w:rFonts w:ascii="Times New Roman" w:cs="Times New Roman" w:eastAsia="Times New Roman" w:hAnsi="Times New Roman"/>
          <w:sz w:val="17"/>
          <w:szCs w:val="17"/>
          <w:color w:val="auto"/>
        </w:rPr>
        <w:t>”) beyond the following:</w:t>
      </w:r>
    </w:p>
    <w:p>
      <w:pPr>
        <w:spacing w:after="0" w:line="126" w:lineRule="exact"/>
        <w:rPr>
          <w:sz w:val="20"/>
          <w:szCs w:val="20"/>
          <w:color w:val="auto"/>
        </w:rPr>
      </w:pPr>
    </w:p>
    <w:p>
      <w:pPr>
        <w:ind w:left="1050" w:right="340" w:hanging="633"/>
        <w:spacing w:after="0" w:line="300" w:lineRule="auto"/>
        <w:tabs>
          <w:tab w:leader="none" w:pos="1029"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 xml:space="preserve">The Bidder has obtained (or is deemed to have obtained) approvals for the consummation of the Takeover Offer by the governmental authorities in charge of foreign investment clearances in the countries listed in </w:t>
      </w:r>
      <w:r>
        <w:rPr>
          <w:rFonts w:ascii="Times New Roman" w:cs="Times New Roman" w:eastAsia="Times New Roman" w:hAnsi="Times New Roman"/>
          <w:sz w:val="17"/>
          <w:szCs w:val="17"/>
          <w:b w:val="1"/>
          <w:bCs w:val="1"/>
          <w:u w:val="single" w:color="auto"/>
          <w:color w:val="auto"/>
        </w:rPr>
        <w:t>Annex 2.5.1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Foreign Investment Clearances</w:t>
      </w:r>
      <w:r>
        <w:rPr>
          <w:rFonts w:ascii="Times New Roman" w:cs="Times New Roman" w:eastAsia="Times New Roman" w:hAnsi="Times New Roman"/>
          <w:sz w:val="17"/>
          <w:szCs w:val="17"/>
          <w:color w:val="auto"/>
        </w:rPr>
        <w:t>”).</w:t>
      </w:r>
    </w:p>
    <w:p>
      <w:pPr>
        <w:spacing w:after="0" w:line="53" w:lineRule="exact"/>
        <w:rPr>
          <w:sz w:val="20"/>
          <w:szCs w:val="20"/>
          <w:color w:val="auto"/>
        </w:rPr>
      </w:pPr>
    </w:p>
    <w:p>
      <w:pPr>
        <w:ind w:left="1050" w:right="34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 xml:space="preserve">The Bidder has obtained (or is deemed to have obtained) approvals for the consummation of the Takeover Offer by the governmental authorities in charge of merger control in the countries listed in </w:t>
      </w:r>
      <w:r>
        <w:rPr>
          <w:rFonts w:ascii="Times New Roman" w:cs="Times New Roman" w:eastAsia="Times New Roman" w:hAnsi="Times New Roman"/>
          <w:sz w:val="18"/>
          <w:szCs w:val="18"/>
          <w:b w:val="1"/>
          <w:bCs w:val="1"/>
          <w:u w:val="single" w:color="auto"/>
          <w:color w:val="auto"/>
        </w:rPr>
        <w:t>Annex 2.5.2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Clearances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1050" w:right="80" w:hanging="633"/>
        <w:spacing w:after="0" w:line="251" w:lineRule="auto"/>
        <w:tabs>
          <w:tab w:leader="none" w:pos="1029" w:val="left"/>
        </w:tabs>
        <w:rPr>
          <w:sz w:val="20"/>
          <w:szCs w:val="20"/>
          <w:color w:val="auto"/>
        </w:rPr>
      </w:pPr>
      <w:r>
        <w:rPr>
          <w:rFonts w:ascii="Times New Roman" w:cs="Times New Roman" w:eastAsia="Times New Roman" w:hAnsi="Times New Roman"/>
          <w:sz w:val="18"/>
          <w:szCs w:val="18"/>
          <w:color w:val="auto"/>
        </w:rPr>
        <w:t>2.5.3</w:t>
      </w:r>
      <w:r>
        <w:rPr>
          <w:sz w:val="20"/>
          <w:szCs w:val="20"/>
          <w:color w:val="auto"/>
        </w:rPr>
        <w:tab/>
      </w:r>
      <w:r>
        <w:rPr>
          <w:rFonts w:ascii="Times New Roman" w:cs="Times New Roman" w:eastAsia="Times New Roman" w:hAnsi="Times New Roman"/>
          <w:sz w:val="18"/>
          <w:szCs w:val="18"/>
          <w:color w:val="auto"/>
        </w:rPr>
        <w:t>The European Commission has granted (or is deemed to have granted, including by way of the European Commission not issuing a decision by the expiry of the relevant period after a complete notification has been filed) its consent, approval, clearance or confirmation in respect of the Transaction under Regulation (EU) 2022/2560 of the European Parliament and of the Council on Foreign Subsidies distorting the internal market (“</w:t>
      </w:r>
      <w:r>
        <w:rPr>
          <w:rFonts w:ascii="Times New Roman" w:cs="Times New Roman" w:eastAsia="Times New Roman" w:hAnsi="Times New Roman"/>
          <w:sz w:val="18"/>
          <w:szCs w:val="18"/>
          <w:b w:val="1"/>
          <w:bCs w:val="1"/>
          <w:color w:val="auto"/>
        </w:rPr>
        <w:t>FSR</w:t>
      </w:r>
      <w:r>
        <w:rPr>
          <w:rFonts w:ascii="Times New Roman" w:cs="Times New Roman" w:eastAsia="Times New Roman" w:hAnsi="Times New Roman"/>
          <w:sz w:val="18"/>
          <w:szCs w:val="18"/>
          <w:color w:val="auto"/>
        </w:rPr>
        <w:t>”) or has confirmed that there is no such requirement (“</w:t>
      </w:r>
      <w:r>
        <w:rPr>
          <w:rFonts w:ascii="Times New Roman" w:cs="Times New Roman" w:eastAsia="Times New Roman" w:hAnsi="Times New Roman"/>
          <w:sz w:val="18"/>
          <w:szCs w:val="18"/>
          <w:b w:val="1"/>
          <w:bCs w:val="1"/>
          <w:color w:val="auto"/>
        </w:rPr>
        <w:t>FSR Clearance</w:t>
      </w:r>
      <w:r>
        <w:rPr>
          <w:rFonts w:ascii="Times New Roman" w:cs="Times New Roman" w:eastAsia="Times New Roman" w:hAnsi="Times New Roman"/>
          <w:sz w:val="18"/>
          <w:szCs w:val="18"/>
          <w:color w:val="auto"/>
        </w:rPr>
        <w:t>” and together with the Foreign Investment Clearances and the Merger Clearances, “</w:t>
      </w:r>
      <w:r>
        <w:rPr>
          <w:rFonts w:ascii="Times New Roman" w:cs="Times New Roman" w:eastAsia="Times New Roman" w:hAnsi="Times New Roman"/>
          <w:sz w:val="18"/>
          <w:szCs w:val="18"/>
          <w:b w:val="1"/>
          <w:bCs w:val="1"/>
          <w:color w:val="auto"/>
        </w:rPr>
        <w:t>Regulatory Clearances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7"/>
          <w:szCs w:val="17"/>
          <w:color w:val="auto"/>
        </w:rPr>
        <w:t>Between the publication of the Offer Document and the expiration of the Acceptance Period, none of the following events has occurred:</w:t>
      </w:r>
    </w:p>
    <w:p>
      <w:pPr>
        <w:spacing w:after="0" w:line="124" w:lineRule="exact"/>
        <w:rPr>
          <w:sz w:val="20"/>
          <w:szCs w:val="20"/>
          <w:color w:val="auto"/>
        </w:rPr>
      </w:pPr>
    </w:p>
    <w:p>
      <w:pPr>
        <w:ind w:left="1710" w:right="600" w:hanging="639"/>
        <w:spacing w:after="0" w:line="270" w:lineRule="auto"/>
        <w:tabs>
          <w:tab w:leader="none" w:pos="1710" w:val="left"/>
        </w:tabs>
        <w:numPr>
          <w:ilvl w:val="0"/>
          <w:numId w:val="9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published or should have published an ad-hoc announcement pursuant to Art. 17 MAR or other public announcements pursuant to which insolvency proceedings with respect to the Company under German law have been</w:t>
      </w:r>
    </w:p>
    <w:p>
      <w:pPr>
        <w:ind w:left="171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opened, (ii) applied for, or (iii) there are grounds that such an application is required;</w:t>
      </w:r>
    </w:p>
    <w:p>
      <w:pPr>
        <w:spacing w:after="0" w:line="106" w:lineRule="exact"/>
        <w:rPr>
          <w:rFonts w:ascii="Times New Roman" w:cs="Times New Roman" w:eastAsia="Times New Roman" w:hAnsi="Times New Roman"/>
          <w:sz w:val="17"/>
          <w:szCs w:val="17"/>
          <w:color w:val="auto"/>
        </w:rPr>
      </w:pPr>
    </w:p>
    <w:p>
      <w:pPr>
        <w:ind w:left="1710" w:right="20" w:hanging="639"/>
        <w:spacing w:after="0" w:line="253" w:lineRule="auto"/>
        <w:tabs>
          <w:tab w:leader="none" w:pos="1710" w:val="left"/>
        </w:tabs>
        <w:numPr>
          <w:ilvl w:val="0"/>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capital of the Company has been increased or decreased and such increase or decrease has been registered with the commercial register, unless in connection with the conversion of the convertible bonds in the aggregate principal amount of EUR 151,000,000 with issue date 9 June 2022 and maturity date 9 June 2027, divided into bonds in bearer form with a principal amount of EUR 100,000 (“</w:t>
      </w:r>
      <w:r>
        <w:rPr>
          <w:rFonts w:ascii="Times New Roman" w:cs="Times New Roman" w:eastAsia="Times New Roman" w:hAnsi="Times New Roman"/>
          <w:sz w:val="18"/>
          <w:szCs w:val="18"/>
          <w:b w:val="1"/>
          <w:bCs w:val="1"/>
          <w:color w:val="auto"/>
        </w:rPr>
        <w:t>Convertible Bonds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710" w:right="120" w:hanging="639"/>
        <w:spacing w:after="0" w:line="253" w:lineRule="auto"/>
        <w:tabs>
          <w:tab w:leader="none" w:pos="1710" w:val="left"/>
        </w:tabs>
        <w:numPr>
          <w:ilvl w:val="0"/>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meeting of the Company has adopted a resolution (i) to increase the share capital, including from own funds </w:t>
      </w:r>
      <w:r>
        <w:rPr>
          <w:rFonts w:ascii="Times New Roman" w:cs="Times New Roman" w:eastAsia="Times New Roman" w:hAnsi="Times New Roman"/>
          <w:sz w:val="18"/>
          <w:szCs w:val="18"/>
          <w:i w:val="1"/>
          <w:iCs w:val="1"/>
          <w:color w:val="auto"/>
        </w:rPr>
        <w:t xml:space="preserve">(Kapitalerhöhung aus Gesellschaftsmitteln) </w:t>
      </w:r>
      <w:r>
        <w:rPr>
          <w:rFonts w:ascii="Times New Roman" w:cs="Times New Roman" w:eastAsia="Times New Roman" w:hAnsi="Times New Roman"/>
          <w:sz w:val="18"/>
          <w:szCs w:val="18"/>
          <w:color w:val="auto"/>
        </w:rPr>
        <w:t>or decrease the share capital, or (ii) to issue rights or instruments (including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section 221 AktG giving the right to subscribe for Ceconomy Shares), unless in connection with of the conversion of the Convertible Bonds;</w:t>
      </w:r>
    </w:p>
    <w:p>
      <w:pPr>
        <w:spacing w:after="0" w:line="92" w:lineRule="exact"/>
        <w:rPr>
          <w:rFonts w:ascii="Times New Roman" w:cs="Times New Roman" w:eastAsia="Times New Roman" w:hAnsi="Times New Roman"/>
          <w:sz w:val="18"/>
          <w:szCs w:val="18"/>
          <w:color w:val="auto"/>
        </w:rPr>
      </w:pPr>
    </w:p>
    <w:p>
      <w:pPr>
        <w:ind w:left="1710" w:right="140" w:hanging="639"/>
        <w:spacing w:after="0" w:line="251" w:lineRule="auto"/>
        <w:tabs>
          <w:tab w:leader="none" w:pos="1710" w:val="left"/>
        </w:tabs>
        <w:numPr>
          <w:ilvl w:val="0"/>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published or should have published an ad-hoc announcement pursuant to Art. 17 MAR or any other public announcement pursuant to which the Management Board and the Supervisory Board have adopted a resolution on the issuance of rights or instruments (including those under section 221 AktG) giving the right to subscribe for Ceconomy Shares or such rights or instruments have been issued by the Company, unless in connection with of the conversion of the Convertible Bonds; or</w:t>
      </w:r>
    </w:p>
    <w:p>
      <w:pPr>
        <w:spacing w:after="0" w:line="12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70"/>
          </w:cols>
          <w:pgMar w:left="550" w:top="266" w:right="579" w:bottom="1440" w:gutter="0" w:footer="0" w:header="0"/>
        </w:sectPr>
      </w:pPr>
    </w:p>
    <w:bookmarkStart w:id="652" w:name="page653"/>
    <w:bookmarkEnd w:id="652"/>
    <w:p>
      <w:pPr>
        <w:ind w:left="1710" w:right="20" w:hanging="639"/>
        <w:spacing w:after="0" w:line="253" w:lineRule="auto"/>
        <w:tabs>
          <w:tab w:leader="none" w:pos="1710"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the Company has published or should have published an ad-hoc announcement pursuant to Art. 17 MAR or any other public announcement pursuant to which the Management Board and the Supervisory Board have adopted a resolution to increase the share capital of the Company from authorized capital to issue Ceconomy Shares, unless in connection with of the conversion of the Convertible Bonds.</w:t>
      </w:r>
    </w:p>
    <w:p>
      <w:pPr>
        <w:spacing w:after="0" w:line="92" w:lineRule="exact"/>
        <w:rPr>
          <w:sz w:val="20"/>
          <w:szCs w:val="20"/>
          <w:color w:val="auto"/>
        </w:rPr>
      </w:pPr>
    </w:p>
    <w:p>
      <w:pPr>
        <w:ind w:left="1050" w:right="70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2.5.5</w:t>
      </w:r>
      <w:r>
        <w:rPr>
          <w:sz w:val="20"/>
          <w:szCs w:val="20"/>
          <w:color w:val="auto"/>
        </w:rPr>
        <w:tab/>
      </w:r>
      <w:r>
        <w:rPr>
          <w:rFonts w:ascii="Times New Roman" w:cs="Times New Roman" w:eastAsia="Times New Roman" w:hAnsi="Times New Roman"/>
          <w:sz w:val="18"/>
          <w:szCs w:val="18"/>
          <w:color w:val="auto"/>
        </w:rPr>
        <w:t>To the extent permitted under applicable law, the Bidder shall be entitled to unilaterally waive the Offer Conditions pursuant to Section 2.5.4 in whole or in part.</w:t>
      </w:r>
    </w:p>
    <w:p>
      <w:pPr>
        <w:spacing w:after="0" w:line="74" w:lineRule="exact"/>
        <w:rPr>
          <w:sz w:val="20"/>
          <w:szCs w:val="20"/>
          <w:color w:val="auto"/>
        </w:rPr>
      </w:pPr>
    </w:p>
    <w:p>
      <w:pPr>
        <w:ind w:left="430" w:right="80" w:hanging="422"/>
        <w:spacing w:after="0" w:line="303" w:lineRule="auto"/>
        <w:tabs>
          <w:tab w:leader="none" w:pos="409"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The Takeover Offer will provide for an initial acceptance period of ten weeks (“</w:t>
      </w:r>
      <w:r>
        <w:rPr>
          <w:rFonts w:ascii="Times New Roman" w:cs="Times New Roman" w:eastAsia="Times New Roman" w:hAnsi="Times New Roman"/>
          <w:sz w:val="17"/>
          <w:szCs w:val="17"/>
          <w:b w:val="1"/>
          <w:bCs w:val="1"/>
          <w:color w:val="auto"/>
        </w:rPr>
        <w:t>Acceptance Period</w:t>
      </w:r>
      <w:r>
        <w:rPr>
          <w:rFonts w:ascii="Times New Roman" w:cs="Times New Roman" w:eastAsia="Times New Roman" w:hAnsi="Times New Roman"/>
          <w:sz w:val="17"/>
          <w:szCs w:val="17"/>
          <w:color w:val="auto"/>
        </w:rPr>
        <w:t>”). The Parties will discuss if the Acceptance Period can be shortened before approval of the Offer Document by BaFin, also in light of the requirements of the Double Merger.</w:t>
      </w:r>
    </w:p>
    <w:p>
      <w:pPr>
        <w:spacing w:after="0" w:line="286" w:lineRule="exact"/>
        <w:rPr>
          <w:sz w:val="20"/>
          <w:szCs w:val="20"/>
          <w:color w:val="auto"/>
        </w:rPr>
      </w:pPr>
    </w:p>
    <w:p>
      <w:pPr>
        <w:ind w:left="430" w:hanging="430"/>
        <w:spacing w:after="0"/>
        <w:tabs>
          <w:tab w:leader="none" w:pos="430" w:val="left"/>
        </w:tabs>
        <w:numPr>
          <w:ilvl w:val="0"/>
          <w:numId w:val="9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Conduct until the Closing of the Takeover Offer</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The Company hereby undertakes, unless approved by the Bidder or otherwise required by applicable law, that from the day of signing this</w:t>
      </w:r>
    </w:p>
    <w:p>
      <w:pPr>
        <w:spacing w:after="0" w:line="22"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Agreement to the earlier of (i) the termination of the Agreement and (ii) the consummation of the Takeover Offer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Company:</w:t>
      </w:r>
    </w:p>
    <w:p>
      <w:pPr>
        <w:spacing w:after="0" w:line="106" w:lineRule="exact"/>
        <w:rPr>
          <w:sz w:val="20"/>
          <w:szCs w:val="20"/>
          <w:color w:val="auto"/>
        </w:rPr>
      </w:pPr>
    </w:p>
    <w:p>
      <w:pPr>
        <w:ind w:left="1050" w:right="12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will carry on its business in all material respects in the ordinary course of business consistent with past practice, its overall strategy and its business plan; and</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will refrain from:</w:t>
      </w:r>
    </w:p>
    <w:p>
      <w:pPr>
        <w:spacing w:after="0" w:line="124" w:lineRule="exact"/>
        <w:rPr>
          <w:sz w:val="20"/>
          <w:szCs w:val="20"/>
          <w:color w:val="auto"/>
        </w:rPr>
      </w:pPr>
    </w:p>
    <w:p>
      <w:pPr>
        <w:ind w:left="1710" w:hanging="639"/>
        <w:spacing w:after="0"/>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amending the Company’s articles of association, except as required by applicable law;</w:t>
      </w:r>
    </w:p>
    <w:p>
      <w:pPr>
        <w:spacing w:after="0" w:line="123" w:lineRule="exact"/>
        <w:rPr>
          <w:rFonts w:ascii="Times New Roman" w:cs="Times New Roman" w:eastAsia="Times New Roman" w:hAnsi="Times New Roman"/>
          <w:sz w:val="18"/>
          <w:szCs w:val="18"/>
          <w:color w:val="auto"/>
        </w:rPr>
      </w:pPr>
    </w:p>
    <w:p>
      <w:pPr>
        <w:ind w:left="1710" w:hanging="639"/>
        <w:spacing w:after="0" w:line="253"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proposing to the ordinary general meeting 2026 with respect to the business year 2025 to resolve on a dividend distributed in cash or in kind per Ceconomy Share in excess of the upper limit set forth in the existing dividend policy of the Company as of the date hereof (“</w:t>
      </w:r>
      <w:r>
        <w:rPr>
          <w:rFonts w:ascii="Times New Roman" w:cs="Times New Roman" w:eastAsia="Times New Roman" w:hAnsi="Times New Roman"/>
          <w:sz w:val="18"/>
          <w:szCs w:val="18"/>
          <w:b w:val="1"/>
          <w:bCs w:val="1"/>
          <w:color w:val="auto"/>
        </w:rPr>
        <w:t>Maximum 2025 Dividend</w:t>
      </w:r>
      <w:r>
        <w:rPr>
          <w:rFonts w:ascii="Times New Roman" w:cs="Times New Roman" w:eastAsia="Times New Roman" w:hAnsi="Times New Roman"/>
          <w:sz w:val="18"/>
          <w:szCs w:val="18"/>
          <w:color w:val="auto"/>
        </w:rPr>
        <w:t>”), (ii) amending any such proposal in a way that it foresees any such dividend in excess the Maximum 2025 Dividend;</w:t>
      </w:r>
    </w:p>
    <w:p>
      <w:pPr>
        <w:spacing w:after="0" w:line="92" w:lineRule="exact"/>
        <w:rPr>
          <w:rFonts w:ascii="Times New Roman" w:cs="Times New Roman" w:eastAsia="Times New Roman" w:hAnsi="Times New Roman"/>
          <w:sz w:val="18"/>
          <w:szCs w:val="18"/>
          <w:color w:val="auto"/>
        </w:rPr>
      </w:pPr>
    </w:p>
    <w:p>
      <w:pPr>
        <w:ind w:left="1710" w:right="300" w:hanging="639"/>
        <w:spacing w:after="0" w:line="258"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capital increase for new Ceconomy Shares or issuing or guaranteeing subscription rights, stock options, convertible bonds or other financial instruments granting a right to receive Ceconomy Shares, unless in connection with the conversion of the Convertible Bonds;</w:t>
      </w:r>
    </w:p>
    <w:p>
      <w:pPr>
        <w:spacing w:after="0" w:line="83" w:lineRule="exact"/>
        <w:rPr>
          <w:rFonts w:ascii="Times New Roman" w:cs="Times New Roman" w:eastAsia="Times New Roman" w:hAnsi="Times New Roman"/>
          <w:sz w:val="18"/>
          <w:szCs w:val="18"/>
          <w:color w:val="auto"/>
        </w:rPr>
      </w:pPr>
    </w:p>
    <w:p>
      <w:pPr>
        <w:ind w:left="1710" w:right="680" w:hanging="639"/>
        <w:spacing w:after="0" w:line="273"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repurchasing or otherwise acquiring (including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redemptions) any of its own shares (including permitting any of its subsidiaries to purchase or otherwise acquire its own shares);</w:t>
      </w:r>
    </w:p>
    <w:p>
      <w:pPr>
        <w:spacing w:after="0" w:line="73"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the Company’s statutory seat;</w:t>
      </w:r>
    </w:p>
    <w:p>
      <w:pPr>
        <w:spacing w:after="0" w:line="123" w:lineRule="exact"/>
        <w:rPr>
          <w:rFonts w:ascii="Times New Roman" w:cs="Times New Roman" w:eastAsia="Times New Roman" w:hAnsi="Times New Roman"/>
          <w:sz w:val="18"/>
          <w:szCs w:val="18"/>
          <w:color w:val="auto"/>
        </w:rPr>
      </w:pPr>
    </w:p>
    <w:p>
      <w:pPr>
        <w:ind w:left="1710" w:right="560" w:hanging="639"/>
        <w:spacing w:after="0" w:line="270"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additional financial debt and providing security in connection therewith, but only to the extent such additional financial debt would result in an increase of the Company’s leverage ratio above 2.5x;</w:t>
      </w:r>
    </w:p>
    <w:p>
      <w:pPr>
        <w:spacing w:after="0" w:line="76" w:lineRule="exact"/>
        <w:rPr>
          <w:rFonts w:ascii="Times New Roman" w:cs="Times New Roman" w:eastAsia="Times New Roman" w:hAnsi="Times New Roman"/>
          <w:sz w:val="18"/>
          <w:szCs w:val="18"/>
          <w:color w:val="auto"/>
        </w:rPr>
      </w:pPr>
    </w:p>
    <w:p>
      <w:pPr>
        <w:ind w:left="1710" w:right="180" w:hanging="639"/>
        <w:spacing w:after="0" w:line="270"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dissolving any reserves or hidden profits prior to the annual general meeting for the financial year ending 30 September 2025 (the “</w:t>
      </w:r>
      <w:r>
        <w:rPr>
          <w:rFonts w:ascii="Times New Roman" w:cs="Times New Roman" w:eastAsia="Times New Roman" w:hAnsi="Times New Roman"/>
          <w:sz w:val="18"/>
          <w:szCs w:val="18"/>
          <w:b w:val="1"/>
          <w:bCs w:val="1"/>
          <w:color w:val="auto"/>
        </w:rPr>
        <w:t>AGM 2026</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guarantees securing third-party liabilities, except for any guarantees required in the ordinary course of business;</w:t>
      </w:r>
    </w:p>
    <w:p>
      <w:pPr>
        <w:spacing w:after="0" w:line="123" w:lineRule="exact"/>
        <w:rPr>
          <w:rFonts w:ascii="Times New Roman" w:cs="Times New Roman" w:eastAsia="Times New Roman" w:hAnsi="Times New Roman"/>
          <w:sz w:val="18"/>
          <w:szCs w:val="18"/>
          <w:color w:val="auto"/>
        </w:rPr>
      </w:pPr>
    </w:p>
    <w:p>
      <w:pPr>
        <w:jc w:val="both"/>
        <w:ind w:left="1710" w:right="400" w:hanging="639"/>
        <w:spacing w:after="0" w:line="280" w:lineRule="auto"/>
        <w:tabs>
          <w:tab w:leader="none" w:pos="1710" w:val="left"/>
        </w:tabs>
        <w:numPr>
          <w:ilvl w:val="0"/>
          <w:numId w:val="9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material acquisitions or disposals or entering into joint ventures, having a value exceeding EUR 50,000,000 in the individual case and in each case outside the ordinary course of business; implementing material mergers or other material measures under the German Transformation Act at the level of the Company, other than intra-group transactions;</w:t>
      </w:r>
    </w:p>
    <w:p>
      <w:pPr>
        <w:spacing w:after="0" w:line="69" w:lineRule="exact"/>
        <w:rPr>
          <w:rFonts w:ascii="Times New Roman" w:cs="Times New Roman" w:eastAsia="Times New Roman" w:hAnsi="Times New Roman"/>
          <w:sz w:val="17"/>
          <w:szCs w:val="17"/>
          <w:color w:val="auto"/>
        </w:rPr>
      </w:pPr>
    </w:p>
    <w:p>
      <w:pPr>
        <w:ind w:left="1710" w:right="320" w:hanging="639"/>
        <w:spacing w:after="0" w:line="270" w:lineRule="auto"/>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and/or amending any agreement with a related party outside the ordinary course of business, other than with a Subsidiary of the Company, or</w:t>
      </w:r>
    </w:p>
    <w:p>
      <w:pPr>
        <w:spacing w:after="0" w:line="74" w:lineRule="exact"/>
        <w:rPr>
          <w:rFonts w:ascii="Times New Roman" w:cs="Times New Roman" w:eastAsia="Times New Roman" w:hAnsi="Times New Roman"/>
          <w:sz w:val="18"/>
          <w:szCs w:val="18"/>
          <w:color w:val="auto"/>
        </w:rPr>
      </w:pPr>
    </w:p>
    <w:p>
      <w:pPr>
        <w:ind w:left="1710" w:hanging="639"/>
        <w:spacing w:after="0"/>
        <w:tabs>
          <w:tab w:leader="none" w:pos="1710"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soliciting a competing public offer for Ceconomy Shares by a third party (“</w:t>
      </w:r>
      <w:r>
        <w:rPr>
          <w:rFonts w:ascii="Times New Roman" w:cs="Times New Roman" w:eastAsia="Times New Roman" w:hAnsi="Times New Roman"/>
          <w:sz w:val="18"/>
          <w:szCs w:val="18"/>
          <w:b w:val="1"/>
          <w:bCs w:val="1"/>
          <w:color w:val="auto"/>
        </w:rPr>
        <w:t>Competing Offer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070"/>
        <w:spacing w:after="0"/>
        <w:rPr>
          <w:sz w:val="20"/>
          <w:szCs w:val="20"/>
          <w:color w:val="auto"/>
        </w:rPr>
      </w:pPr>
      <w:r>
        <w:rPr>
          <w:rFonts w:ascii="Times New Roman" w:cs="Times New Roman" w:eastAsia="Times New Roman" w:hAnsi="Times New Roman"/>
          <w:sz w:val="18"/>
          <w:szCs w:val="18"/>
          <w:color w:val="auto"/>
        </w:rPr>
        <w:t>but in each case excluding any actions or measures which are implemented in connection with the Double-Merger.</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color w:val="auto"/>
        </w:rPr>
        <w:t>The Company will use reasonable endeavors to schedule and invite the AGM 2026 for a date at the end of May 2026.</w:t>
      </w:r>
    </w:p>
    <w:p>
      <w:pPr>
        <w:spacing w:after="0" w:line="124" w:lineRule="exact"/>
        <w:rPr>
          <w:sz w:val="20"/>
          <w:szCs w:val="20"/>
          <w:color w:val="auto"/>
        </w:rPr>
      </w:pPr>
    </w:p>
    <w:p>
      <w:pPr>
        <w:ind w:left="430" w:right="20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3.2</w:t>
        <w:tab/>
        <w:t>The Company will inform the Bidder as soon as legally possible if it has been approached by a third party in relation to a situation which could reasonably be expected to end in a Competing Offer.</w:t>
      </w:r>
    </w:p>
    <w:p>
      <w:pPr>
        <w:spacing w:after="0" w:line="76" w:lineRule="exact"/>
        <w:rPr>
          <w:sz w:val="20"/>
          <w:szCs w:val="20"/>
          <w:color w:val="auto"/>
        </w:rPr>
      </w:pPr>
    </w:p>
    <w:p>
      <w:pPr>
        <w:ind w:left="430" w:right="6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3.3</w:t>
        <w:tab/>
        <w:t>Nothing in this Agreement shall prevent the Company, the Management Board, the Supervisory Board or any other member of Ceconomy Group from:</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7"/>
          <w:szCs w:val="17"/>
          <w:color w:val="auto"/>
        </w:rPr>
        <w:t>providing information duly requested or required by a regulatory authority;</w:t>
      </w:r>
    </w:p>
    <w:p>
      <w:pPr>
        <w:spacing w:after="0" w:line="150" w:lineRule="exact"/>
        <w:rPr>
          <w:sz w:val="20"/>
          <w:szCs w:val="20"/>
          <w:color w:val="auto"/>
        </w:rPr>
      </w:pPr>
    </w:p>
    <w:p>
      <w:pPr>
        <w:ind w:left="535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10"/>
          </w:cols>
          <w:pgMar w:left="550" w:top="266" w:right="639" w:bottom="1440" w:gutter="0" w:footer="0" w:header="0"/>
        </w:sectPr>
      </w:pPr>
    </w:p>
    <w:bookmarkStart w:id="653" w:name="page654"/>
    <w:bookmarkEnd w:id="653"/>
    <w:p>
      <w:pPr>
        <w:ind w:left="1050" w:right="40" w:hanging="633"/>
        <w:spacing w:after="0" w:line="253" w:lineRule="auto"/>
        <w:tabs>
          <w:tab w:leader="none" w:pos="1029"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3">
                      <a:extLst>
                        <a:ext uri="{28A0092B-C50C-407E-A947-70E740481C1C}"/>
                      </a:extLst>
                    </a:blip>
                    <a:srcRect/>
                    <a:stretch>
                      <a:fillRect/>
                    </a:stretch>
                  </pic:blipFill>
                  <pic:spPr bwMode="auto">
                    <a:xfrm>
                      <a:off x="0" y="0"/>
                      <a:ext cx="7177405" cy="37465"/>
                    </a:xfrm>
                    <a:prstGeom prst="rect">
                      <a:avLst/>
                    </a:prstGeom>
                    <a:noFill/>
                  </pic:spPr>
                </pic:pic>
              </a:graphicData>
            </a:graphic>
          </wp:anchor>
        </w:drawing>
        <w:t>3.3.2</w:t>
      </w:r>
      <w:r>
        <w:rPr>
          <w:sz w:val="20"/>
          <w:szCs w:val="20"/>
          <w:color w:val="auto"/>
        </w:rPr>
        <w:tab/>
      </w:r>
      <w:r>
        <w:rPr>
          <w:rFonts w:ascii="Times New Roman" w:cs="Times New Roman" w:eastAsia="Times New Roman" w:hAnsi="Times New Roman"/>
          <w:sz w:val="18"/>
          <w:szCs w:val="18"/>
          <w:color w:val="auto"/>
        </w:rPr>
        <w:t>engaging with a third party that submits a bona fide, unsolicited proposal that is reasonably likely to result in a Superior Offer (as defined below in Section 4.1.1) for the Ceconomy Shares, provided, however, that the Company will as soon as legally possible and reasonably practically make available to the Bidder any material non-public information made available to such third party to the extent such information was not previously provided to the Bidder; and</w:t>
      </w:r>
    </w:p>
    <w:p>
      <w:pPr>
        <w:spacing w:after="0" w:line="92"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7"/>
          <w:szCs w:val="17"/>
          <w:color w:val="auto"/>
        </w:rPr>
        <w:t>acting in accordance with (i) their fiduciary duties under German law, in particular, the duty of care and loyalty under sections 93 and 116</w:t>
      </w:r>
    </w:p>
    <w:p>
      <w:pPr>
        <w:spacing w:after="0" w:line="22"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color w:val="auto"/>
        </w:rPr>
        <w:t xml:space="preserve">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AktG</w:t>
      </w:r>
      <w:r>
        <w:rPr>
          <w:rFonts w:ascii="Times New Roman" w:cs="Times New Roman" w:eastAsia="Times New Roman" w:hAnsi="Times New Roman"/>
          <w:sz w:val="18"/>
          <w:szCs w:val="18"/>
          <w:color w:val="auto"/>
        </w:rPr>
        <w:t>”), the requirements under the WpÜG and the WpÜG AngebV (collectively,</w:t>
      </w:r>
    </w:p>
    <w:p>
      <w:pPr>
        <w:spacing w:after="0" w:line="5"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Fiduciary Duties</w:t>
      </w:r>
      <w:r>
        <w:rPr>
          <w:rFonts w:ascii="Times New Roman" w:cs="Times New Roman" w:eastAsia="Times New Roman" w:hAnsi="Times New Roman"/>
          <w:sz w:val="18"/>
          <w:szCs w:val="18"/>
          <w:color w:val="auto"/>
        </w:rPr>
        <w:t>”); (ii) the concept of managerial neutrality (section 33 WpÜG) and (iii) managerial tasks and duties including the</w:t>
      </w:r>
    </w:p>
    <w:p>
      <w:pPr>
        <w:spacing w:after="0" w:line="5" w:lineRule="exact"/>
        <w:rPr>
          <w:sz w:val="20"/>
          <w:szCs w:val="20"/>
          <w:color w:val="auto"/>
        </w:rPr>
      </w:pPr>
    </w:p>
    <w:p>
      <w:pPr>
        <w:ind w:left="1050"/>
        <w:spacing w:after="0"/>
        <w:rPr>
          <w:sz w:val="20"/>
          <w:szCs w:val="20"/>
          <w:color w:val="auto"/>
        </w:rPr>
      </w:pPr>
      <w:r>
        <w:rPr>
          <w:rFonts w:ascii="Times New Roman" w:cs="Times New Roman" w:eastAsia="Times New Roman" w:hAnsi="Times New Roman"/>
          <w:sz w:val="18"/>
          <w:szCs w:val="18"/>
          <w:color w:val="auto"/>
        </w:rPr>
        <w:t>business judgment rule (sections 76, 93 as well as 116 AktG).</w:t>
      </w:r>
    </w:p>
    <w:p>
      <w:pPr>
        <w:spacing w:after="0" w:line="106" w:lineRule="exact"/>
        <w:rPr>
          <w:sz w:val="20"/>
          <w:szCs w:val="20"/>
          <w:color w:val="auto"/>
        </w:rPr>
      </w:pPr>
    </w:p>
    <w:p>
      <w:pPr>
        <w:ind w:left="430" w:right="6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3.4</w:t>
        <w:tab/>
        <w:t>Each Party shall promptly notify the relevant other Party of the occurrence of any circumstance which would be reasonably likely to result in the non-compliance with any of its obligations under this Agreement, or which would otherwise be reasonably likely to have a negative impact on the completion of the Transaction.</w:t>
      </w:r>
    </w:p>
    <w:p>
      <w:pPr>
        <w:spacing w:after="0" w:line="322" w:lineRule="exact"/>
        <w:rPr>
          <w:sz w:val="20"/>
          <w:szCs w:val="20"/>
          <w:color w:val="auto"/>
        </w:rPr>
      </w:pPr>
    </w:p>
    <w:p>
      <w:pPr>
        <w:ind w:left="430" w:hanging="430"/>
        <w:spacing w:after="0"/>
        <w:tabs>
          <w:tab w:leader="none" w:pos="430" w:val="left"/>
        </w:tabs>
        <w:numPr>
          <w:ilvl w:val="0"/>
          <w:numId w:val="9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Reasoned Statement by the Company’s Management Board and Supervisory Board</w:t>
      </w:r>
    </w:p>
    <w:p>
      <w:pPr>
        <w:spacing w:after="0" w:line="124" w:lineRule="exact"/>
        <w:rPr>
          <w:sz w:val="20"/>
          <w:szCs w:val="20"/>
          <w:color w:val="auto"/>
        </w:rPr>
      </w:pPr>
    </w:p>
    <w:p>
      <w:pPr>
        <w:ind w:left="430" w:hanging="422"/>
        <w:spacing w:after="0" w:line="250" w:lineRule="auto"/>
        <w:tabs>
          <w:tab w:leader="none" w:pos="409" w:val="left"/>
        </w:tabs>
        <w:rPr>
          <w:sz w:val="20"/>
          <w:szCs w:val="20"/>
          <w:color w:val="auto"/>
        </w:rPr>
      </w:pPr>
      <w:r>
        <w:rPr>
          <w:rFonts w:ascii="Times New Roman" w:cs="Times New Roman" w:eastAsia="Times New Roman" w:hAnsi="Times New Roman"/>
          <w:sz w:val="18"/>
          <w:szCs w:val="18"/>
          <w:color w:val="auto"/>
        </w:rPr>
        <w:t>4.1</w:t>
        <w:tab/>
        <w:t xml:space="preserve">Without undue delay </w:t>
      </w:r>
      <w:r>
        <w:rPr>
          <w:rFonts w:ascii="Times New Roman" w:cs="Times New Roman" w:eastAsia="Times New Roman" w:hAnsi="Times New Roman"/>
          <w:sz w:val="18"/>
          <w:szCs w:val="18"/>
          <w:i w:val="1"/>
          <w:iCs w:val="1"/>
          <w:color w:val="auto"/>
        </w:rPr>
        <w:t>(unverzüglich),</w:t>
      </w:r>
      <w:r>
        <w:rPr>
          <w:rFonts w:ascii="Times New Roman" w:cs="Times New Roman" w:eastAsia="Times New Roman" w:hAnsi="Times New Roman"/>
          <w:sz w:val="18"/>
          <w:szCs w:val="18"/>
          <w:color w:val="auto"/>
        </w:rPr>
        <w:t xml:space="preserve"> and in any case within two weeks from the publication of the Offer Document, the Management Board and the Supervisory Board shall (i) prepare a statement required pursuant to section 27 WpÜG </w:t>
      </w:r>
      <w:r>
        <w:rPr>
          <w:rFonts w:ascii="Times New Roman" w:cs="Times New Roman" w:eastAsia="Times New Roman" w:hAnsi="Times New Roman"/>
          <w:sz w:val="18"/>
          <w:szCs w:val="18"/>
          <w:i w:val="1"/>
          <w:iCs w:val="1"/>
          <w:color w:val="auto"/>
        </w:rPr>
        <w:t>(begründete Stellungnahme,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Reasoned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either separately or jointly and (ii) publish the Reasoned Statement pursuant to section 27 para. 3 and section 14 para. 3 WpÜG.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Reasoned Statement of the Management Board and the Supervisory Board it shall be reflected that the Management Board and the Supervisory Board, after having duly reviewed and analyzed the Takeover Offer (including reviewing the Offer Document) and acting in good faith with regard to its duties, regards the Offer Price as fair and adequate and welcomes and supports the Takeover Offer, provided that</w:t>
      </w:r>
    </w:p>
    <w:p>
      <w:pPr>
        <w:spacing w:after="0" w:line="9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the Takeover Offer complies with the terms agreed in this Agreement;</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the financing confirmations pursuant to section 13 para. 4 WpÜG have not been withdrawn;</w:t>
      </w:r>
    </w:p>
    <w:p>
      <w:pPr>
        <w:spacing w:after="0" w:line="124" w:lineRule="exact"/>
        <w:rPr>
          <w:sz w:val="20"/>
          <w:szCs w:val="20"/>
          <w:color w:val="auto"/>
        </w:rPr>
      </w:pPr>
    </w:p>
    <w:p>
      <w:pPr>
        <w:ind w:left="1050" w:right="8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color w:val="auto"/>
        </w:rPr>
        <w:t>the Bidder has not taken any act, and has not made any public statement, which contradicts its intention to fulfil its obligations under this Agreement in a clear and material way;</w:t>
      </w:r>
    </w:p>
    <w:p>
      <w:pPr>
        <w:spacing w:after="0" w:line="63" w:lineRule="exact"/>
        <w:rPr>
          <w:sz w:val="20"/>
          <w:szCs w:val="20"/>
          <w:color w:val="auto"/>
        </w:rPr>
      </w:pPr>
    </w:p>
    <w:p>
      <w:pPr>
        <w:ind w:left="430"/>
        <w:spacing w:after="0"/>
        <w:rPr>
          <w:sz w:val="20"/>
          <w:szCs w:val="20"/>
          <w:color w:val="auto"/>
        </w:rPr>
      </w:pPr>
      <w:r>
        <w:rPr>
          <w:rFonts w:ascii="Times New Roman" w:cs="Times New Roman" w:eastAsia="Times New Roman" w:hAnsi="Times New Roman"/>
          <w:sz w:val="18"/>
          <w:szCs w:val="18"/>
          <w:color w:val="auto"/>
        </w:rPr>
        <w:t>[REDACTED]</w:t>
      </w:r>
    </w:p>
    <w:p>
      <w:pPr>
        <w:spacing w:after="0" w:line="124" w:lineRule="exact"/>
        <w:rPr>
          <w:sz w:val="20"/>
          <w:szCs w:val="20"/>
          <w:color w:val="auto"/>
        </w:rPr>
      </w:pPr>
    </w:p>
    <w:p>
      <w:pPr>
        <w:ind w:left="1050" w:right="28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8"/>
          <w:szCs w:val="18"/>
          <w:color w:val="auto"/>
        </w:rPr>
        <w:t>no other circumstances exist that in the reasonable opinion of the Management Board acting in good faith with due regard to its duties would cause the members of the Management Board to violate their duties under applicable law by welcoming and supporting the Takeover Offer.</w:t>
      </w:r>
    </w:p>
    <w:p>
      <w:pPr>
        <w:spacing w:after="0" w:line="322" w:lineRule="exact"/>
        <w:rPr>
          <w:sz w:val="20"/>
          <w:szCs w:val="20"/>
          <w:color w:val="auto"/>
        </w:rPr>
      </w:pPr>
    </w:p>
    <w:p>
      <w:pPr>
        <w:ind w:left="430" w:hanging="430"/>
        <w:spacing w:after="0"/>
        <w:tabs>
          <w:tab w:leader="none" w:pos="430" w:val="left"/>
        </w:tabs>
        <w:numPr>
          <w:ilvl w:val="0"/>
          <w:numId w:val="9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Roadmap; European Tech Stack; European Consolidation</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The business combination contemplated by this Agreement shall be based on</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the Strategic Roadmap as outlined in more detail in Section 5.2;</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certain principles regarding the European Tech Stack as outlined in more detail in Section 5.3;</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7"/>
          <w:szCs w:val="17"/>
          <w:color w:val="auto"/>
        </w:rPr>
        <w:t>Ceconomy Group serving as platform for the European Consolidation as outlined in more detail in Section 5.4; and</w:t>
      </w:r>
    </w:p>
    <w:p>
      <w:pPr>
        <w:spacing w:after="0" w:line="124" w:lineRule="exact"/>
        <w:rPr>
          <w:sz w:val="20"/>
          <w:szCs w:val="20"/>
          <w:color w:val="auto"/>
        </w:rPr>
      </w:pPr>
    </w:p>
    <w:p>
      <w:pPr>
        <w:ind w:left="1050" w:right="48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the arms’ length terms principle as outlined in more detail in Section 5.5 (which shall, for the avoidance of doubt, also apply to any obligations contemplated by this Section 5).</w:t>
      </w:r>
    </w:p>
    <w:p>
      <w:pPr>
        <w:spacing w:after="0" w:line="74" w:lineRule="exact"/>
        <w:rPr>
          <w:sz w:val="20"/>
          <w:szCs w:val="20"/>
          <w:color w:val="auto"/>
        </w:rPr>
      </w:pPr>
    </w:p>
    <w:p>
      <w:pPr>
        <w:ind w:left="430" w:right="60" w:hanging="422"/>
        <w:spacing w:after="0" w:line="273" w:lineRule="auto"/>
        <w:tabs>
          <w:tab w:leader="none" w:pos="409"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Strategic Roadmap</w:t>
      </w:r>
      <w:r>
        <w:rPr>
          <w:rFonts w:ascii="Times New Roman" w:cs="Times New Roman" w:eastAsia="Times New Roman" w:hAnsi="Times New Roman"/>
          <w:sz w:val="18"/>
          <w:szCs w:val="18"/>
          <w:color w:val="auto"/>
        </w:rPr>
        <w:t>. The strategic collaboration and alliance between the Bidder and its Affiliates (together “</w:t>
      </w:r>
      <w:r>
        <w:rPr>
          <w:rFonts w:ascii="Times New Roman" w:cs="Times New Roman" w:eastAsia="Times New Roman" w:hAnsi="Times New Roman"/>
          <w:sz w:val="18"/>
          <w:szCs w:val="18"/>
          <w:b w:val="1"/>
          <w:bCs w:val="1"/>
          <w:color w:val="auto"/>
        </w:rPr>
        <w:t>Bidder Group</w:t>
      </w:r>
      <w:r>
        <w:rPr>
          <w:rFonts w:ascii="Times New Roman" w:cs="Times New Roman" w:eastAsia="Times New Roman" w:hAnsi="Times New Roman"/>
          <w:sz w:val="18"/>
          <w:szCs w:val="18"/>
          <w:color w:val="auto"/>
        </w:rPr>
        <w:t>”) on the one hand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Company on the other hand shall, over an initial term of five years, comprise the following elements:</w:t>
      </w:r>
    </w:p>
    <w:p>
      <w:pPr>
        <w:spacing w:after="0" w:line="73" w:lineRule="exact"/>
        <w:rPr>
          <w:sz w:val="20"/>
          <w:szCs w:val="20"/>
          <w:color w:val="auto"/>
        </w:rPr>
      </w:pPr>
    </w:p>
    <w:p>
      <w:pPr>
        <w:ind w:left="1050" w:right="18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color w:val="auto"/>
        </w:rPr>
        <w:t>Continuing and further expanding Ceconomy Group’s omnichannel service platform approach (including by the Bidder Group using its leading omnichannel retail know-how to support Ceconomy Group);</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Driving technological excellence of Ceconomy Group, in particular with the IT/tech support of the Bidder Group;</w:t>
      </w:r>
    </w:p>
    <w:p>
      <w:pPr>
        <w:spacing w:after="0" w:line="150" w:lineRule="exact"/>
        <w:rPr>
          <w:sz w:val="20"/>
          <w:szCs w:val="20"/>
          <w:color w:val="auto"/>
        </w:rPr>
      </w:pPr>
    </w:p>
    <w:p>
      <w:pPr>
        <w:ind w:left="535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90"/>
          </w:cols>
          <w:pgMar w:left="550" w:top="267" w:right="559" w:bottom="1440" w:gutter="0" w:footer="0" w:header="0"/>
        </w:sectPr>
      </w:pPr>
    </w:p>
    <w:bookmarkStart w:id="654" w:name="page655"/>
    <w:bookmarkEnd w:id="654"/>
    <w:p>
      <w:pPr>
        <w:ind w:left="1040" w:right="160" w:hanging="633"/>
        <w:spacing w:after="0" w:line="270" w:lineRule="auto"/>
        <w:tabs>
          <w:tab w:leader="none" w:pos="1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4">
                      <a:extLst>
                        <a:ext uri="{28A0092B-C50C-407E-A947-70E740481C1C}"/>
                      </a:extLst>
                    </a:blip>
                    <a:srcRect/>
                    <a:stretch>
                      <a:fillRect/>
                    </a:stretch>
                  </pic:blipFill>
                  <pic:spPr bwMode="auto">
                    <a:xfrm>
                      <a:off x="0" y="0"/>
                      <a:ext cx="7177405" cy="38100"/>
                    </a:xfrm>
                    <a:prstGeom prst="rect">
                      <a:avLst/>
                    </a:prstGeom>
                    <a:noFill/>
                  </pic:spPr>
                </pic:pic>
              </a:graphicData>
            </a:graphic>
          </wp:anchor>
        </w:drawing>
        <w:t>5.2.3</w:t>
      </w:r>
      <w:r>
        <w:rPr>
          <w:sz w:val="20"/>
          <w:szCs w:val="20"/>
          <w:color w:val="auto"/>
        </w:rPr>
        <w:tab/>
      </w:r>
      <w:r>
        <w:rPr>
          <w:rFonts w:ascii="Times New Roman" w:cs="Times New Roman" w:eastAsia="Times New Roman" w:hAnsi="Times New Roman"/>
          <w:sz w:val="18"/>
          <w:szCs w:val="18"/>
          <w:color w:val="auto"/>
        </w:rPr>
        <w:t>Enhancing Ceconomy Group’s stand-alone business by accelerating and building additional capabilities at the Company and expanding the Company’s business opportunities through support by Bidder Group’s expertise and resources;</w:t>
      </w:r>
    </w:p>
    <w:p>
      <w:pPr>
        <w:spacing w:after="0" w:line="76" w:lineRule="exact"/>
        <w:rPr>
          <w:sz w:val="20"/>
          <w:szCs w:val="20"/>
          <w:color w:val="auto"/>
        </w:rPr>
      </w:pPr>
    </w:p>
    <w:p>
      <w:pPr>
        <w:ind w:left="1040" w:right="140" w:hanging="633"/>
        <w:spacing w:after="0" w:line="270" w:lineRule="auto"/>
        <w:tabs>
          <w:tab w:leader="none" w:pos="1020"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8"/>
          <w:szCs w:val="18"/>
          <w:color w:val="auto"/>
        </w:rPr>
        <w:t>Collaborating in key areas including by assessing a potential collaboration regarding the Bidder Group’s China and international supply chain as well as logistics and warehouse infrastructure; and</w:t>
      </w:r>
    </w:p>
    <w:p>
      <w:pPr>
        <w:spacing w:after="0" w:line="76"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t>5.2.5</w:t>
      </w:r>
      <w:r>
        <w:rPr>
          <w:sz w:val="20"/>
          <w:szCs w:val="20"/>
          <w:color w:val="auto"/>
        </w:rPr>
        <w:tab/>
      </w:r>
      <w:r>
        <w:rPr>
          <w:rFonts w:ascii="Times New Roman" w:cs="Times New Roman" w:eastAsia="Times New Roman" w:hAnsi="Times New Roman"/>
          <w:sz w:val="17"/>
          <w:szCs w:val="17"/>
          <w:color w:val="auto"/>
        </w:rPr>
        <w:t>Establishing a governance and communication set-up to manage the future collaboration between the Parties.</w:t>
      </w:r>
    </w:p>
    <w:p>
      <w:pPr>
        <w:spacing w:after="0" w:line="108" w:lineRule="exact"/>
        <w:rPr>
          <w:sz w:val="20"/>
          <w:szCs w:val="20"/>
          <w:color w:val="auto"/>
        </w:rPr>
      </w:pPr>
    </w:p>
    <w:p>
      <w:pPr>
        <w:ind w:left="1060"/>
        <w:spacing w:after="0" w:line="270" w:lineRule="auto"/>
        <w:rPr>
          <w:sz w:val="20"/>
          <w:szCs w:val="20"/>
          <w:color w:val="auto"/>
        </w:rPr>
      </w:pPr>
      <w:r>
        <w:rPr>
          <w:rFonts w:ascii="Times New Roman" w:cs="Times New Roman" w:eastAsia="Times New Roman" w:hAnsi="Times New Roman"/>
          <w:sz w:val="17"/>
          <w:szCs w:val="17"/>
          <w:color w:val="auto"/>
        </w:rPr>
        <w:t xml:space="preserve">in each case as set out in more detail also in </w:t>
      </w:r>
      <w:r>
        <w:rPr>
          <w:rFonts w:ascii="Times New Roman" w:cs="Times New Roman" w:eastAsia="Times New Roman" w:hAnsi="Times New Roman"/>
          <w:sz w:val="17"/>
          <w:szCs w:val="17"/>
          <w:b w:val="1"/>
          <w:bCs w:val="1"/>
          <w:u w:val="single" w:color="auto"/>
          <w:color w:val="auto"/>
        </w:rPr>
        <w:t>Annex 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Strategic Roadmap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which shall be further detailed by the Parties until Closing. The Bidder undertakes to add value to Ceconomy Group by supporting the Management Board in investing in new product developments, making acquisitions and pursuing organic growth to ensure the success of their businesses and by providing the Company with access to the Bidder Group’s internal resources, including its experts in finance and capital markets, provided that any obligations of any member of the Bidder Group under this Section 5 shall not constitute a hard financing obligation for any entity of the Bidder Group.</w:t>
      </w:r>
    </w:p>
    <w:p>
      <w:pPr>
        <w:spacing w:after="0" w:line="66" w:lineRule="exact"/>
        <w:rPr>
          <w:sz w:val="20"/>
          <w:szCs w:val="20"/>
          <w:color w:val="auto"/>
        </w:rPr>
      </w:pPr>
    </w:p>
    <w:p>
      <w:pPr>
        <w:ind w:left="1060" w:right="220"/>
        <w:spacing w:after="0" w:line="253" w:lineRule="auto"/>
        <w:rPr>
          <w:sz w:val="20"/>
          <w:szCs w:val="20"/>
          <w:color w:val="auto"/>
        </w:rPr>
      </w:pPr>
      <w:r>
        <w:rPr>
          <w:rFonts w:ascii="Times New Roman" w:cs="Times New Roman" w:eastAsia="Times New Roman" w:hAnsi="Times New Roman"/>
          <w:sz w:val="18"/>
          <w:szCs w:val="18"/>
          <w:color w:val="auto"/>
        </w:rPr>
        <w:t xml:space="preserve">Subject to the occurrence of Closing, (i) the Bidder undertakes to fully support the Company and the Management Board on the implementation of the Strategic Roadmap and cooperate on all elements with the Management Board to maximize the efficiencies and gains to be made through the Strategic Roadmap without undue delay </w:t>
      </w:r>
      <w:r>
        <w:rPr>
          <w:rFonts w:ascii="Times New Roman" w:cs="Times New Roman" w:eastAsia="Times New Roman" w:hAnsi="Times New Roman"/>
          <w:sz w:val="18"/>
          <w:szCs w:val="18"/>
          <w:i w:val="1"/>
          <w:iCs w:val="1"/>
          <w:color w:val="auto"/>
        </w:rPr>
        <w:t>(unverzüglich)</w:t>
      </w:r>
      <w:r>
        <w:rPr>
          <w:rFonts w:ascii="Times New Roman" w:cs="Times New Roman" w:eastAsia="Times New Roman" w:hAnsi="Times New Roman"/>
          <w:sz w:val="18"/>
          <w:szCs w:val="18"/>
          <w:color w:val="auto"/>
        </w:rPr>
        <w:t xml:space="preserve"> after Closing, and (ii) both Parties undertake to, subject to applicable mandatory laws, implement the Strategic Roadmap.</w:t>
      </w:r>
    </w:p>
    <w:p>
      <w:pPr>
        <w:spacing w:after="0" w:line="92" w:lineRule="exact"/>
        <w:rPr>
          <w:sz w:val="20"/>
          <w:szCs w:val="20"/>
          <w:color w:val="auto"/>
        </w:rPr>
      </w:pPr>
    </w:p>
    <w:p>
      <w:pPr>
        <w:ind w:left="420" w:hanging="422"/>
        <w:spacing w:after="0" w:line="266" w:lineRule="auto"/>
        <w:tabs>
          <w:tab w:leader="none" w:pos="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European Tech Stack</w:t>
      </w:r>
      <w:r>
        <w:rPr>
          <w:rFonts w:ascii="Times New Roman" w:cs="Times New Roman" w:eastAsia="Times New Roman" w:hAnsi="Times New Roman"/>
          <w:sz w:val="17"/>
          <w:szCs w:val="17"/>
          <w:color w:val="auto"/>
        </w:rPr>
        <w:t>. The Bidder Group shall provide support with the help of its advanced technology capabilities (and technological excellence)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in supply chain management, data analytics, and AI to Ceconomy Group, while (ii) keeping and further developing the Company’s IT systems, technology stack and customer data strictly independent and in Europe. The Bidder Group undertakes to establish a European technology stack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European Tech Stack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separate and strictly independent European technology stack outside of China with the ability to provide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services and capabilities similar to those it offers in China, including data analytics and AI, supply chain management, marketing &amp; live streaming, store digitalisation, and front-end technologies. The Parties agree that a European Tech Stack is a key pillar of the future success of Ceconomy Group and intend to further discuss and agree on the details of such European Tech Stack, subject to the following requirements:</w:t>
      </w:r>
    </w:p>
    <w:p>
      <w:pPr>
        <w:spacing w:after="0" w:line="83"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color w:val="auto"/>
        </w:rPr>
        <w:t>The Parties objectives with respect to the European Tech Stack during the term of this Agreement are:</w:t>
      </w:r>
    </w:p>
    <w:p>
      <w:pPr>
        <w:spacing w:after="0" w:line="124" w:lineRule="exact"/>
        <w:rPr>
          <w:sz w:val="20"/>
          <w:szCs w:val="20"/>
          <w:color w:val="auto"/>
        </w:rPr>
      </w:pPr>
    </w:p>
    <w:p>
      <w:pPr>
        <w:ind w:left="1700" w:right="120" w:hanging="639"/>
        <w:spacing w:after="0" w:line="280" w:lineRule="auto"/>
        <w:tabs>
          <w:tab w:leader="none" w:pos="1700" w:val="left"/>
        </w:tabs>
        <w:numPr>
          <w:ilvl w:val="0"/>
          <w:numId w:val="9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and accessibility, i.e. Ceconomy Group shall be supported by the Bidder Group in its ongoing technology transformation such that the technology and capabilities within Ceconomy Group are commensurate with building Europe’s leading next-generation consumer electronics platform. This includes having access to Bidder Group’s technology capabilities;</w:t>
      </w:r>
    </w:p>
    <w:p>
      <w:pPr>
        <w:spacing w:after="0" w:line="69" w:lineRule="exact"/>
        <w:rPr>
          <w:rFonts w:ascii="Times New Roman" w:cs="Times New Roman" w:eastAsia="Times New Roman" w:hAnsi="Times New Roman"/>
          <w:sz w:val="17"/>
          <w:szCs w:val="17"/>
          <w:color w:val="auto"/>
        </w:rPr>
      </w:pPr>
    </w:p>
    <w:p>
      <w:pPr>
        <w:ind w:left="1700" w:right="480" w:hanging="639"/>
        <w:spacing w:after="0" w:line="270" w:lineRule="auto"/>
        <w:tabs>
          <w:tab w:leader="none" w:pos="1700"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 independence of the European Tech Stack, i.e. Ceconomy Group’s IT systems and data shall continue to run strictly independent in Europe; and</w:t>
      </w:r>
    </w:p>
    <w:p>
      <w:pPr>
        <w:spacing w:after="0" w:line="76" w:lineRule="exact"/>
        <w:rPr>
          <w:rFonts w:ascii="Times New Roman" w:cs="Times New Roman" w:eastAsia="Times New Roman" w:hAnsi="Times New Roman"/>
          <w:sz w:val="18"/>
          <w:szCs w:val="18"/>
          <w:color w:val="auto"/>
        </w:rPr>
      </w:pPr>
    </w:p>
    <w:p>
      <w:pPr>
        <w:ind w:left="1700" w:right="240" w:hanging="639"/>
        <w:spacing w:after="0" w:line="270" w:lineRule="auto"/>
        <w:tabs>
          <w:tab w:leader="none" w:pos="1700"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strict ringfencing of the European Tech Stack with the objective to be insulated from risks related to geopolitical tension or regulatory change.</w:t>
      </w:r>
    </w:p>
    <w:p>
      <w:pPr>
        <w:spacing w:after="0" w:line="76" w:lineRule="exact"/>
        <w:rPr>
          <w:sz w:val="20"/>
          <w:szCs w:val="20"/>
          <w:color w:val="auto"/>
        </w:rPr>
      </w:pPr>
    </w:p>
    <w:p>
      <w:pPr>
        <w:ind w:left="1040" w:right="80" w:hanging="633"/>
        <w:spacing w:after="0" w:line="258" w:lineRule="auto"/>
        <w:tabs>
          <w:tab w:leader="none" w:pos="1020"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8"/>
          <w:szCs w:val="18"/>
          <w:color w:val="auto"/>
        </w:rPr>
        <w:t>The Bidder undertakes to provide such services and capabilities under the international technology stack either as a software as a service offering or by building systems specifically for use by Ceconomy Group. The Parties undertake to work together closely to define the future technology roadmap which supports Ceconomy Group’s ongoing technological transformation.</w:t>
      </w:r>
    </w:p>
    <w:p>
      <w:pPr>
        <w:spacing w:after="0" w:line="86" w:lineRule="exact"/>
        <w:rPr>
          <w:sz w:val="20"/>
          <w:szCs w:val="20"/>
          <w:color w:val="auto"/>
        </w:rPr>
      </w:pPr>
    </w:p>
    <w:p>
      <w:pPr>
        <w:ind w:left="1040" w:right="660" w:hanging="633"/>
        <w:spacing w:after="0" w:line="270" w:lineRule="auto"/>
        <w:tabs>
          <w:tab w:leader="none" w:pos="1020" w:val="left"/>
        </w:tabs>
        <w:rPr>
          <w:sz w:val="20"/>
          <w:szCs w:val="20"/>
          <w:color w:val="auto"/>
        </w:rPr>
      </w:pPr>
      <w:r>
        <w:rPr>
          <w:rFonts w:ascii="Times New Roman" w:cs="Times New Roman" w:eastAsia="Times New Roman" w:hAnsi="Times New Roman"/>
          <w:sz w:val="18"/>
          <w:szCs w:val="18"/>
          <w:color w:val="auto"/>
        </w:rPr>
        <w:t>5.3.3</w:t>
      </w:r>
      <w:r>
        <w:rPr>
          <w:sz w:val="20"/>
          <w:szCs w:val="20"/>
          <w:color w:val="auto"/>
        </w:rPr>
        <w:tab/>
      </w:r>
      <w:r>
        <w:rPr>
          <w:rFonts w:ascii="Times New Roman" w:cs="Times New Roman" w:eastAsia="Times New Roman" w:hAnsi="Times New Roman"/>
          <w:sz w:val="18"/>
          <w:szCs w:val="18"/>
          <w:color w:val="auto"/>
        </w:rPr>
        <w:t>The Bidder undertakes to protect Ceconomy Group’s customer data in line with all applicable European standards and subject to European privacy laws.</w:t>
      </w:r>
    </w:p>
    <w:p>
      <w:pPr>
        <w:spacing w:after="0" w:line="76" w:lineRule="exact"/>
        <w:rPr>
          <w:sz w:val="20"/>
          <w:szCs w:val="20"/>
          <w:color w:val="auto"/>
        </w:rPr>
      </w:pPr>
    </w:p>
    <w:p>
      <w:pPr>
        <w:ind w:left="420" w:right="140" w:hanging="422"/>
        <w:spacing w:after="0" w:line="249" w:lineRule="auto"/>
        <w:tabs>
          <w:tab w:leader="none" w:pos="40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European Consolidation</w:t>
      </w:r>
      <w:r>
        <w:rPr>
          <w:rFonts w:ascii="Times New Roman" w:cs="Times New Roman" w:eastAsia="Times New Roman" w:hAnsi="Times New Roman"/>
          <w:sz w:val="18"/>
          <w:szCs w:val="18"/>
          <w:color w:val="auto"/>
        </w:rPr>
        <w:t>. The Bidder Group shall designate Ceconomy Group as the Bidder Group’s sole and core platform for further European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(i.e. continental Europe, excluding the United Kingdom) consolidation within the offline consumer electronics retail business which shall occur under Ceconomy Group’s brands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European Consolidation</w:t>
      </w:r>
      <w:r>
        <w:rPr>
          <w:rFonts w:ascii="Times New Roman" w:cs="Times New Roman" w:eastAsia="Times New Roman" w:hAnsi="Times New Roman"/>
          <w:sz w:val="18"/>
          <w:szCs w:val="18"/>
          <w:color w:val="auto"/>
        </w:rPr>
        <w:t>”). The Bidder Group intends to fully support future acquisition projects of Ceconomy Group strategically and financially to facilitate the European Consolidation. The Bidder further undertakes not to compete (whether directly or indirectly) with the brick-and-mortar business operations of Ceconomy Group in Europe by way of JD’s own brick-and-mortar business. The Parties shall agree in good faith which areas of Ceconomy Group’s online operations (excluding marketplace activities) shall serve as preferred partner in Europe for the combined Bidder Group and Ceconomy Group.</w:t>
      </w:r>
    </w:p>
    <w:p>
      <w:pPr>
        <w:spacing w:after="0" w:line="96" w:lineRule="exact"/>
        <w:rPr>
          <w:sz w:val="20"/>
          <w:szCs w:val="20"/>
          <w:color w:val="auto"/>
        </w:rPr>
      </w:pPr>
    </w:p>
    <w:p>
      <w:pPr>
        <w:ind w:left="420" w:right="240" w:hanging="422"/>
        <w:spacing w:after="0" w:line="300" w:lineRule="auto"/>
        <w:tabs>
          <w:tab w:leader="none" w:pos="40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Arm’s length terms</w:t>
      </w:r>
      <w:r>
        <w:rPr>
          <w:rFonts w:ascii="Times New Roman" w:cs="Times New Roman" w:eastAsia="Times New Roman" w:hAnsi="Times New Roman"/>
          <w:sz w:val="17"/>
          <w:szCs w:val="17"/>
          <w:color w:val="auto"/>
        </w:rPr>
        <w:t>. The terms and conditions (including the pricing) of any collaboration between the Parties shall be at arm’s length terms for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 xml:space="preserve">both Bidder Group and Ceconomy Group considering the requirements of a </w:t>
      </w:r>
      <w:r>
        <w:rPr>
          <w:rFonts w:ascii="Times New Roman" w:cs="Times New Roman" w:eastAsia="Times New Roman" w:hAnsi="Times New Roman"/>
          <w:sz w:val="17"/>
          <w:szCs w:val="17"/>
          <w:i w:val="1"/>
          <w:iCs w:val="1"/>
          <w:color w:val="auto"/>
        </w:rPr>
        <w:t>de facto</w:t>
      </w:r>
      <w:r>
        <w:rPr>
          <w:rFonts w:ascii="Times New Roman" w:cs="Times New Roman" w:eastAsia="Times New Roman" w:hAnsi="Times New Roman"/>
          <w:sz w:val="17"/>
          <w:szCs w:val="17"/>
          <w:color w:val="auto"/>
        </w:rPr>
        <w:t xml:space="preserve"> group under German corporate law </w:t>
      </w:r>
      <w:r>
        <w:rPr>
          <w:rFonts w:ascii="Times New Roman" w:cs="Times New Roman" w:eastAsia="Times New Roman" w:hAnsi="Times New Roman"/>
          <w:sz w:val="17"/>
          <w:szCs w:val="17"/>
          <w:i w:val="1"/>
          <w:iCs w:val="1"/>
          <w:color w:val="auto"/>
        </w:rPr>
        <w:t>(faktischer Konzern).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560" w:top="267" w:right="579" w:bottom="1440" w:gutter="0" w:footer="0" w:header="0"/>
        </w:sectPr>
      </w:pPr>
    </w:p>
    <w:bookmarkStart w:id="655" w:name="page656"/>
    <w:bookmarkEnd w:id="655"/>
    <w:p>
      <w:pPr>
        <w:ind w:left="430" w:hanging="430"/>
        <w:spacing w:after="0"/>
        <w:tabs>
          <w:tab w:leader="none" w:pos="430" w:val="left"/>
        </w:tabs>
        <w:numPr>
          <w:ilvl w:val="0"/>
          <w:numId w:val="9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5">
                      <a:extLst>
                        <a:ext uri="{28A0092B-C50C-407E-A947-70E740481C1C}"/>
                      </a:extLst>
                    </a:blip>
                    <a:srcRect/>
                    <a:stretch>
                      <a:fillRect/>
                    </a:stretch>
                  </pic:blipFill>
                  <pic:spPr bwMode="auto">
                    <a:xfrm>
                      <a:off x="0" y="0"/>
                      <a:ext cx="7177405" cy="38100"/>
                    </a:xfrm>
                    <a:prstGeom prst="rect">
                      <a:avLst/>
                    </a:prstGeom>
                    <a:noFill/>
                  </pic:spPr>
                </pic:pic>
              </a:graphicData>
            </a:graphic>
          </wp:anchor>
        </w:drawing>
        <w:t>Corporate Governance</w:t>
      </w:r>
    </w:p>
    <w:p>
      <w:pPr>
        <w:spacing w:after="0" w:line="12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Management Board</w:t>
      </w:r>
    </w:p>
    <w:p>
      <w:pPr>
        <w:spacing w:after="0" w:line="124" w:lineRule="exact"/>
        <w:rPr>
          <w:sz w:val="20"/>
          <w:szCs w:val="20"/>
          <w:color w:val="auto"/>
        </w:rPr>
      </w:pPr>
    </w:p>
    <w:p>
      <w:pPr>
        <w:ind w:left="1050" w:right="6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The Bidder recognizes the remarkable achievements, experience and expertise of the Management Board and has full trust in the current members of the Management Board. The Bidder undertakes to support the Management Board.</w:t>
      </w:r>
    </w:p>
    <w:p>
      <w:pPr>
        <w:spacing w:after="0" w:line="76" w:lineRule="exact"/>
        <w:rPr>
          <w:sz w:val="20"/>
          <w:szCs w:val="20"/>
          <w:color w:val="auto"/>
        </w:rPr>
      </w:pPr>
    </w:p>
    <w:p>
      <w:pPr>
        <w:ind w:left="1050" w:right="40" w:hanging="633"/>
        <w:spacing w:after="0" w:line="249" w:lineRule="auto"/>
        <w:tabs>
          <w:tab w:leader="none" w:pos="1029"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color w:val="auto"/>
        </w:rPr>
        <w:t>Save for a squeeze-out of the minority shareholders of the Company and a customary subsequent change of legal form of the Company into a limited liability company, but without prejudice to the provisions of this Agreement, the Management Board shall continue to manage the Company independently and exclusively in its own responsibility pursuant to and within the framework of German law. Consequently, the Bidder acknowledges that the Bidder shall not issue directives to the Management Board or any of its members, and that subject to its legal obligations to support the implementation of this Agreement there is no obligation on the part of the Management Board or any of its members to carry out or refrain from a legal transaction or act at the inducement of the Bidder, whether in form of a request, a demand, or an instruction.</w:t>
      </w:r>
    </w:p>
    <w:p>
      <w:pPr>
        <w:spacing w:after="0" w:line="332"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Supervisory Board</w:t>
      </w:r>
    </w:p>
    <w:p>
      <w:pPr>
        <w:spacing w:after="0" w:line="126" w:lineRule="exact"/>
        <w:rPr>
          <w:sz w:val="20"/>
          <w:szCs w:val="20"/>
          <w:color w:val="auto"/>
        </w:rPr>
      </w:pPr>
    </w:p>
    <w:p>
      <w:pPr>
        <w:ind w:left="1050" w:right="80" w:hanging="633"/>
        <w:spacing w:after="0" w:line="251" w:lineRule="auto"/>
        <w:tabs>
          <w:tab w:leader="none" w:pos="1029" w:val="left"/>
        </w:tabs>
        <w:rPr>
          <w:sz w:val="20"/>
          <w:szCs w:val="20"/>
          <w:color w:val="auto"/>
        </w:rPr>
      </w:pPr>
      <w:r>
        <w:rPr>
          <w:rFonts w:ascii="Times New Roman" w:cs="Times New Roman" w:eastAsia="Times New Roman" w:hAnsi="Times New Roman"/>
          <w:sz w:val="18"/>
          <w:szCs w:val="18"/>
          <w:color w:val="auto"/>
        </w:rPr>
        <w:t>6.2.1</w:t>
      </w:r>
      <w:r>
        <w:rPr>
          <w:sz w:val="20"/>
          <w:szCs w:val="20"/>
          <w:color w:val="auto"/>
        </w:rPr>
        <w:tab/>
      </w:r>
      <w:r>
        <w:rPr>
          <w:rFonts w:ascii="Times New Roman" w:cs="Times New Roman" w:eastAsia="Times New Roman" w:hAnsi="Times New Roman"/>
          <w:sz w:val="18"/>
          <w:szCs w:val="18"/>
          <w:color w:val="auto"/>
        </w:rPr>
        <w:t xml:space="preserve">As presently required by law, the Supervisory Board shall continue to consist of twenty members (ten members to be elected by the shareholders and ten members to be elected by the employees). The Bidder does not intend to change the size of the Supervisory Board without prior consent of the Company. The Bidder acknowledges the rules of the German Codetermination Act </w:t>
      </w:r>
      <w:r>
        <w:rPr>
          <w:rFonts w:ascii="Times New Roman" w:cs="Times New Roman" w:eastAsia="Times New Roman" w:hAnsi="Times New Roman"/>
          <w:sz w:val="18"/>
          <w:szCs w:val="18"/>
          <w:i w:val="1"/>
          <w:iCs w:val="1"/>
          <w:color w:val="auto"/>
        </w:rPr>
        <w:t>(Mitbestimmungsgesetz)</w:t>
      </w:r>
      <w:r>
        <w:rPr>
          <w:rFonts w:ascii="Times New Roman" w:cs="Times New Roman" w:eastAsia="Times New Roman" w:hAnsi="Times New Roman"/>
          <w:sz w:val="18"/>
          <w:szCs w:val="18"/>
          <w:color w:val="auto"/>
        </w:rPr>
        <w:t xml:space="preserve"> and confirms the importance of the stability of the Supervisory Board set-up and the continuity of its work for the success of the Company.</w:t>
      </w:r>
    </w:p>
    <w:p>
      <w:pPr>
        <w:spacing w:after="0" w:line="94" w:lineRule="exact"/>
        <w:rPr>
          <w:sz w:val="20"/>
          <w:szCs w:val="20"/>
          <w:color w:val="auto"/>
        </w:rPr>
      </w:pPr>
    </w:p>
    <w:p>
      <w:pPr>
        <w:ind w:left="1050" w:right="14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8"/>
          <w:szCs w:val="18"/>
          <w:color w:val="auto"/>
        </w:rPr>
        <w:t>The Bidder intends to be represented on the Supervisory Board after Closing by a number of representatives appropriately reflecting its shareholding in the Company from time to time [REDACTED]</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6.2.3</w:t>
      </w:r>
      <w:r>
        <w:rPr>
          <w:sz w:val="20"/>
          <w:szCs w:val="20"/>
          <w:color w:val="auto"/>
        </w:rPr>
        <w:tab/>
      </w:r>
      <w:r>
        <w:rPr>
          <w:rFonts w:ascii="Times New Roman" w:cs="Times New Roman" w:eastAsia="Times New Roman" w:hAnsi="Times New Roman"/>
          <w:sz w:val="17"/>
          <w:szCs w:val="17"/>
          <w:color w:val="auto"/>
        </w:rPr>
        <w:t>The Bidder shall have the right to nominate the chairman of the Supervisory Board after Closing.</w:t>
      </w:r>
    </w:p>
    <w:p>
      <w:pPr>
        <w:spacing w:after="0" w:line="124" w:lineRule="exact"/>
        <w:rPr>
          <w:sz w:val="20"/>
          <w:szCs w:val="20"/>
          <w:color w:val="auto"/>
        </w:rPr>
      </w:pPr>
    </w:p>
    <w:p>
      <w:pPr>
        <w:ind w:left="1050" w:right="100" w:hanging="633"/>
        <w:spacing w:after="0" w:line="253" w:lineRule="auto"/>
        <w:tabs>
          <w:tab w:leader="none" w:pos="1029" w:val="left"/>
        </w:tabs>
        <w:rPr>
          <w:sz w:val="20"/>
          <w:szCs w:val="20"/>
          <w:color w:val="auto"/>
        </w:rPr>
      </w:pPr>
      <w:r>
        <w:rPr>
          <w:rFonts w:ascii="Times New Roman" w:cs="Times New Roman" w:eastAsia="Times New Roman" w:hAnsi="Times New Roman"/>
          <w:sz w:val="18"/>
          <w:szCs w:val="18"/>
          <w:color w:val="auto"/>
        </w:rPr>
        <w:t>6.2.4</w:t>
      </w:r>
      <w:r>
        <w:rPr>
          <w:sz w:val="20"/>
          <w:szCs w:val="20"/>
          <w:color w:val="auto"/>
        </w:rPr>
        <w:tab/>
      </w:r>
      <w:r>
        <w:rPr>
          <w:rFonts w:ascii="Times New Roman" w:cs="Times New Roman" w:eastAsia="Times New Roman" w:hAnsi="Times New Roman"/>
          <w:sz w:val="18"/>
          <w:szCs w:val="18"/>
          <w:color w:val="auto"/>
        </w:rPr>
        <w:t xml:space="preserve">The Bidder confirms that the Supervisory Board shall comprise at least two independent members as defined by, and as long as, the German Corporate Governance Code - </w:t>
      </w:r>
      <w:r>
        <w:rPr>
          <w:rFonts w:ascii="Times New Roman" w:cs="Times New Roman" w:eastAsia="Times New Roman" w:hAnsi="Times New Roman"/>
          <w:sz w:val="18"/>
          <w:szCs w:val="18"/>
          <w:i w:val="1"/>
          <w:iCs w:val="1"/>
          <w:color w:val="auto"/>
        </w:rPr>
        <w:t>Deutscher Corporate Governance Kodex</w:t>
      </w:r>
      <w:r>
        <w:rPr>
          <w:rFonts w:ascii="Times New Roman" w:cs="Times New Roman" w:eastAsia="Times New Roman" w:hAnsi="Times New Roman"/>
          <w:sz w:val="18"/>
          <w:szCs w:val="18"/>
          <w:color w:val="auto"/>
        </w:rPr>
        <w:t xml:space="preserve"> is applicable, valuing their broad range of expertise relevant for the Company. Moreover, the Parties agree that the recommendations of the German Corporate Governance Code, insofar as applicable and appropriate for a majority-owned company, shall be taken into consideration.</w:t>
      </w:r>
    </w:p>
    <w:p>
      <w:pPr>
        <w:spacing w:after="0" w:line="92" w:lineRule="exact"/>
        <w:rPr>
          <w:sz w:val="20"/>
          <w:szCs w:val="20"/>
          <w:color w:val="auto"/>
        </w:rPr>
      </w:pPr>
    </w:p>
    <w:p>
      <w:pPr>
        <w:ind w:left="1050" w:right="64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6.2.5</w:t>
      </w:r>
      <w:r>
        <w:rPr>
          <w:sz w:val="20"/>
          <w:szCs w:val="20"/>
          <w:color w:val="auto"/>
        </w:rPr>
        <w:tab/>
      </w:r>
      <w:r>
        <w:rPr>
          <w:rFonts w:ascii="Times New Roman" w:cs="Times New Roman" w:eastAsia="Times New Roman" w:hAnsi="Times New Roman"/>
          <w:sz w:val="18"/>
          <w:szCs w:val="18"/>
          <w:color w:val="auto"/>
        </w:rPr>
        <w:t>The Company shall support the corresponding replacement process in the Supervisory Board by, amongst others, making and/or supporting corresponding applications for court appointments of Supervisory Board members.</w:t>
      </w:r>
    </w:p>
    <w:p>
      <w:pPr>
        <w:spacing w:after="0" w:line="312" w:lineRule="exact"/>
        <w:rPr>
          <w:sz w:val="20"/>
          <w:szCs w:val="20"/>
          <w:color w:val="auto"/>
        </w:rPr>
      </w:pPr>
    </w:p>
    <w:p>
      <w:pPr>
        <w:ind w:left="430" w:hanging="430"/>
        <w:spacing w:after="0"/>
        <w:tabs>
          <w:tab w:leader="none" w:pos="430" w:val="left"/>
        </w:tabs>
        <w:numPr>
          <w:ilvl w:val="0"/>
          <w:numId w:val="9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Seats and Headquarters, Locations, Reorganisations</w:t>
      </w:r>
    </w:p>
    <w:p>
      <w:pPr>
        <w:spacing w:after="0" w:line="126" w:lineRule="exact"/>
        <w:rPr>
          <w:sz w:val="20"/>
          <w:szCs w:val="20"/>
          <w:color w:val="auto"/>
        </w:rPr>
      </w:pPr>
    </w:p>
    <w:p>
      <w:pPr>
        <w:ind w:left="43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7.1</w:t>
        <w:tab/>
        <w:t>The Bidder undertakes not to initiate or support, directly or indirectly, or to induce the Management Board or the Supervisory Board or any holder of Ceconomy Shares to initiate or support</w:t>
      </w:r>
    </w:p>
    <w:p>
      <w:pPr>
        <w:spacing w:after="0" w:line="74" w:lineRule="exact"/>
        <w:rPr>
          <w:sz w:val="20"/>
          <w:szCs w:val="20"/>
          <w:color w:val="auto"/>
        </w:rPr>
      </w:pPr>
    </w:p>
    <w:p>
      <w:pPr>
        <w:jc w:val="both"/>
        <w:ind w:left="1050" w:right="700" w:hanging="633"/>
        <w:spacing w:after="0" w:line="259" w:lineRule="auto"/>
        <w:tabs>
          <w:tab w:leader="none" w:pos="1029"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 xml:space="preserve">the relocation of Ceconomy’s corporate seat </w:t>
      </w:r>
      <w:r>
        <w:rPr>
          <w:rFonts w:ascii="Times New Roman" w:cs="Times New Roman" w:eastAsia="Times New Roman" w:hAnsi="Times New Roman"/>
          <w:sz w:val="18"/>
          <w:szCs w:val="18"/>
          <w:i w:val="1"/>
          <w:iCs w:val="1"/>
          <w:color w:val="auto"/>
        </w:rPr>
        <w:t>(Satzungssitz)</w:t>
      </w:r>
      <w:r>
        <w:rPr>
          <w:rFonts w:ascii="Times New Roman" w:cs="Times New Roman" w:eastAsia="Times New Roman" w:hAnsi="Times New Roman"/>
          <w:sz w:val="18"/>
          <w:szCs w:val="18"/>
          <w:color w:val="auto"/>
        </w:rPr>
        <w:t xml:space="preserve"> or headquarters from Düsseldorf, Germany or the corporate seat or headquarters of any other material entity of Ceconomy Group (including MediaMarktSaturn Retail Group GmbH in Ingolstadt, Germany);</w:t>
      </w:r>
    </w:p>
    <w:p>
      <w:pPr>
        <w:spacing w:after="0" w:line="83"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color w:val="auto"/>
        </w:rPr>
        <w:t xml:space="preserve">the relocation of the locations of any of Ceconomy Group’s material operations </w:t>
      </w:r>
      <w:r>
        <w:rPr>
          <w:rFonts w:ascii="Times New Roman" w:cs="Times New Roman" w:eastAsia="Times New Roman" w:hAnsi="Times New Roman"/>
          <w:sz w:val="17"/>
          <w:szCs w:val="17"/>
          <w:i w:val="1"/>
          <w:iCs w:val="1"/>
          <w:color w:val="auto"/>
        </w:rPr>
        <w:t>(wesentliche Unternehmensteile);</w:t>
      </w:r>
    </w:p>
    <w:p>
      <w:pPr>
        <w:spacing w:after="0" w:line="12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7"/>
          <w:szCs w:val="17"/>
          <w:color w:val="auto"/>
        </w:rPr>
        <w:t>any sale or other disposal of material assets of Ceconomy Group;</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7"/>
          <w:szCs w:val="17"/>
          <w:color w:val="auto"/>
        </w:rPr>
        <w:t>any material reorganisations or restructurings of Ceconomy Group; or</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7"/>
          <w:szCs w:val="17"/>
          <w:color w:val="auto"/>
        </w:rPr>
        <w:t>material changes to Ceconomy Group’s financing structure.</w:t>
      </w:r>
    </w:p>
    <w:p>
      <w:pPr>
        <w:spacing w:after="0" w:line="124"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The limitations set out in Section 7.1 shall not apply to the extent the relevant measure</w:t>
      </w:r>
    </w:p>
    <w:p>
      <w:pPr>
        <w:spacing w:after="0" w:line="124" w:lineRule="exact"/>
        <w:rPr>
          <w:sz w:val="20"/>
          <w:szCs w:val="20"/>
          <w:color w:val="auto"/>
        </w:rPr>
      </w:pPr>
    </w:p>
    <w:p>
      <w:pPr>
        <w:ind w:left="1050" w:right="260" w:hanging="633"/>
        <w:spacing w:after="0" w:line="270" w:lineRule="auto"/>
        <w:tabs>
          <w:tab w:leader="none" w:pos="1029"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color w:val="auto"/>
        </w:rPr>
        <w:t>has been recommended by the Management Board and, if such measure requires approval by the Supervisory Board, approved by the Supervisory Board; or</w:t>
      </w:r>
    </w:p>
    <w:p>
      <w:pPr>
        <w:spacing w:after="0" w:line="76"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7"/>
          <w:szCs w:val="17"/>
          <w:color w:val="auto"/>
        </w:rPr>
        <w:t>is required to address a material deterioration of Ceconomy Group’s business and financial situation; or</w:t>
      </w:r>
    </w:p>
    <w:p>
      <w:pPr>
        <w:spacing w:after="0" w:line="124" w:lineRule="exact"/>
        <w:rPr>
          <w:sz w:val="20"/>
          <w:szCs w:val="20"/>
          <w:color w:val="auto"/>
        </w:rPr>
      </w:pPr>
    </w:p>
    <w:p>
      <w:pPr>
        <w:ind w:left="430"/>
        <w:spacing w:after="0"/>
        <w:tabs>
          <w:tab w:leader="none" w:pos="1029" w:val="left"/>
        </w:tabs>
        <w:rPr>
          <w:sz w:val="20"/>
          <w:szCs w:val="20"/>
          <w:color w:val="auto"/>
        </w:rPr>
      </w:pPr>
      <w:r>
        <w:rPr>
          <w:rFonts w:ascii="Times New Roman" w:cs="Times New Roman" w:eastAsia="Times New Roman" w:hAnsi="Times New Roman"/>
          <w:sz w:val="18"/>
          <w:szCs w:val="18"/>
          <w:color w:val="auto"/>
        </w:rPr>
        <w:t>7.2.3</w:t>
      </w:r>
      <w:r>
        <w:rPr>
          <w:sz w:val="20"/>
          <w:szCs w:val="20"/>
          <w:color w:val="auto"/>
        </w:rPr>
        <w:tab/>
      </w:r>
      <w:r>
        <w:rPr>
          <w:rFonts w:ascii="Times New Roman" w:cs="Times New Roman" w:eastAsia="Times New Roman" w:hAnsi="Times New Roman"/>
          <w:sz w:val="17"/>
          <w:szCs w:val="17"/>
          <w:color w:val="auto"/>
        </w:rPr>
        <w:t>has been agreed in the Strategic Roadmap or otherwise in this Agreement.</w:t>
      </w:r>
    </w:p>
    <w:p>
      <w:pPr>
        <w:spacing w:after="0" w:line="150"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30"/>
          </w:cols>
          <w:pgMar w:left="550" w:top="265" w:right="619" w:bottom="1440" w:gutter="0" w:footer="0" w:header="0"/>
        </w:sectPr>
      </w:pPr>
    </w:p>
    <w:bookmarkStart w:id="656" w:name="page657"/>
    <w:bookmarkEnd w:id="656"/>
    <w:p>
      <w:pPr>
        <w:ind w:left="430" w:hanging="430"/>
        <w:spacing w:after="0"/>
        <w:tabs>
          <w:tab w:leader="none" w:pos="430" w:val="left"/>
        </w:tabs>
        <w:numPr>
          <w:ilvl w:val="0"/>
          <w:numId w:val="9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Funding, Refinancing, Leverage, Dividend Policy, no DPLTA, Delisting and Squeeze-out</w:t>
      </w:r>
    </w:p>
    <w:p>
      <w:pPr>
        <w:spacing w:after="0" w:line="126" w:lineRule="exact"/>
        <w:rPr>
          <w:sz w:val="20"/>
          <w:szCs w:val="20"/>
          <w:color w:val="auto"/>
        </w:rPr>
      </w:pPr>
    </w:p>
    <w:p>
      <w:pPr>
        <w:ind w:left="430" w:right="20" w:hanging="422"/>
        <w:spacing w:after="0" w:line="249" w:lineRule="auto"/>
        <w:tabs>
          <w:tab w:leader="none" w:pos="409" w:val="left"/>
        </w:tabs>
        <w:rPr>
          <w:sz w:val="20"/>
          <w:szCs w:val="20"/>
          <w:color w:val="auto"/>
        </w:rPr>
      </w:pPr>
      <w:r>
        <w:rPr>
          <w:rFonts w:ascii="Times New Roman" w:cs="Times New Roman" w:eastAsia="Times New Roman" w:hAnsi="Times New Roman"/>
          <w:sz w:val="18"/>
          <w:szCs w:val="18"/>
          <w:color w:val="auto"/>
        </w:rPr>
        <w:t>8.1</w:t>
        <w:tab/>
        <w:t xml:space="preserve">The Bidder has access to (i) financing in an amount of up to EUR 1,232,000,000 (Euro one billion two hundred thirty two million) in the form of a bridge loan provided by third party debt financing providers, supplemented by (ii) a sufficient cash balance on balance sheet which will be transferred at short notice to Deutsche Bank in Germany in an amount of approx. EUR 550 million (Euro five hundred and fifty million) and (iii) so-called non-tender agreements and bank account blocking agreements with one or more shareholders to enable the Bidder to fulfill its payment obligations under the Takeover Offer, as specified in Section 13 para. 1 WpÜG. Such bridge loan shall be entered into substantially in the form as attached hereto as </w:t>
      </w:r>
      <w:r>
        <w:rPr>
          <w:rFonts w:ascii="Times New Roman" w:cs="Times New Roman" w:eastAsia="Times New Roman" w:hAnsi="Times New Roman"/>
          <w:sz w:val="18"/>
          <w:szCs w:val="18"/>
          <w:b w:val="1"/>
          <w:bCs w:val="1"/>
          <w:u w:val="single" w:color="auto"/>
          <w:color w:val="auto"/>
        </w:rPr>
        <w:t>Annex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Funding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Bidder Group reserves the right to fulfil Bidder’s payment obligations under the Takeover Offer also by other means, e.g. by cash on balance sheet.</w:t>
      </w:r>
    </w:p>
    <w:p>
      <w:pPr>
        <w:spacing w:after="0" w:line="96" w:lineRule="exact"/>
        <w:rPr>
          <w:sz w:val="20"/>
          <w:szCs w:val="20"/>
          <w:color w:val="auto"/>
        </w:rPr>
      </w:pPr>
    </w:p>
    <w:p>
      <w:pPr>
        <w:ind w:left="430" w:right="40" w:hanging="422"/>
        <w:spacing w:after="0" w:line="246" w:lineRule="auto"/>
        <w:tabs>
          <w:tab w:leader="none" w:pos="409" w:val="left"/>
        </w:tabs>
        <w:rPr>
          <w:sz w:val="20"/>
          <w:szCs w:val="20"/>
          <w:color w:val="auto"/>
        </w:rPr>
      </w:pPr>
      <w:r>
        <w:rPr>
          <w:rFonts w:ascii="Times New Roman" w:cs="Times New Roman" w:eastAsia="Times New Roman" w:hAnsi="Times New Roman"/>
          <w:sz w:val="18"/>
          <w:szCs w:val="18"/>
          <w:color w:val="auto"/>
        </w:rPr>
        <w:t>8.2</w:t>
        <w:tab/>
        <w:t xml:space="preserve">The Bidder acknowledges that Ceconomy Group may need to refinance certain debt instruments and other uncommitted or indirect financings that may become due </w:t>
      </w:r>
      <w:r>
        <w:rPr>
          <w:rFonts w:ascii="Times New Roman" w:cs="Times New Roman" w:eastAsia="Times New Roman" w:hAnsi="Times New Roman"/>
          <w:sz w:val="18"/>
          <w:szCs w:val="18"/>
          <w:i w:val="1"/>
          <w:iCs w:val="1"/>
          <w:color w:val="auto"/>
        </w:rPr>
        <w:t>(fällig)</w:t>
      </w:r>
      <w:r>
        <w:rPr>
          <w:rFonts w:ascii="Times New Roman" w:cs="Times New Roman" w:eastAsia="Times New Roman" w:hAnsi="Times New Roman"/>
          <w:sz w:val="18"/>
          <w:szCs w:val="18"/>
          <w:color w:val="auto"/>
        </w:rPr>
        <w:t xml:space="preserve"> or are not continued as a result of the Offer Announcement or the Takeover Offer triggering change-of-control clauses. The Parties shall work together, and the Company shall use commercially reasonable efforts to obtain waivers from the lenders under the existing financing arrangements or - if waivers cannot be obtained for the full amount - to arrange for replacement financings. To the extent no waivers can be obtained or no adequate replacement financing can be put in place by the Company, the Bidder commits to provide Ceconomy Group, or arrange that Ceconomy Group is provided with funds, in each case on an arm’s length basis, to re-finance any utilized debt instruments or other financings that are reasonably likely to become due </w:t>
      </w:r>
      <w:r>
        <w:rPr>
          <w:rFonts w:ascii="Times New Roman" w:cs="Times New Roman" w:eastAsia="Times New Roman" w:hAnsi="Times New Roman"/>
          <w:sz w:val="18"/>
          <w:szCs w:val="18"/>
          <w:i w:val="1"/>
          <w:iCs w:val="1"/>
          <w:color w:val="auto"/>
        </w:rPr>
        <w:t>(fällig)</w:t>
      </w:r>
      <w:r>
        <w:rPr>
          <w:rFonts w:ascii="Times New Roman" w:cs="Times New Roman" w:eastAsia="Times New Roman" w:hAnsi="Times New Roman"/>
          <w:sz w:val="18"/>
          <w:szCs w:val="18"/>
          <w:color w:val="auto"/>
        </w:rPr>
        <w:t xml:space="preserve"> after Closing as a result of the change-of-control clauses being triggered and has entered or will, on the date hereof, enter into a refinancing backstop facility for such purpose substantially in the form as attached hereto as </w:t>
      </w:r>
      <w:r>
        <w:rPr>
          <w:rFonts w:ascii="Times New Roman" w:cs="Times New Roman" w:eastAsia="Times New Roman" w:hAnsi="Times New Roman"/>
          <w:sz w:val="18"/>
          <w:szCs w:val="18"/>
          <w:b w:val="1"/>
          <w:bCs w:val="1"/>
          <w:u w:val="single" w:color="auto"/>
          <w:color w:val="auto"/>
        </w:rPr>
        <w:t>Annex 8.2</w:t>
      </w:r>
      <w:r>
        <w:rPr>
          <w:rFonts w:ascii="Times New Roman" w:cs="Times New Roman" w:eastAsia="Times New Roman" w:hAnsi="Times New Roman"/>
          <w:sz w:val="18"/>
          <w:szCs w:val="18"/>
          <w:color w:val="auto"/>
        </w:rPr>
        <w:t>. The Bidder may publicly state the existence and volume of the committed backstop facility upon the Offer Announcement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 uncertainty regarding the financial stability of Ceconomy Group by lenders and thereby reduce the risk of lapse of debt instruments and other uncommitted or indirect financings. Further, the Bidder undertakes until 30 April 2028 to provide Ceconomy Group, or arrange that Ceconomy Group is provided, with funds, in each case on an arm’s length basis, in the amount of up to EUR 900m, if and to the extent that (i) the (currently undrawn) EUR 900m revolving credit facility has been terminated as a result of the change-of-control clause being triggered by the Transaction, (ii) no replacement financing has been obtained by the Company despite the Parties having used commercially reasonable efforts to obtain such, and (iii) the Company is in financial need of such funding without any other financing means being available to the Company to cover the shortfall at reasonable commercial terms.</w:t>
      </w:r>
    </w:p>
    <w:p>
      <w:pPr>
        <w:spacing w:after="0" w:line="109" w:lineRule="exact"/>
        <w:rPr>
          <w:sz w:val="20"/>
          <w:szCs w:val="20"/>
          <w:color w:val="auto"/>
        </w:rPr>
      </w:pPr>
    </w:p>
    <w:p>
      <w:pPr>
        <w:ind w:left="430" w:hanging="422"/>
        <w:spacing w:after="0" w:line="253" w:lineRule="auto"/>
        <w:tabs>
          <w:tab w:leader="none" w:pos="409" w:val="left"/>
        </w:tabs>
        <w:rPr>
          <w:sz w:val="20"/>
          <w:szCs w:val="20"/>
          <w:color w:val="auto"/>
        </w:rPr>
      </w:pPr>
      <w:r>
        <w:rPr>
          <w:rFonts w:ascii="Times New Roman" w:cs="Times New Roman" w:eastAsia="Times New Roman" w:hAnsi="Times New Roman"/>
          <w:sz w:val="18"/>
          <w:szCs w:val="18"/>
          <w:color w:val="auto"/>
        </w:rPr>
        <w:t>8.3</w:t>
        <w:tab/>
        <w:t>The Bidder undertakes not to implement any measure which would result in exceeding the maximum consolidated net debt leverage of the Company in the amount of 2.5x consolidated EBITDA (ratio determined consistent with past practice and as publicly stated by the Company). The Bidder further acknowledges the prudent financial policy of Ceconomy Group and undertakes not to carry out measures which would deviate from a reasonable and adequate leverage management in line with growth opportunities.</w:t>
      </w:r>
    </w:p>
    <w:p>
      <w:pPr>
        <w:spacing w:after="0" w:line="90" w:lineRule="exact"/>
        <w:rPr>
          <w:sz w:val="20"/>
          <w:szCs w:val="20"/>
          <w:color w:val="auto"/>
        </w:rPr>
      </w:pPr>
    </w:p>
    <w:p>
      <w:pPr>
        <w:ind w:left="430" w:right="40" w:hanging="422"/>
        <w:spacing w:after="0" w:line="273" w:lineRule="auto"/>
        <w:tabs>
          <w:tab w:leader="none" w:pos="409" w:val="left"/>
        </w:tabs>
        <w:rPr>
          <w:sz w:val="20"/>
          <w:szCs w:val="20"/>
          <w:color w:val="auto"/>
        </w:rPr>
      </w:pPr>
      <w:r>
        <w:rPr>
          <w:rFonts w:ascii="Times New Roman" w:cs="Times New Roman" w:eastAsia="Times New Roman" w:hAnsi="Times New Roman"/>
          <w:sz w:val="18"/>
          <w:szCs w:val="18"/>
          <w:color w:val="auto"/>
        </w:rPr>
        <w:t>8.4</w:t>
        <w:tab/>
        <w:t xml:space="preserve">The Bidder acknowledges the Company’s existing dividend policy </w:t>
      </w:r>
      <w:r>
        <w:rPr>
          <w:rFonts w:ascii="Times New Roman" w:cs="Times New Roman" w:eastAsia="Times New Roman" w:hAnsi="Times New Roman"/>
          <w:sz w:val="18"/>
          <w:szCs w:val="18"/>
          <w:i w:val="1"/>
          <w:iCs w:val="1"/>
          <w:color w:val="auto"/>
        </w:rPr>
        <w:t>(Dividendenpraxis).</w:t>
      </w:r>
      <w:r>
        <w:rPr>
          <w:rFonts w:ascii="Times New Roman" w:cs="Times New Roman" w:eastAsia="Times New Roman" w:hAnsi="Times New Roman"/>
          <w:sz w:val="18"/>
          <w:szCs w:val="18"/>
          <w:color w:val="auto"/>
        </w:rPr>
        <w:t xml:space="preserve"> Any dividend policy will duly consider the financial needs of the Company and its Affiliates in light of its business strategy.</w:t>
      </w:r>
    </w:p>
    <w:p>
      <w:pPr>
        <w:spacing w:after="0" w:line="73" w:lineRule="exact"/>
        <w:rPr>
          <w:sz w:val="20"/>
          <w:szCs w:val="20"/>
          <w:color w:val="auto"/>
        </w:rPr>
      </w:pPr>
    </w:p>
    <w:p>
      <w:pPr>
        <w:ind w:left="430" w:right="24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8.5</w:t>
        <w:tab/>
        <w:t xml:space="preserve">The Bidder undertakes not to enter into a domination and/or profit and loss transfer agreement with the Company in the meaning of section 291 para. 1 AktG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DPLTA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 period of three years after Closing.</w:t>
      </w:r>
    </w:p>
    <w:p>
      <w:pPr>
        <w:spacing w:after="0" w:line="76" w:lineRule="exact"/>
        <w:rPr>
          <w:sz w:val="20"/>
          <w:szCs w:val="20"/>
          <w:color w:val="auto"/>
        </w:rPr>
      </w:pPr>
    </w:p>
    <w:p>
      <w:pPr>
        <w:ind w:left="430" w:right="2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8.6</w:t>
        <w:tab/>
        <w:t>The Bidder intends to (i) delist the Company and/or (ii) subject to reaching the relevant thresholds, squeeze-out remaining minority shareholders. To the extent requested by the Bidder and legally permissible, the Management Board and Supervisory Board shall in all material respects support, and cooperate with, the Bidder regarding the preparation and implementation of such delisting and/or squeeze-out.</w:t>
      </w:r>
    </w:p>
    <w:p>
      <w:pPr>
        <w:spacing w:after="0" w:line="322" w:lineRule="exact"/>
        <w:rPr>
          <w:sz w:val="20"/>
          <w:szCs w:val="20"/>
          <w:color w:val="auto"/>
        </w:rPr>
      </w:pPr>
    </w:p>
    <w:p>
      <w:pPr>
        <w:ind w:left="430" w:hanging="430"/>
        <w:spacing w:after="0"/>
        <w:tabs>
          <w:tab w:leader="none" w:pos="430" w:val="left"/>
        </w:tabs>
        <w:numPr>
          <w:ilvl w:val="0"/>
          <w:numId w:val="9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 and their Representations</w:t>
      </w:r>
    </w:p>
    <w:p>
      <w:pPr>
        <w:spacing w:after="0" w:line="126" w:lineRule="exact"/>
        <w:rPr>
          <w:sz w:val="20"/>
          <w:szCs w:val="20"/>
          <w:color w:val="auto"/>
        </w:rPr>
      </w:pPr>
    </w:p>
    <w:p>
      <w:pPr>
        <w:ind w:left="430" w:right="40" w:hanging="422"/>
        <w:spacing w:after="0" w:line="270" w:lineRule="auto"/>
        <w:tabs>
          <w:tab w:leader="none" w:pos="409" w:val="left"/>
        </w:tabs>
        <w:rPr>
          <w:sz w:val="20"/>
          <w:szCs w:val="20"/>
          <w:color w:val="auto"/>
        </w:rPr>
      </w:pPr>
      <w:r>
        <w:rPr>
          <w:rFonts w:ascii="Times New Roman" w:cs="Times New Roman" w:eastAsia="Times New Roman" w:hAnsi="Times New Roman"/>
          <w:sz w:val="18"/>
          <w:szCs w:val="18"/>
          <w:color w:val="auto"/>
        </w:rPr>
        <w:t>9.1</w:t>
        <w:tab/>
        <w:t>The Bidder acknowledges that the dedicated workforce of Ceconomy Group as well as their creativity, performance and potential for innovation is a key pillar for the continued success of Ceconomy Group.</w:t>
      </w:r>
    </w:p>
    <w:p>
      <w:pPr>
        <w:spacing w:after="0" w:line="76" w:lineRule="exact"/>
        <w:rPr>
          <w:sz w:val="20"/>
          <w:szCs w:val="20"/>
          <w:color w:val="auto"/>
        </w:rPr>
      </w:pPr>
    </w:p>
    <w:p>
      <w:pPr>
        <w:jc w:val="both"/>
        <w:ind w:left="430" w:right="300" w:hanging="422"/>
        <w:spacing w:after="0" w:line="258" w:lineRule="auto"/>
        <w:tabs>
          <w:tab w:leader="none" w:pos="409" w:val="left"/>
        </w:tabs>
        <w:rPr>
          <w:sz w:val="20"/>
          <w:szCs w:val="20"/>
          <w:color w:val="auto"/>
        </w:rPr>
      </w:pPr>
      <w:r>
        <w:rPr>
          <w:rFonts w:ascii="Times New Roman" w:cs="Times New Roman" w:eastAsia="Times New Roman" w:hAnsi="Times New Roman"/>
          <w:sz w:val="18"/>
          <w:szCs w:val="18"/>
          <w:color w:val="auto"/>
        </w:rPr>
        <w:t>9.2</w:t>
        <w:tab/>
        <w:t>The Bidder is willing to continue and further strengthen a constructive dialogue with all of Ceconomy Group’s workforce constituencies and is willing to support the Management Board in maintaining and developing an attractive and competitive framework to retain an excellent global employee base.</w:t>
      </w:r>
    </w:p>
    <w:p>
      <w:pPr>
        <w:spacing w:after="0" w:line="86" w:lineRule="exact"/>
        <w:rPr>
          <w:sz w:val="20"/>
          <w:szCs w:val="20"/>
          <w:color w:val="auto"/>
        </w:rPr>
      </w:pPr>
    </w:p>
    <w:p>
      <w:pPr>
        <w:ind w:left="10"/>
        <w:spacing w:after="0"/>
        <w:tabs>
          <w:tab w:leader="none" w:pos="409"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The Bidder undertakes</w:t>
      </w:r>
    </w:p>
    <w:p>
      <w:pPr>
        <w:spacing w:after="0" w:line="124" w:lineRule="exact"/>
        <w:rPr>
          <w:sz w:val="20"/>
          <w:szCs w:val="20"/>
          <w:color w:val="auto"/>
        </w:rPr>
      </w:pPr>
    </w:p>
    <w:p>
      <w:pPr>
        <w:ind w:left="1050" w:right="180" w:hanging="633"/>
        <w:spacing w:after="0" w:line="258" w:lineRule="auto"/>
        <w:tabs>
          <w:tab w:leader="none" w:pos="1029" w:val="left"/>
        </w:tabs>
        <w:rPr>
          <w:sz w:val="20"/>
          <w:szCs w:val="20"/>
          <w:color w:val="auto"/>
        </w:rPr>
      </w:pPr>
      <w:r>
        <w:rPr>
          <w:rFonts w:ascii="Times New Roman" w:cs="Times New Roman" w:eastAsia="Times New Roman" w:hAnsi="Times New Roman"/>
          <w:sz w:val="18"/>
          <w:szCs w:val="18"/>
          <w:color w:val="auto"/>
        </w:rPr>
        <w:t>9.3.1</w:t>
      </w:r>
      <w:r>
        <w:rPr>
          <w:sz w:val="20"/>
          <w:szCs w:val="20"/>
          <w:color w:val="auto"/>
        </w:rPr>
        <w:tab/>
      </w:r>
      <w:r>
        <w:rPr>
          <w:rFonts w:ascii="Times New Roman" w:cs="Times New Roman" w:eastAsia="Times New Roman" w:hAnsi="Times New Roman"/>
          <w:sz w:val="18"/>
          <w:szCs w:val="18"/>
          <w:color w:val="auto"/>
        </w:rPr>
        <w:t xml:space="preserve">not to cause the Company to take or initiate any actions resulting in an amendment or termination of existing works council agreements </w:t>
      </w:r>
      <w:r>
        <w:rPr>
          <w:rFonts w:ascii="Times New Roman" w:cs="Times New Roman" w:eastAsia="Times New Roman" w:hAnsi="Times New Roman"/>
          <w:sz w:val="18"/>
          <w:szCs w:val="18"/>
          <w:i w:val="1"/>
          <w:iCs w:val="1"/>
          <w:color w:val="auto"/>
        </w:rPr>
        <w:t xml:space="preserve">(Betriebsvereinbarungen), </w:t>
      </w:r>
      <w:r>
        <w:rPr>
          <w:rFonts w:ascii="Times New Roman" w:cs="Times New Roman" w:eastAsia="Times New Roman" w:hAnsi="Times New Roman"/>
          <w:sz w:val="18"/>
          <w:szCs w:val="18"/>
          <w:color w:val="auto"/>
        </w:rPr>
        <w:t>collective bargaining agreements</w:t>
      </w:r>
      <w:r>
        <w:rPr>
          <w:rFonts w:ascii="Times New Roman" w:cs="Times New Roman" w:eastAsia="Times New Roman" w:hAnsi="Times New Roman"/>
          <w:sz w:val="18"/>
          <w:szCs w:val="18"/>
          <w:i w:val="1"/>
          <w:iCs w:val="1"/>
          <w:color w:val="auto"/>
        </w:rPr>
        <w:t xml:space="preserve"> (Tarifverträge) </w:t>
      </w:r>
      <w:r>
        <w:rPr>
          <w:rFonts w:ascii="Times New Roman" w:cs="Times New Roman" w:eastAsia="Times New Roman" w:hAnsi="Times New Roman"/>
          <w:sz w:val="18"/>
          <w:szCs w:val="18"/>
          <w:color w:val="auto"/>
        </w:rPr>
        <w:t>or similar agreements, in particular relating to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Ceconomy Group;</w:t>
      </w:r>
    </w:p>
    <w:p>
      <w:pPr>
        <w:spacing w:after="0" w:line="1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90"/>
          </w:cols>
          <w:pgMar w:left="550" w:top="264" w:right="559" w:bottom="1440" w:gutter="0" w:footer="0" w:header="0"/>
        </w:sectPr>
      </w:pPr>
    </w:p>
    <w:bookmarkStart w:id="657" w:name="page658"/>
    <w:bookmarkEnd w:id="657"/>
    <w:p>
      <w:pPr>
        <w:ind w:left="1040" w:right="600" w:hanging="633"/>
        <w:spacing w:after="0" w:line="258" w:lineRule="auto"/>
        <w:tabs>
          <w:tab w:leader="none" w:pos="1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7">
                      <a:extLst>
                        <a:ext uri="{28A0092B-C50C-407E-A947-70E740481C1C}"/>
                      </a:extLst>
                    </a:blip>
                    <a:srcRect/>
                    <a:stretch>
                      <a:fillRect/>
                    </a:stretch>
                  </pic:blipFill>
                  <pic:spPr bwMode="auto">
                    <a:xfrm>
                      <a:off x="0" y="0"/>
                      <a:ext cx="7177405" cy="37465"/>
                    </a:xfrm>
                    <a:prstGeom prst="rect">
                      <a:avLst/>
                    </a:prstGeom>
                    <a:noFill/>
                  </pic:spPr>
                </pic:pic>
              </a:graphicData>
            </a:graphic>
          </wp:anchor>
        </w:drawing>
        <w:t>9.3.2</w:t>
      </w:r>
      <w:r>
        <w:rPr>
          <w:sz w:val="20"/>
          <w:szCs w:val="20"/>
          <w:color w:val="auto"/>
        </w:rPr>
        <w:tab/>
      </w:r>
      <w:r>
        <w:rPr>
          <w:rFonts w:ascii="Times New Roman" w:cs="Times New Roman" w:eastAsia="Times New Roman" w:hAnsi="Times New Roman"/>
          <w:sz w:val="18"/>
          <w:szCs w:val="18"/>
          <w:color w:val="auto"/>
        </w:rPr>
        <w:t xml:space="preserve">to respect the rights of the employees (including reduce employees’ wages and salaries without consent of such employees and/or employee representatives) and works councils </w:t>
      </w:r>
      <w:r>
        <w:rPr>
          <w:rFonts w:ascii="Times New Roman" w:cs="Times New Roman" w:eastAsia="Times New Roman" w:hAnsi="Times New Roman"/>
          <w:sz w:val="18"/>
          <w:szCs w:val="18"/>
          <w:i w:val="1"/>
          <w:iCs w:val="1"/>
          <w:color w:val="auto"/>
        </w:rPr>
        <w:t>(Betriebsräte)</w:t>
      </w:r>
      <w:r>
        <w:rPr>
          <w:rFonts w:ascii="Times New Roman" w:cs="Times New Roman" w:eastAsia="Times New Roman" w:hAnsi="Times New Roman"/>
          <w:sz w:val="18"/>
          <w:szCs w:val="18"/>
          <w:color w:val="auto"/>
        </w:rPr>
        <w:t xml:space="preserve"> in Ceconomy Group including the current structures established in connection therewith;</w:t>
      </w:r>
    </w:p>
    <w:p>
      <w:pPr>
        <w:spacing w:after="0" w:line="86" w:lineRule="exact"/>
        <w:rPr>
          <w:sz w:val="20"/>
          <w:szCs w:val="20"/>
          <w:color w:val="auto"/>
        </w:rPr>
      </w:pPr>
    </w:p>
    <w:p>
      <w:pPr>
        <w:ind w:left="1040" w:right="1880" w:hanging="633"/>
        <w:spacing w:after="0" w:line="270" w:lineRule="auto"/>
        <w:tabs>
          <w:tab w:leader="none" w:pos="1020" w:val="left"/>
        </w:tabs>
        <w:rPr>
          <w:sz w:val="20"/>
          <w:szCs w:val="20"/>
          <w:color w:val="auto"/>
        </w:rPr>
      </w:pPr>
      <w:r>
        <w:rPr>
          <w:rFonts w:ascii="Times New Roman" w:cs="Times New Roman" w:eastAsia="Times New Roman" w:hAnsi="Times New Roman"/>
          <w:sz w:val="18"/>
          <w:szCs w:val="18"/>
          <w:color w:val="auto"/>
        </w:rPr>
        <w:t>9.3.3</w:t>
      </w:r>
      <w:r>
        <w:rPr>
          <w:sz w:val="20"/>
          <w:szCs w:val="20"/>
          <w:color w:val="auto"/>
        </w:rPr>
        <w:tab/>
      </w:r>
      <w:r>
        <w:rPr>
          <w:rFonts w:ascii="Times New Roman" w:cs="Times New Roman" w:eastAsia="Times New Roman" w:hAnsi="Times New Roman"/>
          <w:sz w:val="18"/>
          <w:szCs w:val="18"/>
          <w:color w:val="auto"/>
        </w:rPr>
        <w:t>not to cause the Company to take actions that would result in a change of the existing level of co-determination (</w:t>
      </w:r>
      <w:r>
        <w:rPr>
          <w:rFonts w:ascii="Times New Roman" w:cs="Times New Roman" w:eastAsia="Times New Roman" w:hAnsi="Times New Roman"/>
          <w:sz w:val="18"/>
          <w:szCs w:val="18"/>
          <w:i w:val="1"/>
          <w:iCs w:val="1"/>
          <w:color w:val="auto"/>
        </w:rPr>
        <w:t>Unternehmensmitbestimmung)</w:t>
      </w:r>
      <w:r>
        <w:rPr>
          <w:rFonts w:ascii="Times New Roman" w:cs="Times New Roman" w:eastAsia="Times New Roman" w:hAnsi="Times New Roman"/>
          <w:sz w:val="18"/>
          <w:szCs w:val="18"/>
          <w:color w:val="auto"/>
        </w:rPr>
        <w:t xml:space="preserve"> in the Supervisory Board;</w:t>
      </w:r>
    </w:p>
    <w:p>
      <w:pPr>
        <w:spacing w:after="0" w:line="76" w:lineRule="exact"/>
        <w:rPr>
          <w:sz w:val="20"/>
          <w:szCs w:val="20"/>
          <w:color w:val="auto"/>
        </w:rPr>
      </w:pPr>
    </w:p>
    <w:p>
      <w:pPr>
        <w:ind w:left="1040" w:right="700" w:hanging="633"/>
        <w:spacing w:after="0" w:line="270" w:lineRule="auto"/>
        <w:tabs>
          <w:tab w:leader="none" w:pos="1020" w:val="left"/>
        </w:tabs>
        <w:rPr>
          <w:sz w:val="20"/>
          <w:szCs w:val="20"/>
          <w:color w:val="auto"/>
        </w:rPr>
      </w:pPr>
      <w:r>
        <w:rPr>
          <w:rFonts w:ascii="Times New Roman" w:cs="Times New Roman" w:eastAsia="Times New Roman" w:hAnsi="Times New Roman"/>
          <w:sz w:val="18"/>
          <w:szCs w:val="18"/>
          <w:color w:val="auto"/>
        </w:rPr>
        <w:t>9.3.4</w:t>
      </w:r>
      <w:r>
        <w:rPr>
          <w:sz w:val="20"/>
          <w:szCs w:val="20"/>
          <w:color w:val="auto"/>
        </w:rPr>
        <w:tab/>
      </w:r>
      <w:r>
        <w:rPr>
          <w:rFonts w:ascii="Times New Roman" w:cs="Times New Roman" w:eastAsia="Times New Roman" w:hAnsi="Times New Roman"/>
          <w:sz w:val="18"/>
          <w:szCs w:val="18"/>
          <w:color w:val="auto"/>
        </w:rPr>
        <w:t>not to oppose the reasonably adequate participation of the Company’s management and employees in the Company’s success by maintaining existing or implementing new incentive schemes in line with market practice; and</w:t>
      </w:r>
    </w:p>
    <w:p>
      <w:pPr>
        <w:spacing w:after="0" w:line="74" w:lineRule="exact"/>
        <w:rPr>
          <w:sz w:val="20"/>
          <w:szCs w:val="20"/>
          <w:color w:val="auto"/>
        </w:rPr>
      </w:pPr>
    </w:p>
    <w:p>
      <w:pPr>
        <w:ind w:left="1040" w:right="240" w:hanging="633"/>
        <w:spacing w:after="0" w:line="254" w:lineRule="auto"/>
        <w:tabs>
          <w:tab w:leader="none" w:pos="1020" w:val="left"/>
        </w:tabs>
        <w:rPr>
          <w:sz w:val="20"/>
          <w:szCs w:val="20"/>
          <w:color w:val="auto"/>
        </w:rPr>
      </w:pPr>
      <w:r>
        <w:rPr>
          <w:rFonts w:ascii="Times New Roman" w:cs="Times New Roman" w:eastAsia="Times New Roman" w:hAnsi="Times New Roman"/>
          <w:sz w:val="18"/>
          <w:szCs w:val="18"/>
          <w:color w:val="auto"/>
        </w:rPr>
        <w:t>9.3.5</w:t>
      </w:r>
      <w:r>
        <w:rPr>
          <w:sz w:val="20"/>
          <w:szCs w:val="20"/>
          <w:color w:val="auto"/>
        </w:rPr>
        <w:tab/>
      </w:r>
      <w:r>
        <w:rPr>
          <w:rFonts w:ascii="Times New Roman" w:cs="Times New Roman" w:eastAsia="Times New Roman" w:hAnsi="Times New Roman"/>
          <w:sz w:val="18"/>
          <w:szCs w:val="18"/>
          <w:color w:val="auto"/>
        </w:rPr>
        <w:t xml:space="preserve">not to cause the Company to (i) issue terminations for operational reasons </w:t>
      </w:r>
      <w:r>
        <w:rPr>
          <w:rFonts w:ascii="Times New Roman" w:cs="Times New Roman" w:eastAsia="Times New Roman" w:hAnsi="Times New Roman"/>
          <w:sz w:val="18"/>
          <w:szCs w:val="18"/>
          <w:i w:val="1"/>
          <w:iCs w:val="1"/>
          <w:color w:val="auto"/>
        </w:rPr>
        <w:t>(betriebsbedingte Kündigungen)</w:t>
      </w:r>
      <w:r>
        <w:rPr>
          <w:rFonts w:ascii="Times New Roman" w:cs="Times New Roman" w:eastAsia="Times New Roman" w:hAnsi="Times New Roman"/>
          <w:sz w:val="18"/>
          <w:szCs w:val="18"/>
          <w:color w:val="auto"/>
        </w:rPr>
        <w:t xml:space="preserve"> of employees </w:t>
      </w:r>
      <w:r>
        <w:rPr>
          <w:rFonts w:ascii="Times New Roman" w:cs="Times New Roman" w:eastAsia="Times New Roman" w:hAnsi="Times New Roman"/>
          <w:sz w:val="18"/>
          <w:szCs w:val="18"/>
          <w:i w:val="1"/>
          <w:iCs w:val="1"/>
          <w:color w:val="auto"/>
        </w:rPr>
        <w:t>(Mitarbeiter)</w:t>
      </w:r>
      <w:r>
        <w:rPr>
          <w:rFonts w:ascii="Times New Roman" w:cs="Times New Roman" w:eastAsia="Times New Roman" w:hAnsi="Times New Roman"/>
          <w:sz w:val="18"/>
          <w:szCs w:val="18"/>
          <w:color w:val="auto"/>
        </w:rPr>
        <w:t xml:space="preserve"> and the Bidder does not intend to cause the Company to reduce the remaining current workforce of Ceconomy Group in excess of workforce reductions foreseen by the Management Board, and/or to (ii) close any sites, stores or marketplaces currently operated by Ceconomy Group, in each case, unless</w:t>
      </w:r>
    </w:p>
    <w:p>
      <w:pPr>
        <w:spacing w:after="0" w:line="91" w:lineRule="exact"/>
        <w:rPr>
          <w:sz w:val="20"/>
          <w:szCs w:val="20"/>
          <w:color w:val="auto"/>
        </w:rPr>
      </w:pPr>
    </w:p>
    <w:p>
      <w:pPr>
        <w:ind w:left="1700" w:right="340" w:hanging="639"/>
        <w:spacing w:after="0" w:line="270" w:lineRule="auto"/>
        <w:tabs>
          <w:tab w:leader="none" w:pos="170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by the Management Board and, if such measure requires approval by the Supervisory Board, approved by the Supervisory Board;</w:t>
      </w:r>
    </w:p>
    <w:p>
      <w:pPr>
        <w:spacing w:after="0" w:line="76"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Ceconomy Group’s business and financial situation materially deteriorates; or</w:t>
      </w:r>
    </w:p>
    <w:p>
      <w:pPr>
        <w:spacing w:after="0" w:line="123" w:lineRule="exact"/>
        <w:rPr>
          <w:rFonts w:ascii="Times New Roman" w:cs="Times New Roman" w:eastAsia="Times New Roman" w:hAnsi="Times New Roman"/>
          <w:sz w:val="18"/>
          <w:szCs w:val="18"/>
          <w:color w:val="auto"/>
        </w:rPr>
      </w:pPr>
    </w:p>
    <w:p>
      <w:pPr>
        <w:ind w:left="1700" w:hanging="639"/>
        <w:spacing w:after="0"/>
        <w:tabs>
          <w:tab w:leader="none" w:pos="170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in the Strategic Roadmap or otherwise in this Agreement.</w:t>
      </w:r>
    </w:p>
    <w:p>
      <w:pPr>
        <w:spacing w:after="0" w:line="3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tab/>
        <w:t>Data Protection and Compliance with Law / Reporting co-operation</w:t>
      </w:r>
    </w:p>
    <w:p>
      <w:pPr>
        <w:spacing w:after="0" w:line="126" w:lineRule="exact"/>
        <w:rPr>
          <w:sz w:val="20"/>
          <w:szCs w:val="20"/>
          <w:color w:val="auto"/>
        </w:rPr>
      </w:pPr>
    </w:p>
    <w:p>
      <w:pPr>
        <w:ind w:left="420" w:right="260" w:hanging="422"/>
        <w:spacing w:after="0" w:line="251" w:lineRule="auto"/>
        <w:rPr>
          <w:sz w:val="20"/>
          <w:szCs w:val="20"/>
          <w:color w:val="auto"/>
        </w:rPr>
      </w:pPr>
      <w:r>
        <w:rPr>
          <w:rFonts w:ascii="Times New Roman" w:cs="Times New Roman" w:eastAsia="Times New Roman" w:hAnsi="Times New Roman"/>
          <w:sz w:val="18"/>
          <w:szCs w:val="18"/>
          <w:color w:val="auto"/>
        </w:rPr>
        <w:t>10.1 The Bidder undertakes to protect Ceconomy Group’s personal customer data in line with all applicable laws and regulations, from time to time, including European standards (in particular Regulation (EU) 2016/679 of the European Parliament and of the Council of 27 April 2016 on the protection of natural persons with regard to the processing of personal data and on the free movement of such data, and repealing Directive 95/46/EC, GDPR) and ring-fenced from the Bidder, including its exclusive storage in European data warehouses, with such safeguards that the Company considers appropriate, and not to transfer any personal data of persons in Europe outside of Europe.</w:t>
      </w:r>
    </w:p>
    <w:p>
      <w:pPr>
        <w:spacing w:after="0" w:line="94" w:lineRule="exact"/>
        <w:rPr>
          <w:sz w:val="20"/>
          <w:szCs w:val="20"/>
          <w:color w:val="auto"/>
        </w:rPr>
      </w:pPr>
    </w:p>
    <w:p>
      <w:pPr>
        <w:ind w:left="420" w:right="360" w:hanging="422"/>
        <w:spacing w:after="0" w:line="270" w:lineRule="auto"/>
        <w:rPr>
          <w:sz w:val="20"/>
          <w:szCs w:val="20"/>
          <w:color w:val="auto"/>
        </w:rPr>
      </w:pPr>
      <w:r>
        <w:rPr>
          <w:rFonts w:ascii="Times New Roman" w:cs="Times New Roman" w:eastAsia="Times New Roman" w:hAnsi="Times New Roman"/>
          <w:sz w:val="18"/>
          <w:szCs w:val="18"/>
          <w:color w:val="auto"/>
        </w:rPr>
        <w:t>10.2 The Bidder undertakes to comply with all laws and regulations in Germany or any other jurisdictions applicable to the Bidder, including, anti-bribery, sanctions and anti-money laundering laws.</w:t>
      </w:r>
    </w:p>
    <w:p>
      <w:pPr>
        <w:spacing w:after="0" w:line="76" w:lineRule="exact"/>
        <w:rPr>
          <w:sz w:val="20"/>
          <w:szCs w:val="20"/>
          <w:color w:val="auto"/>
        </w:rPr>
      </w:pPr>
    </w:p>
    <w:p>
      <w:pPr>
        <w:ind w:left="420" w:hanging="422"/>
        <w:spacing w:after="0" w:line="258" w:lineRule="auto"/>
        <w:rPr>
          <w:sz w:val="20"/>
          <w:szCs w:val="20"/>
          <w:color w:val="auto"/>
        </w:rPr>
      </w:pPr>
      <w:r>
        <w:rPr>
          <w:rFonts w:ascii="Times New Roman" w:cs="Times New Roman" w:eastAsia="Times New Roman" w:hAnsi="Times New Roman"/>
          <w:sz w:val="18"/>
          <w:szCs w:val="18"/>
          <w:color w:val="auto"/>
        </w:rPr>
        <w:t>10.3 Following Closing, the Company will, to the extent legally permitted, work together with the Bidder Group to provide the entities of Bidder Group with the required information to enable Bidder Group to fulfil their own reporting, controlling and risk management obligations as well as other group-wide functions. Details thereof to be worked out in a separate information sharing agreement.</w:t>
      </w:r>
    </w:p>
    <w:p>
      <w:pPr>
        <w:spacing w:after="0" w:line="3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11</w:t>
        <w:tab/>
        <w:t>Brands</w:t>
      </w:r>
    </w:p>
    <w:p>
      <w:pPr>
        <w:spacing w:after="0" w:line="126" w:lineRule="exact"/>
        <w:rPr>
          <w:sz w:val="20"/>
          <w:szCs w:val="20"/>
          <w:color w:val="auto"/>
        </w:rPr>
      </w:pPr>
    </w:p>
    <w:p>
      <w:pPr>
        <w:ind w:left="420" w:right="200" w:hanging="422"/>
        <w:spacing w:after="0" w:line="251" w:lineRule="auto"/>
        <w:rPr>
          <w:sz w:val="20"/>
          <w:szCs w:val="20"/>
          <w:color w:val="auto"/>
        </w:rPr>
      </w:pPr>
      <w:r>
        <w:rPr>
          <w:rFonts w:ascii="Times New Roman" w:cs="Times New Roman" w:eastAsia="Times New Roman" w:hAnsi="Times New Roman"/>
          <w:sz w:val="18"/>
          <w:szCs w:val="18"/>
          <w:color w:val="auto"/>
        </w:rPr>
        <w:t>11.1 The Bidder acknowledges that Ceconomy Group owns several strong brands in certain countries with a high degree of brand awareness by the respective markets and customers. The Bidder undertakes not to cause the Company to change its company name for a period of five years after the Closing. The Bidder will maintain Ceconomy Group brands MediaMarkt, Media World and Saturn as independent brands (also as trademark on Ceconomy Group products) for a period of five years after the Closing and will support Ceconomy Group in further enhancing the brand awareness.</w:t>
      </w:r>
    </w:p>
    <w:p>
      <w:pPr>
        <w:spacing w:after="0" w:line="92" w:lineRule="exact"/>
        <w:rPr>
          <w:sz w:val="20"/>
          <w:szCs w:val="20"/>
          <w:color w:val="auto"/>
        </w:rPr>
      </w:pPr>
    </w:p>
    <w:p>
      <w:pPr>
        <w:jc w:val="both"/>
        <w:ind w:left="420" w:right="80" w:hanging="422"/>
        <w:spacing w:after="0" w:line="259" w:lineRule="auto"/>
        <w:rPr>
          <w:sz w:val="20"/>
          <w:szCs w:val="20"/>
          <w:color w:val="auto"/>
        </w:rPr>
      </w:pPr>
      <w:r>
        <w:rPr>
          <w:rFonts w:ascii="Times New Roman" w:cs="Times New Roman" w:eastAsia="Times New Roman" w:hAnsi="Times New Roman"/>
          <w:sz w:val="18"/>
          <w:szCs w:val="18"/>
          <w:color w:val="auto"/>
        </w:rPr>
        <w:t xml:space="preserve">11.2 The Bidder fully respects the intellectual property the Company and all members of Ceconomy Group (together, </w:t>
      </w:r>
      <w:r>
        <w:rPr>
          <w:rFonts w:ascii="Times New Roman" w:cs="Times New Roman" w:eastAsia="Times New Roman" w:hAnsi="Times New Roman"/>
          <w:sz w:val="18"/>
          <w:szCs w:val="18"/>
          <w:b w:val="1"/>
          <w:bCs w:val="1"/>
          <w:color w:val="auto"/>
        </w:rPr>
        <w:t>“Ceconomy IP</w:t>
      </w:r>
      <w:r>
        <w:rPr>
          <w:rFonts w:ascii="Times New Roman" w:cs="Times New Roman" w:eastAsia="Times New Roman" w:hAnsi="Times New Roman"/>
          <w:sz w:val="18"/>
          <w:szCs w:val="18"/>
          <w:color w:val="auto"/>
        </w:rPr>
        <w:t>”) and their R&amp;D undertakings. The Bidder acknowledges that the Ceconomy IP will remain with (and be used by) Ceconomy Group and may only be shared with the Bidder or its Affiliates based on license agreements, concluded in each case on an arm’s length basis.</w:t>
      </w:r>
    </w:p>
    <w:p>
      <w:pPr>
        <w:spacing w:after="0" w:line="3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tab/>
        <w:t>Approval by Corporate Bodies and Assurance of Financing</w:t>
      </w:r>
    </w:p>
    <w:p>
      <w:pPr>
        <w:spacing w:after="0" w:line="126" w:lineRule="exact"/>
        <w:rPr>
          <w:sz w:val="20"/>
          <w:szCs w:val="20"/>
          <w:color w:val="auto"/>
        </w:rPr>
      </w:pPr>
    </w:p>
    <w:p>
      <w:pPr>
        <w:ind w:left="420" w:right="80" w:hanging="422"/>
        <w:spacing w:after="0" w:line="258" w:lineRule="auto"/>
        <w:rPr>
          <w:sz w:val="20"/>
          <w:szCs w:val="20"/>
          <w:color w:val="auto"/>
        </w:rPr>
      </w:pPr>
      <w:r>
        <w:rPr>
          <w:rFonts w:ascii="Times New Roman" w:cs="Times New Roman" w:eastAsia="Times New Roman" w:hAnsi="Times New Roman"/>
          <w:sz w:val="18"/>
          <w:szCs w:val="18"/>
          <w:color w:val="auto"/>
        </w:rPr>
        <w:t>12.1 The Bidder hereby confirms that their respective competent corporate bodies have agreed to concluding and executing this Agreement. No further approval or permission is required on the Bidder’s part for concluding and executing this Agreement. The Bidder further confirms that it has obtained all corporate approvals and entered all agreements required to finance the Transaction.</w:t>
      </w:r>
    </w:p>
    <w:p>
      <w:pPr>
        <w:spacing w:after="0" w:line="86" w:lineRule="exact"/>
        <w:rPr>
          <w:sz w:val="20"/>
          <w:szCs w:val="20"/>
          <w:color w:val="auto"/>
        </w:rPr>
      </w:pPr>
    </w:p>
    <w:p>
      <w:pPr>
        <w:ind w:left="420" w:right="260" w:hanging="422"/>
        <w:spacing w:after="0" w:line="270" w:lineRule="auto"/>
        <w:rPr>
          <w:sz w:val="20"/>
          <w:szCs w:val="20"/>
          <w:color w:val="auto"/>
        </w:rPr>
      </w:pPr>
      <w:r>
        <w:rPr>
          <w:rFonts w:ascii="Times New Roman" w:cs="Times New Roman" w:eastAsia="Times New Roman" w:hAnsi="Times New Roman"/>
          <w:sz w:val="18"/>
          <w:szCs w:val="18"/>
          <w:color w:val="auto"/>
        </w:rPr>
        <w:t>12.2 The Company hereby confirms that its competent corporate bodies have agreed to concluding and executing this Agreement and that no further approval or permission is required on the Company’s part for concluding and executing this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80"/>
          </w:cols>
          <w:pgMar w:left="560" w:top="266" w:right="559" w:bottom="1440" w:gutter="0" w:footer="0" w:header="0"/>
        </w:sectPr>
      </w:pPr>
    </w:p>
    <w:bookmarkStart w:id="658" w:name="page659"/>
    <w:bookmarkEnd w:id="658"/>
    <w:p>
      <w:pPr>
        <w:ind w:left="10"/>
        <w:spacing w:after="0"/>
        <w:tabs>
          <w:tab w:leader="none" w:pos="409"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8">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14</w:t>
        <w:tab/>
        <w:t>Effectiveness, Term and Termination</w:t>
      </w:r>
    </w:p>
    <w:p>
      <w:pPr>
        <w:spacing w:after="0" w:line="126" w:lineRule="exact"/>
        <w:rPr>
          <w:sz w:val="20"/>
          <w:szCs w:val="20"/>
          <w:color w:val="auto"/>
        </w:rPr>
      </w:pPr>
    </w:p>
    <w:p>
      <w:pPr>
        <w:ind w:left="430" w:right="20" w:hanging="422"/>
        <w:spacing w:after="0" w:line="300" w:lineRule="auto"/>
        <w:rPr>
          <w:sz w:val="20"/>
          <w:szCs w:val="20"/>
          <w:color w:val="auto"/>
        </w:rPr>
      </w:pPr>
      <w:r>
        <w:rPr>
          <w:rFonts w:ascii="Times New Roman" w:cs="Times New Roman" w:eastAsia="Times New Roman" w:hAnsi="Times New Roman"/>
          <w:sz w:val="17"/>
          <w:szCs w:val="17"/>
          <w:color w:val="auto"/>
        </w:rPr>
        <w:t>14.1 The Agreement shall become effective upon signing of this Agreement and shall have a fixed term ending on the third anniversary of the date of Closing, except for the provisions contained in Sections 5 and 11 for which the fixed term shall end on the fifth anniversary of the date of Closing.</w:t>
      </w:r>
    </w:p>
    <w:p>
      <w:pPr>
        <w:spacing w:after="0" w:line="4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[REDACTED]</w:t>
      </w:r>
    </w:p>
    <w:p>
      <w:pPr>
        <w:spacing w:after="0" w:line="124" w:lineRule="exact"/>
        <w:rPr>
          <w:sz w:val="20"/>
          <w:szCs w:val="20"/>
          <w:color w:val="auto"/>
        </w:rPr>
      </w:pPr>
    </w:p>
    <w:p>
      <w:pPr>
        <w:ind w:left="430" w:hanging="422"/>
        <w:spacing w:after="0" w:line="251" w:lineRule="auto"/>
        <w:rPr>
          <w:sz w:val="20"/>
          <w:szCs w:val="20"/>
          <w:color w:val="auto"/>
        </w:rPr>
      </w:pPr>
      <w:r>
        <w:rPr>
          <w:rFonts w:ascii="Times New Roman" w:cs="Times New Roman" w:eastAsia="Times New Roman" w:hAnsi="Times New Roman"/>
          <w:sz w:val="18"/>
          <w:szCs w:val="18"/>
          <w:color w:val="auto"/>
        </w:rPr>
        <w:t>14.3 Notice of any termination must be given in writing and must be made within ten Business Days after the terminating Party having become aware of the event triggering a termination right. In the event of termination of this Agreement, this Agreement shall have no further effect save for those provisions the surviving of which is expressly agreed on in this Agreement (and which shall remain in full force and effect) but without prejudice to the accrued rights of each Party upon termination. The termination shall not affect the right of any Party to claim damages pursuant to applicable laws due to a breach by the other Party of its obligations under this Agreement.</w:t>
      </w:r>
    </w:p>
    <w:p>
      <w:pPr>
        <w:spacing w:after="0" w:line="92" w:lineRule="exact"/>
        <w:rPr>
          <w:sz w:val="20"/>
          <w:szCs w:val="20"/>
          <w:color w:val="auto"/>
        </w:rPr>
      </w:pPr>
    </w:p>
    <w:p>
      <w:pPr>
        <w:ind w:left="430" w:right="180" w:hanging="422"/>
        <w:spacing w:after="0" w:line="254" w:lineRule="auto"/>
        <w:rPr>
          <w:sz w:val="20"/>
          <w:szCs w:val="20"/>
          <w:color w:val="auto"/>
        </w:rPr>
      </w:pPr>
      <w:r>
        <w:rPr>
          <w:rFonts w:ascii="Times New Roman" w:cs="Times New Roman" w:eastAsia="Times New Roman" w:hAnsi="Times New Roman"/>
          <w:sz w:val="18"/>
          <w:szCs w:val="18"/>
          <w:color w:val="auto"/>
        </w:rPr>
        <w:t xml:space="preserve">14.4 The right to terminate this Agreement for good cause </w:t>
      </w:r>
      <w:r>
        <w:rPr>
          <w:rFonts w:ascii="Times New Roman" w:cs="Times New Roman" w:eastAsia="Times New Roman" w:hAnsi="Times New Roman"/>
          <w:sz w:val="18"/>
          <w:szCs w:val="18"/>
          <w:i w:val="1"/>
          <w:iCs w:val="1"/>
          <w:color w:val="auto"/>
        </w:rPr>
        <w:t>(aus wichtigem Grund)</w:t>
      </w:r>
      <w:r>
        <w:rPr>
          <w:rFonts w:ascii="Times New Roman" w:cs="Times New Roman" w:eastAsia="Times New Roman" w:hAnsi="Times New Roman"/>
          <w:sz w:val="18"/>
          <w:szCs w:val="18"/>
          <w:color w:val="auto"/>
        </w:rPr>
        <w:t xml:space="preserve"> shall remain unaffected. Good cause shall exist where the terminating Party, taking into account all circumstances of the specific case and weighing the interests of the Parties, cannot reasonably be expected </w:t>
      </w:r>
      <w:r>
        <w:rPr>
          <w:rFonts w:ascii="Times New Roman" w:cs="Times New Roman" w:eastAsia="Times New Roman" w:hAnsi="Times New Roman"/>
          <w:sz w:val="18"/>
          <w:szCs w:val="18"/>
          <w:i w:val="1"/>
          <w:iCs w:val="1"/>
          <w:color w:val="auto"/>
        </w:rPr>
        <w:t>(unzumutbar)</w:t>
      </w:r>
      <w:r>
        <w:rPr>
          <w:rFonts w:ascii="Times New Roman" w:cs="Times New Roman" w:eastAsia="Times New Roman" w:hAnsi="Times New Roman"/>
          <w:sz w:val="18"/>
          <w:szCs w:val="18"/>
          <w:color w:val="auto"/>
        </w:rPr>
        <w:t xml:space="preserve"> to continue the contractual relationship through the remainder of the agreed fixed term (section 314 para. 1 sentence 1 of the German Civil Code </w:t>
      </w:r>
      <w:r>
        <w:rPr>
          <w:rFonts w:ascii="Times New Roman" w:cs="Times New Roman" w:eastAsia="Times New Roman" w:hAnsi="Times New Roman"/>
          <w:sz w:val="18"/>
          <w:szCs w:val="18"/>
          <w:i w:val="1"/>
          <w:iCs w:val="1"/>
          <w:color w:val="auto"/>
        </w:rPr>
        <w:t>(Bürgerliches Gesetzbuch)).</w:t>
      </w:r>
    </w:p>
    <w:p>
      <w:pPr>
        <w:spacing w:after="0" w:line="327" w:lineRule="exact"/>
        <w:rPr>
          <w:sz w:val="20"/>
          <w:szCs w:val="20"/>
          <w:color w:val="auto"/>
        </w:rPr>
      </w:pPr>
    </w:p>
    <w:p>
      <w:pPr>
        <w:ind w:left="430" w:hanging="430"/>
        <w:spacing w:after="0"/>
        <w:tabs>
          <w:tab w:leader="none" w:pos="430" w:val="left"/>
        </w:tabs>
        <w:numPr>
          <w:ilvl w:val="0"/>
          <w:numId w:val="9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Guarantor’s Undertaking</w:t>
      </w:r>
    </w:p>
    <w:p>
      <w:pPr>
        <w:spacing w:after="0" w:line="112" w:lineRule="exact"/>
        <w:rPr>
          <w:rFonts w:ascii="Times New Roman" w:cs="Times New Roman" w:eastAsia="Times New Roman" w:hAnsi="Times New Roman"/>
          <w:sz w:val="18"/>
          <w:szCs w:val="18"/>
          <w:b w:val="1"/>
          <w:bCs w:val="1"/>
          <w:color w:val="auto"/>
        </w:rPr>
      </w:pPr>
    </w:p>
    <w:p>
      <w:pPr>
        <w:ind w:left="430" w:right="8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Guarantor hereby accedes as a joint obligor to any obligation and liability of the Bidder under or in connection with this Agreement, if and when due, as if it were the Guarantor’s own principal obligation or liability </w:t>
      </w:r>
      <w:r>
        <w:rPr>
          <w:rFonts w:ascii="Times New Roman" w:cs="Times New Roman" w:eastAsia="Times New Roman" w:hAnsi="Times New Roman"/>
          <w:sz w:val="18"/>
          <w:szCs w:val="18"/>
          <w:i w:val="1"/>
          <w:iCs w:val="1"/>
          <w:color w:val="auto"/>
        </w:rPr>
        <w:t>(Schuldbeitritt).</w:t>
      </w:r>
      <w:r>
        <w:rPr>
          <w:rFonts w:ascii="Times New Roman" w:cs="Times New Roman" w:eastAsia="Times New Roman" w:hAnsi="Times New Roman"/>
          <w:sz w:val="18"/>
          <w:szCs w:val="18"/>
          <w:color w:val="auto"/>
        </w:rPr>
        <w:t xml:space="preserve"> For the avoidance of doubt, the Guarantor hereby waives, and the Company hereby accepts such waiver, any rights which the Guarantor may have to require the Company to proceed first against, or claim payment from, the Bidder such that as between the Bidder and the Guarantor the latter shall be liable as principal debtor as if it had itself entered into the undertaking to perform such obligations or liabilities under or in connection with this Agreement jointly and severally </w:t>
      </w:r>
      <w:r>
        <w:rPr>
          <w:rFonts w:ascii="Times New Roman" w:cs="Times New Roman" w:eastAsia="Times New Roman" w:hAnsi="Times New Roman"/>
          <w:sz w:val="18"/>
          <w:szCs w:val="18"/>
          <w:i w:val="1"/>
          <w:iCs w:val="1"/>
          <w:color w:val="auto"/>
        </w:rPr>
        <w:t xml:space="preserve">(gesamtschuldnerisch) </w:t>
      </w:r>
      <w:r>
        <w:rPr>
          <w:rFonts w:ascii="Times New Roman" w:cs="Times New Roman" w:eastAsia="Times New Roman" w:hAnsi="Times New Roman"/>
          <w:sz w:val="18"/>
          <w:szCs w:val="18"/>
          <w:color w:val="auto"/>
        </w:rPr>
        <w:t>with the Bidder.</w:t>
      </w:r>
    </w:p>
    <w:p>
      <w:pPr>
        <w:spacing w:after="0" w:line="330" w:lineRule="exact"/>
        <w:rPr>
          <w:rFonts w:ascii="Times New Roman" w:cs="Times New Roman" w:eastAsia="Times New Roman" w:hAnsi="Times New Roman"/>
          <w:sz w:val="18"/>
          <w:szCs w:val="18"/>
          <w:b w:val="1"/>
          <w:bCs w:val="1"/>
          <w:color w:val="auto"/>
        </w:rPr>
      </w:pPr>
    </w:p>
    <w:p>
      <w:pPr>
        <w:ind w:left="430" w:hanging="430"/>
        <w:spacing w:after="0"/>
        <w:tabs>
          <w:tab w:leader="none" w:pos="430" w:val="left"/>
        </w:tabs>
        <w:numPr>
          <w:ilvl w:val="0"/>
          <w:numId w:val="9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16.1  Confidentiality</w:t>
      </w:r>
    </w:p>
    <w:p>
      <w:pPr>
        <w:spacing w:after="0" w:line="108" w:lineRule="exact"/>
        <w:rPr>
          <w:sz w:val="20"/>
          <w:szCs w:val="20"/>
          <w:color w:val="auto"/>
        </w:rPr>
      </w:pPr>
    </w:p>
    <w:p>
      <w:pPr>
        <w:ind w:left="430" w:right="220"/>
        <w:spacing w:after="0" w:line="273" w:lineRule="auto"/>
        <w:rPr>
          <w:sz w:val="20"/>
          <w:szCs w:val="20"/>
          <w:color w:val="auto"/>
        </w:rPr>
      </w:pPr>
      <w:r>
        <w:rPr>
          <w:rFonts w:ascii="Times New Roman" w:cs="Times New Roman" w:eastAsia="Times New Roman" w:hAnsi="Times New Roman"/>
          <w:sz w:val="18"/>
          <w:szCs w:val="18"/>
          <w:color w:val="auto"/>
        </w:rPr>
        <w:t xml:space="preserve">The provisions of the Confidentiality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Agreement, unless inconsistent with the provisions of this Agreement, in which case the terms and conditions of this Agreement shall prevail.</w:t>
      </w:r>
    </w:p>
    <w:p>
      <w:pPr>
        <w:spacing w:after="0" w:line="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16.2  Press Releases</w:t>
      </w:r>
    </w:p>
    <w:p>
      <w:pPr>
        <w:spacing w:after="0" w:line="110" w:lineRule="exact"/>
        <w:rPr>
          <w:sz w:val="20"/>
          <w:szCs w:val="20"/>
          <w:color w:val="auto"/>
        </w:rPr>
      </w:pPr>
    </w:p>
    <w:p>
      <w:pPr>
        <w:ind w:left="430" w:right="100"/>
        <w:spacing w:after="0" w:line="270" w:lineRule="auto"/>
        <w:rPr>
          <w:sz w:val="20"/>
          <w:szCs w:val="20"/>
          <w:color w:val="auto"/>
        </w:rPr>
      </w:pPr>
      <w:r>
        <w:rPr>
          <w:rFonts w:ascii="Times New Roman" w:cs="Times New Roman" w:eastAsia="Times New Roman" w:hAnsi="Times New Roman"/>
          <w:sz w:val="18"/>
          <w:szCs w:val="18"/>
          <w:color w:val="auto"/>
        </w:rPr>
        <w:t>Subject to Clause 1.3, neither Party will issue a press release or any other public statement with respect to the contents of this Agreement without the consent of the respective other Party unless otherwise agreed in this Agreement.</w:t>
      </w:r>
    </w:p>
    <w:p>
      <w:pPr>
        <w:spacing w:after="0" w:line="7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16.3  Notices</w:t>
      </w:r>
    </w:p>
    <w:p>
      <w:pPr>
        <w:spacing w:after="0" w:line="110" w:lineRule="exact"/>
        <w:rPr>
          <w:sz w:val="20"/>
          <w:szCs w:val="20"/>
          <w:color w:val="auto"/>
        </w:rPr>
      </w:pPr>
    </w:p>
    <w:p>
      <w:pPr>
        <w:ind w:left="430" w:right="60"/>
        <w:spacing w:after="0" w:line="267" w:lineRule="auto"/>
        <w:rPr>
          <w:sz w:val="20"/>
          <w:szCs w:val="20"/>
          <w:color w:val="auto"/>
        </w:rPr>
      </w:pPr>
      <w:r>
        <w:rPr>
          <w:rFonts w:ascii="Times New Roman" w:cs="Times New Roman" w:eastAsia="Times New Roman" w:hAnsi="Times New Roman"/>
          <w:sz w:val="17"/>
          <w:szCs w:val="17"/>
          <w:color w:val="auto"/>
        </w:rPr>
        <w:t>All notices, requests and other communications under or in connection with this Agreement shall be made in writing in the English language and delivered by hand, courier, mail or telefax (provided that the telefax receipt is promptly confirmed in writing) to the person at the addresses set forth below, or such other person or address as may be designated by the respective Party in writing from time to time, provided that (a) receipt of a copy of a notice, request or other communication by a Party’s advisors shall not constitute or substitute receipt thereof by the respective Party itself and (b) any notice, request or other communication shall be deemed received by a Party regardless of whether a copy thereof was sent to or received by an advisor of such Party, regardless of whether the delivery of such copy was mandated by this Agreement:</w:t>
      </w:r>
    </w:p>
    <w:p>
      <w:pPr>
        <w:spacing w:after="0" w:line="110"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70"/>
          </w:cols>
          <w:pgMar w:left="550" w:top="265" w:right="579" w:bottom="1440" w:gutter="0" w:footer="0" w:header="0"/>
        </w:sectPr>
      </w:pPr>
    </w:p>
    <w:bookmarkStart w:id="659" w:name="page660"/>
    <w:bookmarkEnd w:id="659"/>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9">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16.3.1</w:t>
      </w:r>
      <w:r>
        <w:rPr>
          <w:sz w:val="20"/>
          <w:szCs w:val="20"/>
          <w:color w:val="auto"/>
        </w:rPr>
        <w:tab/>
      </w:r>
      <w:r>
        <w:rPr>
          <w:rFonts w:ascii="Times New Roman" w:cs="Times New Roman" w:eastAsia="Times New Roman" w:hAnsi="Times New Roman"/>
          <w:sz w:val="17"/>
          <w:szCs w:val="17"/>
          <w:color w:val="auto"/>
        </w:rPr>
        <w:t>To the Company:</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CECONOMY AG</w:t>
      </w: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Attn.: Dr. Roman Stenzel</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Kaistraße 3</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40221 Düsseldorf</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Email: stenzelr@mediamarktsaturn.com</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Kirkland &amp; Ellis International LLP</w:t>
      </w: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Attn.: Dr. Tobias Larisch</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Junghofstr. 9</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60311 Frankfurt am Main</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Email: tobias.larisch@kirkland.com</w:t>
      </w:r>
    </w:p>
    <w:p>
      <w:pPr>
        <w:spacing w:after="0" w:line="106"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t>16.3.2</w:t>
      </w:r>
      <w:r>
        <w:rPr>
          <w:sz w:val="20"/>
          <w:szCs w:val="20"/>
          <w:color w:val="auto"/>
        </w:rPr>
        <w:tab/>
      </w:r>
      <w:r>
        <w:rPr>
          <w:rFonts w:ascii="Times New Roman" w:cs="Times New Roman" w:eastAsia="Times New Roman" w:hAnsi="Times New Roman"/>
          <w:sz w:val="17"/>
          <w:szCs w:val="17"/>
          <w:color w:val="auto"/>
        </w:rPr>
        <w:t>To the Bidder:</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JINGDONG HOLDING GERMANY GmbH</w:t>
      </w: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Attn.: Ronny Mattheuws</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c/o Cormoran GmbH</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Am Zirkus 2</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10117 Berlin</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Email: ronny.mattheuws@jd.com</w:t>
      </w:r>
    </w:p>
    <w:p>
      <w:pPr>
        <w:spacing w:after="0" w:line="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Baker McKenzie Rechtsanwaltsgesellschaft mbH von Rechtsanwälten und</w:t>
      </w:r>
    </w:p>
    <w:p>
      <w:pPr>
        <w:spacing w:after="0" w:line="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Steuerberatern</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Attn.: Dr. Christoph Wolf/ Dirk Horcher</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Junghofstr. 9</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60311 Frankfurt am Main</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Email: christoph.wolf@bakermckenzie.com /</w:t>
      </w:r>
    </w:p>
    <w:p>
      <w:pPr>
        <w:spacing w:after="0" w:line="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dirk.horcher@bakermckenzie.com</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  Costs and Expenses</w:t>
      </w:r>
    </w:p>
    <w:p>
      <w:pPr>
        <w:spacing w:after="0" w:line="110" w:lineRule="exact"/>
        <w:rPr>
          <w:sz w:val="20"/>
          <w:szCs w:val="20"/>
          <w:color w:val="auto"/>
        </w:rPr>
      </w:pPr>
    </w:p>
    <w:p>
      <w:pPr>
        <w:jc w:val="both"/>
        <w:ind w:left="420" w:right="140"/>
        <w:spacing w:after="0" w:line="270" w:lineRule="auto"/>
        <w:rPr>
          <w:sz w:val="20"/>
          <w:szCs w:val="20"/>
          <w:color w:val="auto"/>
        </w:rPr>
      </w:pPr>
      <w:r>
        <w:rPr>
          <w:rFonts w:ascii="Times New Roman" w:cs="Times New Roman" w:eastAsia="Times New Roman" w:hAnsi="Times New Roman"/>
          <w:sz w:val="18"/>
          <w:szCs w:val="18"/>
          <w:color w:val="auto"/>
        </w:rPr>
        <w:t>Each Party shall bear its own fees and expenses with regard to this Agreement. The costs in connection with the Regulatory Clearances shall be borne by the Bidder.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  Entire Agreement</w:t>
      </w:r>
    </w:p>
    <w:p>
      <w:pPr>
        <w:spacing w:after="0" w:line="110" w:lineRule="exact"/>
        <w:rPr>
          <w:sz w:val="20"/>
          <w:szCs w:val="20"/>
          <w:color w:val="auto"/>
        </w:rPr>
      </w:pPr>
    </w:p>
    <w:p>
      <w:pPr>
        <w:jc w:val="both"/>
        <w:ind w:left="420" w:right="140"/>
        <w:spacing w:after="0" w:line="258" w:lineRule="auto"/>
        <w:rPr>
          <w:sz w:val="20"/>
          <w:szCs w:val="20"/>
          <w:color w:val="auto"/>
        </w:rPr>
      </w:pPr>
      <w:r>
        <w:rPr>
          <w:rFonts w:ascii="Times New Roman" w:cs="Times New Roman" w:eastAsia="Times New Roman" w:hAnsi="Times New Roman"/>
          <w:sz w:val="18"/>
          <w:szCs w:val="18"/>
          <w:color w:val="auto"/>
        </w:rPr>
        <w:t>This Agreement (together with all Annexes and Schedules hereto), as well as other documents specifically referred herein or delivered pursuant hereto, contain the entire agreement between the Parties concerning its subject matter and no collateral agreements to this Agreement, whether verbally or in writing, have been entered into between the Parties.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  Amendments, Supplements</w:t>
      </w:r>
    </w:p>
    <w:p>
      <w:pPr>
        <w:spacing w:after="0" w:line="110" w:lineRule="exact"/>
        <w:rPr>
          <w:sz w:val="20"/>
          <w:szCs w:val="20"/>
          <w:color w:val="auto"/>
        </w:rPr>
      </w:pPr>
    </w:p>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Any amendments to this Agreement (together with all Annexes and Schedules hereto) (including amendments to this Section 16.7) or a waiver of terms and conditions shall be valid and binding upon the Parties only if approved in writing by an authorized representative of each Party, unless applicable mandatory law requires otherwise.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  Assignments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Any rights under this Agreement may only be assigned with the prior written consent of the respective other Party.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16.9  No Rights of Third Parties</w:t>
      </w:r>
    </w:p>
    <w:p>
      <w:pPr>
        <w:spacing w:after="0" w:line="110" w:lineRule="exact"/>
        <w:rPr>
          <w:sz w:val="20"/>
          <w:szCs w:val="20"/>
          <w:color w:val="auto"/>
        </w:rPr>
      </w:pPr>
    </w:p>
    <w:p>
      <w:pPr>
        <w:ind w:left="420" w:right="120"/>
        <w:spacing w:after="0" w:line="270" w:lineRule="auto"/>
        <w:rPr>
          <w:sz w:val="20"/>
          <w:szCs w:val="20"/>
          <w:color w:val="auto"/>
        </w:rPr>
      </w:pPr>
      <w:r>
        <w:rPr>
          <w:rFonts w:ascii="Times New Roman" w:cs="Times New Roman" w:eastAsia="Times New Roman" w:hAnsi="Times New Roman"/>
          <w:sz w:val="18"/>
          <w:szCs w:val="18"/>
          <w:color w:val="auto"/>
        </w:rPr>
        <w:t xml:space="preserve">For the avoidance of doubt, this Agreement shall only grant rights to the Parties and shall not constitute a contract for the benefit of third parties </w:t>
      </w:r>
      <w:r>
        <w:rPr>
          <w:rFonts w:ascii="Times New Roman" w:cs="Times New Roman" w:eastAsia="Times New Roman" w:hAnsi="Times New Roman"/>
          <w:sz w:val="18"/>
          <w:szCs w:val="18"/>
          <w:i w:val="1"/>
          <w:iCs w:val="1"/>
          <w:color w:val="auto"/>
        </w:rPr>
        <w:t xml:space="preserve">(Vertrag zu Gunsten Dritter) </w:t>
      </w:r>
      <w:r>
        <w:rPr>
          <w:rFonts w:ascii="Times New Roman" w:cs="Times New Roman" w:eastAsia="Times New Roman" w:hAnsi="Times New Roman"/>
          <w:sz w:val="18"/>
          <w:szCs w:val="18"/>
          <w:color w:val="auto"/>
        </w:rPr>
        <w:t>or a contract with protective effect for third parties</w:t>
      </w:r>
      <w:r>
        <w:rPr>
          <w:rFonts w:ascii="Times New Roman" w:cs="Times New Roman" w:eastAsia="Times New Roman" w:hAnsi="Times New Roman"/>
          <w:sz w:val="18"/>
          <w:szCs w:val="18"/>
          <w:i w:val="1"/>
          <w:iCs w:val="1"/>
          <w:color w:val="auto"/>
        </w:rPr>
        <w:t xml:space="preserve"> (Vertrag mit Schutzwirkung für Dritte).</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80"/>
          </w:cols>
          <w:pgMar w:left="560" w:top="267" w:right="65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2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16.10 Interpretation</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16.10.1 Annexes and Schedules</w:t>
      </w:r>
    </w:p>
    <w:p>
      <w:pPr>
        <w:spacing w:after="0" w:line="1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All Annexes and Schedules to this Agreement constitute an integral part of this Agreement.</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16.10.2 Headings</w:t>
      </w:r>
    </w:p>
    <w:p>
      <w:pPr>
        <w:spacing w:after="0" w:line="110" w:lineRule="exact"/>
        <w:rPr>
          <w:sz w:val="20"/>
          <w:szCs w:val="20"/>
          <w:color w:val="auto"/>
        </w:rPr>
      </w:pPr>
    </w:p>
    <w:p>
      <w:pPr>
        <w:ind w:left="1060" w:right="40"/>
        <w:spacing w:after="0" w:line="270" w:lineRule="auto"/>
        <w:rPr>
          <w:sz w:val="20"/>
          <w:szCs w:val="20"/>
          <w:color w:val="auto"/>
        </w:rPr>
      </w:pPr>
      <w:r>
        <w:rPr>
          <w:rFonts w:ascii="Times New Roman" w:cs="Times New Roman" w:eastAsia="Times New Roman" w:hAnsi="Times New Roman"/>
          <w:sz w:val="18"/>
          <w:szCs w:val="18"/>
          <w:color w:val="auto"/>
        </w:rPr>
        <w:t>The headings and sub-headings in this Agreement are inserted for convenience only and shall not affect the interpretation or construction of this Agreement.</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16.10.3 Language</w:t>
      </w:r>
    </w:p>
    <w:p>
      <w:pPr>
        <w:spacing w:after="0" w:line="110" w:lineRule="exact"/>
        <w:rPr>
          <w:sz w:val="20"/>
          <w:szCs w:val="20"/>
          <w:color w:val="auto"/>
        </w:rPr>
      </w:pPr>
    </w:p>
    <w:p>
      <w:pPr>
        <w:ind w:left="1060" w:right="20"/>
        <w:spacing w:after="0" w:line="258" w:lineRule="auto"/>
        <w:rPr>
          <w:sz w:val="20"/>
          <w:szCs w:val="20"/>
          <w:color w:val="auto"/>
        </w:rPr>
      </w:pPr>
      <w:r>
        <w:rPr>
          <w:rFonts w:ascii="Times New Roman" w:cs="Times New Roman" w:eastAsia="Times New Roman" w:hAnsi="Times New Roman"/>
          <w:sz w:val="18"/>
          <w:szCs w:val="18"/>
          <w:color w:val="auto"/>
        </w:rPr>
        <w:t>This Agreement is written in the English language (except that Annexes or Schedules may be in the German language). Terms to which a German translation has been added in parentheses and italics shall be interpreted in accordance with such German translation alone disregarding the English term to which such German translation relates.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16.10.4 Legal Terms</w:t>
      </w:r>
    </w:p>
    <w:p>
      <w:pPr>
        <w:spacing w:after="0" w:line="110" w:lineRule="exact"/>
        <w:rPr>
          <w:sz w:val="20"/>
          <w:szCs w:val="20"/>
          <w:color w:val="auto"/>
        </w:rPr>
      </w:pPr>
    </w:p>
    <w:p>
      <w:pPr>
        <w:ind w:left="1060"/>
        <w:spacing w:after="0" w:line="253" w:lineRule="auto"/>
        <w:rPr>
          <w:sz w:val="20"/>
          <w:szCs w:val="20"/>
          <w:color w:val="auto"/>
        </w:rPr>
      </w:pPr>
      <w:r>
        <w:rPr>
          <w:rFonts w:ascii="Times New Roman" w:cs="Times New Roman" w:eastAsia="Times New Roman" w:hAnsi="Times New Roman"/>
          <w:sz w:val="18"/>
          <w:szCs w:val="18"/>
          <w:color w:val="auto"/>
        </w:rPr>
        <w:t>Any German legal term for any action, remedy, method of judicial proceeding, legal document, legal status, court, official or any legal concept shall, in respect of any jurisdiction other than Germany, be deemed to include what most nearly approximates in that jurisdiction to the German legal term and any reference to any German statute shall be construed so as to include equivalent or analogous laws of any other jurisdiction.</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16.10.5 Specific Expressions, certain definitions</w:t>
      </w:r>
    </w:p>
    <w:p>
      <w:pPr>
        <w:spacing w:after="0" w:line="110" w:lineRule="exact"/>
        <w:rPr>
          <w:sz w:val="20"/>
          <w:szCs w:val="20"/>
          <w:color w:val="auto"/>
        </w:rPr>
      </w:pPr>
    </w:p>
    <w:p>
      <w:pPr>
        <w:ind w:left="1060" w:right="80"/>
        <w:spacing w:after="0" w:line="280" w:lineRule="auto"/>
        <w:rPr>
          <w:sz w:val="20"/>
          <w:szCs w:val="20"/>
          <w:color w:val="auto"/>
        </w:rPr>
      </w:pPr>
      <w:r>
        <w:rPr>
          <w:rFonts w:ascii="Times New Roman" w:cs="Times New Roman" w:eastAsia="Times New Roman" w:hAnsi="Times New Roman"/>
          <w:sz w:val="17"/>
          <w:szCs w:val="17"/>
          <w:color w:val="auto"/>
        </w:rPr>
        <w:t>Whenever the words “include”, “includes” or “including” or “in particular” or similar expressions are used in this Agreement, they shall be deemed to be followed by the words “without limitation”. Whenever the words “hereof”, “herein”, “hereunder”, “hereto” or similar expressions are used in this Agreement, they refer to this Agreement as a whole and not to a specific Section of this Agreement.</w:t>
      </w:r>
    </w:p>
    <w:p>
      <w:pPr>
        <w:spacing w:after="0" w:line="54" w:lineRule="exact"/>
        <w:rPr>
          <w:sz w:val="20"/>
          <w:szCs w:val="20"/>
          <w:color w:val="auto"/>
        </w:rPr>
      </w:pPr>
    </w:p>
    <w:p>
      <w:pPr>
        <w:ind w:left="1060" w:right="200"/>
        <w:spacing w:after="0" w:line="273"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Sunday, on which banks in Düsseldorf, Germany, are generally open for business.</w:t>
      </w:r>
    </w:p>
    <w:p>
      <w:pPr>
        <w:spacing w:after="0" w:line="58" w:lineRule="exact"/>
        <w:rPr>
          <w:sz w:val="20"/>
          <w:szCs w:val="20"/>
          <w:color w:val="auto"/>
        </w:rPr>
      </w:pPr>
    </w:p>
    <w:p>
      <w:pPr>
        <w:ind w:left="1060" w:right="140"/>
        <w:spacing w:after="0" w:line="25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any person affiliated, at a given time, with another person within the meaning of sections 15 et seq. AktG and shall have an equivalent meaning if the entity is subject to a foreign jurisdiction as well as any corporation, company or other entity or partnership, which exercises Control or is subject to Control by or is under common Control directly or through one or more intermediaries, as long as such Control exists.</w:t>
      </w:r>
    </w:p>
    <w:p>
      <w:pPr>
        <w:spacing w:after="0" w:line="76" w:lineRule="exact"/>
        <w:rPr>
          <w:sz w:val="20"/>
          <w:szCs w:val="20"/>
          <w:color w:val="auto"/>
        </w:rPr>
      </w:pPr>
    </w:p>
    <w:p>
      <w:pPr>
        <w:ind w:left="1060" w:right="80"/>
        <w:spacing w:after="0" w:line="252"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(i) the record or beneficial ownership, directly or indirectly (through one or more intermediaries), of equity securities entitling such person to exercise in the aggregate more than 50% of the voting rights in such person, or (ii) the possession of the power to, directly or indirectly, (x) elect a majority of the board of directors (or equivalent governing body) of such person, or (y) direct or cause the direction of the management and policies of or with respect to such person, whether through ownership of securities, contract or otherwise.</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16.10.6 Disclosure</w:t>
      </w:r>
    </w:p>
    <w:p>
      <w:pPr>
        <w:spacing w:after="0" w:line="110" w:lineRule="exact"/>
        <w:rPr>
          <w:sz w:val="20"/>
          <w:szCs w:val="20"/>
          <w:color w:val="auto"/>
        </w:rPr>
      </w:pPr>
    </w:p>
    <w:p>
      <w:pPr>
        <w:ind w:left="1060" w:right="20"/>
        <w:spacing w:after="0" w:line="258" w:lineRule="auto"/>
        <w:rPr>
          <w:sz w:val="20"/>
          <w:szCs w:val="20"/>
          <w:color w:val="auto"/>
        </w:rPr>
      </w:pPr>
      <w:r>
        <w:rPr>
          <w:rFonts w:ascii="Times New Roman" w:cs="Times New Roman" w:eastAsia="Times New Roman" w:hAnsi="Times New Roman"/>
          <w:sz w:val="18"/>
          <w:szCs w:val="18"/>
          <w:color w:val="auto"/>
        </w:rPr>
        <w:t>The disclosure of any matter in this Agreement (including all Annexes and Schedules hereto) shall be deemed to be a disclosure for all purposes of this Agreement. The fact that a matter has been disclosed in this Agreement (including in an Annex or Schedule) shall not be used to construe the extent to which disclosure is required pursuant to the provisions of this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16.11 Governing Law; Jurisdiction</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16.11.1 Governing Law</w:t>
      </w:r>
    </w:p>
    <w:p>
      <w:pPr>
        <w:spacing w:after="0" w:line="110" w:lineRule="exact"/>
        <w:rPr>
          <w:sz w:val="20"/>
          <w:szCs w:val="20"/>
          <w:color w:val="auto"/>
        </w:rPr>
      </w:pPr>
    </w:p>
    <w:p>
      <w:pPr>
        <w:ind w:left="1060" w:right="60"/>
        <w:spacing w:after="0" w:line="270"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substantive laws of Germany, excluding the United Nations Convention on Contracts for the International Sale of Goods (CISG).</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16.11.2 Jurisdiction</w:t>
      </w:r>
    </w:p>
    <w:p>
      <w:pPr>
        <w:spacing w:after="0" w:line="110" w:lineRule="exact"/>
        <w:rPr>
          <w:sz w:val="20"/>
          <w:szCs w:val="20"/>
          <w:color w:val="auto"/>
        </w:rPr>
      </w:pPr>
    </w:p>
    <w:p>
      <w:pPr>
        <w:ind w:left="1060" w:right="200"/>
        <w:spacing w:after="0" w:line="270" w:lineRule="auto"/>
        <w:rPr>
          <w:sz w:val="20"/>
          <w:szCs w:val="20"/>
          <w:color w:val="auto"/>
        </w:rPr>
      </w:pPr>
      <w:r>
        <w:rPr>
          <w:rFonts w:ascii="Times New Roman" w:cs="Times New Roman" w:eastAsia="Times New Roman" w:hAnsi="Times New Roman"/>
          <w:sz w:val="18"/>
          <w:szCs w:val="18"/>
          <w:color w:val="auto"/>
        </w:rPr>
        <w:t>Exclusive legal venue for all disputes arising between the Parties from or in connection with this Agreement shall, to the extent legally possible, Düsseldorf, Germany.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560" w:top="267" w:right="57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1">
                      <a:extLst>
                        <a:ext uri="{28A0092B-C50C-407E-A947-70E740481C1C}"/>
                      </a:extLst>
                    </a:blip>
                    <a:srcRect/>
                    <a:stretch>
                      <a:fillRect/>
                    </a:stretch>
                  </pic:blipFill>
                  <pic:spPr bwMode="auto">
                    <a:xfrm>
                      <a:off x="0" y="0"/>
                      <a:ext cx="7177405" cy="38100"/>
                    </a:xfrm>
                    <a:prstGeom prst="rect">
                      <a:avLst/>
                    </a:prstGeom>
                    <a:noFill/>
                  </pic:spPr>
                </pic:pic>
              </a:graphicData>
            </a:graphic>
          </wp:anchor>
        </w:drawing>
        <w:t>16.12 Severability</w:t>
      </w:r>
    </w:p>
    <w:p>
      <w:pPr>
        <w:spacing w:after="0" w:line="110" w:lineRule="exact"/>
        <w:rPr>
          <w:sz w:val="20"/>
          <w:szCs w:val="20"/>
          <w:color w:val="auto"/>
        </w:rPr>
      </w:pPr>
    </w:p>
    <w:p>
      <w:pPr>
        <w:ind w:left="420"/>
        <w:spacing w:after="0" w:line="251" w:lineRule="auto"/>
        <w:rPr>
          <w:sz w:val="20"/>
          <w:szCs w:val="20"/>
          <w:color w:val="auto"/>
        </w:rPr>
      </w:pPr>
      <w:r>
        <w:rPr>
          <w:rFonts w:ascii="Times New Roman" w:cs="Times New Roman" w:eastAsia="Times New Roman" w:hAnsi="Times New Roman"/>
          <w:sz w:val="18"/>
          <w:szCs w:val="18"/>
          <w:color w:val="auto"/>
        </w:rPr>
        <w:t>If any court of competent jurisdiction holds any provision of this Agreement invalid or unenforceable, the other provisions of this Agreement shall remain in full force and effect. The invalid or unenforceable provision shall be deemed to have been replaced by a valid, enforceable and fair provision which comes as close as possible to the intentions of the Parties hereto at the time of the conclusion of this Agreement. It is the express intent of the Parties that the validity and enforceability of all other provisions of this Agreement shall be maintained and that this Section 16.12 shall not result in a reversal of the burden of proof but that Article 139 BGB is hereby excluded in its entirety.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560" w:top="267" w:right="57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2">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For and on behalf of </w:t>
      </w:r>
      <w:r>
        <w:rPr>
          <w:rFonts w:ascii="Times New Roman" w:cs="Times New Roman" w:eastAsia="Times New Roman" w:hAnsi="Times New Roman"/>
          <w:sz w:val="18"/>
          <w:szCs w:val="18"/>
          <w:b w:val="1"/>
          <w:bCs w:val="1"/>
          <w:color w:val="auto"/>
        </w:rPr>
        <w:t>CECONOMY AG: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Kai-Ulrich Deissner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3">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Dr. Kai-Ulrich Deissner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1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9899"/>
          </w:cols>
          <w:pgMar w:left="560" w:top="264" w:right="1440"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4">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For and on behalf of </w:t>
      </w:r>
      <w:r>
        <w:rPr>
          <w:rFonts w:ascii="Times New Roman" w:cs="Times New Roman" w:eastAsia="Times New Roman" w:hAnsi="Times New Roman"/>
          <w:sz w:val="18"/>
          <w:szCs w:val="18"/>
          <w:b w:val="1"/>
          <w:bCs w:val="1"/>
          <w:color w:val="auto"/>
        </w:rPr>
        <w:t>CECONOMY AG: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Remko Rijnders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5">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Remko Rijnders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CFO</w:t>
      </w:r>
    </w:p>
    <w:p>
      <w:pPr>
        <w:spacing w:after="0" w:line="1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9899"/>
          </w:cols>
          <w:pgMar w:left="560" w:top="264" w:right="1440"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6">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For and on behalf of </w:t>
      </w:r>
      <w:r>
        <w:rPr>
          <w:rFonts w:ascii="Times New Roman" w:cs="Times New Roman" w:eastAsia="Times New Roman" w:hAnsi="Times New Roman"/>
          <w:sz w:val="18"/>
          <w:szCs w:val="18"/>
          <w:b w:val="1"/>
          <w:bCs w:val="1"/>
          <w:color w:val="auto"/>
        </w:rPr>
        <w:t>JINGDONG HOLDING GERMANY GMBH: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Ruiyu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7">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Ruiyu Li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Title: Managing Director </w:t>
      </w:r>
      <w:r>
        <w:rPr>
          <w:rFonts w:ascii="Times New Roman" w:cs="Times New Roman" w:eastAsia="Times New Roman" w:hAnsi="Times New Roman"/>
          <w:sz w:val="18"/>
          <w:szCs w:val="18"/>
          <w:i w:val="1"/>
          <w:iCs w:val="1"/>
          <w:color w:val="auto"/>
        </w:rPr>
        <w:t>(Geschäftsführer)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30 July 2025</w:t>
      </w:r>
    </w:p>
    <w:p>
      <w:pPr>
        <w:spacing w:after="0" w:line="1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9899"/>
          </w:cols>
          <w:pgMar w:left="560" w:top="264" w:right="1440"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8">
                      <a:extLst>
                        <a:ext uri="{28A0092B-C50C-407E-A947-70E740481C1C}"/>
                      </a:extLst>
                    </a:blip>
                    <a:srcRect/>
                    <a:stretch>
                      <a:fillRect/>
                    </a:stretch>
                  </pic:blipFill>
                  <pic:spPr bwMode="auto">
                    <a:xfrm>
                      <a:off x="0" y="0"/>
                      <a:ext cx="7177405" cy="37465"/>
                    </a:xfrm>
                    <a:prstGeom prst="rect">
                      <a:avLst/>
                    </a:prstGeom>
                    <a:noFill/>
                  </pic:spPr>
                </pic:pic>
              </a:graphicData>
            </a:graphic>
          </wp:anchor>
        </w:drawing>
        <w:t xml:space="preserve">For and on behalf of </w:t>
      </w:r>
      <w:r>
        <w:rPr>
          <w:rFonts w:ascii="Times New Roman" w:cs="Times New Roman" w:eastAsia="Times New Roman" w:hAnsi="Times New Roman"/>
          <w:sz w:val="18"/>
          <w:szCs w:val="18"/>
          <w:b w:val="1"/>
          <w:bCs w:val="1"/>
          <w:color w:val="auto"/>
        </w:rPr>
        <w:t>JD.com International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JiangGuang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9">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JiangGuang Shen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Management Director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30 July 2025</w:t>
      </w:r>
    </w:p>
    <w:p>
      <w:pPr>
        <w:spacing w:after="0" w:line="130"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Investment Agreement</w:t>
      </w:r>
      <w:r>
        <w:rPr>
          <w:rFonts w:ascii="Times New Roman" w:cs="Times New Roman" w:eastAsia="Times New Roman" w:hAnsi="Times New Roman"/>
          <w:sz w:val="18"/>
          <w:szCs w:val="18"/>
          <w:color w:val="auto"/>
        </w:rPr>
        <w:t>.]</w:t>
      </w:r>
    </w:p>
    <w:p>
      <w:pPr>
        <w:sectPr>
          <w:pgSz w:w="11900" w:h="16838" w:orient="portrait"/>
          <w:cols w:equalWidth="0" w:num="1">
            <w:col w:w="9899"/>
          </w:cols>
          <w:pgMar w:left="560" w:top="264" w:right="1440" w:bottom="1440" w:gutter="0" w:footer="0" w:header="0"/>
        </w:sectPr>
      </w:pPr>
    </w:p>
    <w:bookmarkStart w:id="666" w:name="page667"/>
    <w:bookmarkEnd w:id="66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30">
                      <a:extLst>
                        <a:ext uri="{28A0092B-C50C-407E-A947-70E740481C1C}"/>
                      </a:extLst>
                    </a:blip>
                    <a:srcRect/>
                    <a:stretch>
                      <a:fillRect/>
                    </a:stretch>
                  </pic:blipFill>
                  <pic:spPr bwMode="auto">
                    <a:xfrm>
                      <a:off x="0" y="0"/>
                      <a:ext cx="7177405" cy="37465"/>
                    </a:xfrm>
                    <a:prstGeom prst="rect">
                      <a:avLst/>
                    </a:prstGeom>
                    <a:noFill/>
                  </pic:spPr>
                </pic:pic>
              </a:graphicData>
            </a:graphic>
          </wp:anchor>
        </w:drawing>
        <w:t>Annex 1.1.1 – Form of Offer Announcement</w:t>
      </w:r>
    </w:p>
    <w:p>
      <w:pPr>
        <w:sectPr>
          <w:pgSz w:w="11900" w:h="16838" w:orient="portrait"/>
          <w:cols w:equalWidth="0" w:num="1">
            <w:col w:w="9019"/>
          </w:cols>
          <w:pgMar w:left="1440" w:top="264" w:right="1440" w:bottom="1440" w:gutter="0" w:footer="0" w:header="0"/>
        </w:sectPr>
      </w:pPr>
    </w:p>
    <w:bookmarkStart w:id="667" w:name="page668"/>
    <w:bookmarkEnd w:id="667"/>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List of Principal Subsidiaries and Consolidated Variable Interest Entities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180"/>
        </w:trPr>
        <w:tc>
          <w:tcPr>
            <w:tcW w:w="7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Jingdong</w:t>
            </w:r>
          </w:p>
        </w:tc>
        <w:tc>
          <w:tcPr>
            <w:tcW w:w="482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Technology Group Corporation</w:t>
            </w:r>
          </w:p>
        </w:tc>
        <w:tc>
          <w:tcPr>
            <w:tcW w:w="5180" w:type="dxa"/>
            <w:vAlign w:val="bottom"/>
            <w:tcBorders>
              <w:top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JINGDONG Property,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Logistics,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Property Holding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Assets Holding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Health International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JINGDONG Industrials, Inc.</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JD.com Investment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Asia Development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Jiankang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Industrial Technology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Sunflower Investment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British Virgin Islands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 Logistics Holding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Jingdong E-Commerce (Trade) Hong Kong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JD.com International Limited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Jingdong Century Trade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Jingdong Information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Chongqing Jingdong Haijia E-commerce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Jingdong Shangke Information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Xinchuan Hailian Supply Chain Management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Shanghai Shengdayuan Information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Hanbang Investment Management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Wodong Tianjun Information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Jingdong Logistics Supply Chain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Huiji Space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40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variable interest entities and their subsidiaries:</w:t>
            </w:r>
          </w:p>
        </w:tc>
        <w:tc>
          <w:tcPr>
            <w:tcW w:w="5180" w:type="dxa"/>
            <w:vAlign w:val="bottom"/>
          </w:tcPr>
          <w:p>
            <w:pPr>
              <w:spacing w:after="0"/>
              <w:rPr>
                <w:sz w:val="24"/>
                <w:szCs w:val="24"/>
                <w:color w:val="auto"/>
              </w:rPr>
            </w:pP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Jingdong 360 Degree E-commerce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Yuanzhou E-commerce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Jiangsu Jingdong Bangneng Investment Management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Hanyu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 Jingdong Xincheng Information Technology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Suqian Juhe Digital Enterprise Management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r>
        <w:trPr>
          <w:trHeight w:val="22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Beijing Jingbangda Trade Co., Ltd.</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r>
    </w:tbl>
    <w:p>
      <w:pPr>
        <w:sectPr>
          <w:pgSz w:w="11900" w:h="16838" w:orient="portrait"/>
          <w:cols w:equalWidth="0" w:num="1">
            <w:col w:w="10780"/>
          </w:cols>
          <w:pgMar w:left="560" w:top="119" w:right="559" w:bottom="1440" w:gutter="0" w:footer="0" w:header="0"/>
        </w:sectPr>
      </w:pPr>
    </w:p>
    <w:bookmarkStart w:id="668" w:name="page669"/>
    <w:bookmarkEnd w:id="668"/>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Sandy Ran Xu, certify that:</w:t>
      </w:r>
    </w:p>
    <w:p>
      <w:pPr>
        <w:spacing w:after="0" w:line="124" w:lineRule="exact"/>
        <w:rPr>
          <w:sz w:val="20"/>
          <w:szCs w:val="20"/>
          <w:color w:val="auto"/>
        </w:rPr>
      </w:pPr>
    </w:p>
    <w:p>
      <w:pPr>
        <w:ind w:left="430" w:hanging="430"/>
        <w:spacing w:after="0"/>
        <w:tabs>
          <w:tab w:leader="none" w:pos="430"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JD.com, Inc. (the “Company”);</w:t>
      </w:r>
    </w:p>
    <w:p>
      <w:pPr>
        <w:spacing w:after="0" w:line="123" w:lineRule="exact"/>
        <w:rPr>
          <w:rFonts w:ascii="Times New Roman" w:cs="Times New Roman" w:eastAsia="Times New Roman" w:hAnsi="Times New Roman"/>
          <w:sz w:val="18"/>
          <w:szCs w:val="18"/>
          <w:color w:val="auto"/>
        </w:rPr>
      </w:pPr>
    </w:p>
    <w:p>
      <w:pPr>
        <w:jc w:val="both"/>
        <w:ind w:left="430" w:right="120" w:hanging="430"/>
        <w:spacing w:after="0" w:line="258" w:lineRule="auto"/>
        <w:tabs>
          <w:tab w:leader="none" w:pos="430"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6" w:lineRule="exact"/>
        <w:rPr>
          <w:rFonts w:ascii="Times New Roman" w:cs="Times New Roman" w:eastAsia="Times New Roman" w:hAnsi="Times New Roman"/>
          <w:sz w:val="18"/>
          <w:szCs w:val="18"/>
          <w:color w:val="auto"/>
        </w:rPr>
      </w:pPr>
    </w:p>
    <w:p>
      <w:pPr>
        <w:ind w:left="430" w:right="280" w:hanging="430"/>
        <w:spacing w:after="0" w:line="270" w:lineRule="auto"/>
        <w:tabs>
          <w:tab w:leader="none" w:pos="430" w:val="left"/>
        </w:tabs>
        <w:numPr>
          <w:ilvl w:val="0"/>
          <w:numId w:val="9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106" w:lineRule="exact"/>
        <w:rPr>
          <w:rFonts w:ascii="Times New Roman" w:cs="Times New Roman" w:eastAsia="Times New Roman" w:hAnsi="Times New Roman"/>
          <w:sz w:val="17"/>
          <w:szCs w:val="17"/>
          <w:color w:val="auto"/>
        </w:rPr>
      </w:pPr>
    </w:p>
    <w:p>
      <w:pPr>
        <w:ind w:left="950" w:right="20" w:hanging="526"/>
        <w:spacing w:after="0" w:line="258" w:lineRule="auto"/>
        <w:tabs>
          <w:tab w:leader="none" w:pos="950"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5" w:lineRule="exact"/>
        <w:rPr>
          <w:rFonts w:ascii="Times New Roman" w:cs="Times New Roman" w:eastAsia="Times New Roman" w:hAnsi="Times New Roman"/>
          <w:sz w:val="18"/>
          <w:szCs w:val="18"/>
          <w:color w:val="auto"/>
        </w:rPr>
      </w:pPr>
    </w:p>
    <w:p>
      <w:pPr>
        <w:ind w:left="950" w:right="160" w:hanging="526"/>
        <w:spacing w:after="0" w:line="258" w:lineRule="auto"/>
        <w:tabs>
          <w:tab w:leader="none" w:pos="950"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8"/>
          <w:szCs w:val="18"/>
          <w:color w:val="auto"/>
        </w:rPr>
      </w:pPr>
    </w:p>
    <w:p>
      <w:pPr>
        <w:jc w:val="both"/>
        <w:ind w:left="950" w:right="320" w:hanging="526"/>
        <w:spacing w:after="0" w:line="300" w:lineRule="auto"/>
        <w:tabs>
          <w:tab w:leader="none" w:pos="950" w:val="left"/>
        </w:tabs>
        <w:numPr>
          <w:ilvl w:val="1"/>
          <w:numId w:val="9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7"/>
          <w:szCs w:val="17"/>
          <w:color w:val="auto"/>
        </w:rPr>
      </w:pPr>
    </w:p>
    <w:p>
      <w:pPr>
        <w:ind w:left="950" w:right="180" w:hanging="526"/>
        <w:spacing w:after="0" w:line="258" w:lineRule="auto"/>
        <w:tabs>
          <w:tab w:leader="none" w:pos="950"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Times New Roman" w:cs="Times New Roman" w:eastAsia="Times New Roman" w:hAnsi="Times New Roman"/>
          <w:sz w:val="18"/>
          <w:szCs w:val="18"/>
          <w:color w:val="auto"/>
        </w:rPr>
      </w:pPr>
    </w:p>
    <w:p>
      <w:pPr>
        <w:ind w:left="430" w:right="240" w:hanging="430"/>
        <w:spacing w:after="0" w:line="300" w:lineRule="auto"/>
        <w:tabs>
          <w:tab w:leader="none" w:pos="430" w:val="left"/>
        </w:tabs>
        <w:numPr>
          <w:ilvl w:val="0"/>
          <w:numId w:val="9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7"/>
          <w:szCs w:val="17"/>
          <w:color w:val="auto"/>
        </w:rPr>
      </w:pPr>
    </w:p>
    <w:p>
      <w:pPr>
        <w:ind w:left="950" w:right="560" w:hanging="526"/>
        <w:spacing w:after="0" w:line="300" w:lineRule="auto"/>
        <w:tabs>
          <w:tab w:leader="none" w:pos="950" w:val="left"/>
        </w:tabs>
        <w:numPr>
          <w:ilvl w:val="1"/>
          <w:numId w:val="9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7"/>
          <w:szCs w:val="17"/>
          <w:color w:val="auto"/>
        </w:rPr>
      </w:pPr>
    </w:p>
    <w:p>
      <w:pPr>
        <w:ind w:left="950" w:right="220" w:hanging="526"/>
        <w:spacing w:after="0" w:line="270" w:lineRule="auto"/>
        <w:tabs>
          <w:tab w:leader="none" w:pos="950"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Sandy Ran Xu</w:t>
            </w:r>
          </w:p>
        </w:tc>
      </w:tr>
      <w:tr>
        <w:trPr>
          <w:trHeight w:val="187"/>
        </w:trPr>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Sandy Ran Xu</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790"/>
          </w:cols>
          <w:pgMar w:left="550" w:top="119" w:right="559" w:bottom="1440" w:gutter="0" w:footer="0" w:header="0"/>
        </w:sectPr>
      </w:pPr>
    </w:p>
    <w:bookmarkStart w:id="669" w:name="page670"/>
    <w:bookmarkEnd w:id="669"/>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Ian Su Shan, certify that:</w:t>
      </w:r>
    </w:p>
    <w:p>
      <w:pPr>
        <w:spacing w:after="0" w:line="124" w:lineRule="exact"/>
        <w:rPr>
          <w:sz w:val="20"/>
          <w:szCs w:val="20"/>
          <w:color w:val="auto"/>
        </w:rPr>
      </w:pPr>
    </w:p>
    <w:p>
      <w:pPr>
        <w:ind w:left="430" w:hanging="430"/>
        <w:spacing w:after="0"/>
        <w:tabs>
          <w:tab w:leader="none" w:pos="430"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JD.com, Inc. (the “Company”);</w:t>
      </w:r>
    </w:p>
    <w:p>
      <w:pPr>
        <w:spacing w:after="0" w:line="123" w:lineRule="exact"/>
        <w:rPr>
          <w:rFonts w:ascii="Times New Roman" w:cs="Times New Roman" w:eastAsia="Times New Roman" w:hAnsi="Times New Roman"/>
          <w:sz w:val="18"/>
          <w:szCs w:val="18"/>
          <w:color w:val="auto"/>
        </w:rPr>
      </w:pPr>
    </w:p>
    <w:p>
      <w:pPr>
        <w:jc w:val="both"/>
        <w:ind w:left="430" w:right="120" w:hanging="430"/>
        <w:spacing w:after="0" w:line="258" w:lineRule="auto"/>
        <w:tabs>
          <w:tab w:leader="none" w:pos="430"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8"/>
          <w:szCs w:val="18"/>
          <w:color w:val="auto"/>
        </w:rPr>
      </w:pPr>
    </w:p>
    <w:p>
      <w:pPr>
        <w:ind w:left="430" w:right="80" w:hanging="430"/>
        <w:spacing w:after="0" w:line="270" w:lineRule="auto"/>
        <w:tabs>
          <w:tab w:leader="none" w:pos="430"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6" w:lineRule="exact"/>
        <w:rPr>
          <w:rFonts w:ascii="Times New Roman" w:cs="Times New Roman" w:eastAsia="Times New Roman" w:hAnsi="Times New Roman"/>
          <w:sz w:val="18"/>
          <w:szCs w:val="18"/>
          <w:color w:val="auto"/>
        </w:rPr>
      </w:pPr>
    </w:p>
    <w:p>
      <w:pPr>
        <w:ind w:left="430" w:right="280" w:hanging="430"/>
        <w:spacing w:after="0" w:line="270" w:lineRule="auto"/>
        <w:tabs>
          <w:tab w:leader="none" w:pos="430" w:val="left"/>
        </w:tabs>
        <w:numPr>
          <w:ilvl w:val="0"/>
          <w:numId w:val="9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106" w:lineRule="exact"/>
        <w:rPr>
          <w:rFonts w:ascii="Times New Roman" w:cs="Times New Roman" w:eastAsia="Times New Roman" w:hAnsi="Times New Roman"/>
          <w:sz w:val="17"/>
          <w:szCs w:val="17"/>
          <w:color w:val="auto"/>
        </w:rPr>
      </w:pPr>
    </w:p>
    <w:p>
      <w:pPr>
        <w:ind w:left="950" w:right="20" w:hanging="526"/>
        <w:spacing w:after="0" w:line="258" w:lineRule="auto"/>
        <w:tabs>
          <w:tab w:leader="none" w:pos="950" w:val="left"/>
        </w:tabs>
        <w:numPr>
          <w:ilvl w:val="1"/>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5" w:lineRule="exact"/>
        <w:rPr>
          <w:rFonts w:ascii="Times New Roman" w:cs="Times New Roman" w:eastAsia="Times New Roman" w:hAnsi="Times New Roman"/>
          <w:sz w:val="18"/>
          <w:szCs w:val="18"/>
          <w:color w:val="auto"/>
        </w:rPr>
      </w:pPr>
    </w:p>
    <w:p>
      <w:pPr>
        <w:ind w:left="950" w:right="160" w:hanging="526"/>
        <w:spacing w:after="0" w:line="258" w:lineRule="auto"/>
        <w:tabs>
          <w:tab w:leader="none" w:pos="950" w:val="left"/>
        </w:tabs>
        <w:numPr>
          <w:ilvl w:val="1"/>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8"/>
          <w:szCs w:val="18"/>
          <w:color w:val="auto"/>
        </w:rPr>
      </w:pPr>
    </w:p>
    <w:p>
      <w:pPr>
        <w:jc w:val="both"/>
        <w:ind w:left="950" w:right="320" w:hanging="526"/>
        <w:spacing w:after="0" w:line="300" w:lineRule="auto"/>
        <w:tabs>
          <w:tab w:leader="none" w:pos="950" w:val="left"/>
        </w:tabs>
        <w:numPr>
          <w:ilvl w:val="1"/>
          <w:numId w:val="9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7"/>
          <w:szCs w:val="17"/>
          <w:color w:val="auto"/>
        </w:rPr>
      </w:pPr>
    </w:p>
    <w:p>
      <w:pPr>
        <w:ind w:left="950" w:right="180" w:hanging="526"/>
        <w:spacing w:after="0" w:line="258" w:lineRule="auto"/>
        <w:tabs>
          <w:tab w:leader="none" w:pos="950" w:val="left"/>
        </w:tabs>
        <w:numPr>
          <w:ilvl w:val="1"/>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5" w:lineRule="exact"/>
        <w:rPr>
          <w:rFonts w:ascii="Times New Roman" w:cs="Times New Roman" w:eastAsia="Times New Roman" w:hAnsi="Times New Roman"/>
          <w:sz w:val="18"/>
          <w:szCs w:val="18"/>
          <w:color w:val="auto"/>
        </w:rPr>
      </w:pPr>
    </w:p>
    <w:p>
      <w:pPr>
        <w:ind w:left="430" w:right="240" w:hanging="430"/>
        <w:spacing w:after="0" w:line="300" w:lineRule="auto"/>
        <w:tabs>
          <w:tab w:leader="none" w:pos="430" w:val="left"/>
        </w:tabs>
        <w:numPr>
          <w:ilvl w:val="0"/>
          <w:numId w:val="9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7"/>
          <w:szCs w:val="17"/>
          <w:color w:val="auto"/>
        </w:rPr>
      </w:pPr>
    </w:p>
    <w:p>
      <w:pPr>
        <w:ind w:left="950" w:right="560" w:hanging="526"/>
        <w:spacing w:after="0" w:line="300" w:lineRule="auto"/>
        <w:tabs>
          <w:tab w:leader="none" w:pos="950" w:val="left"/>
        </w:tabs>
        <w:numPr>
          <w:ilvl w:val="1"/>
          <w:numId w:val="9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7"/>
          <w:szCs w:val="17"/>
          <w:color w:val="auto"/>
        </w:rPr>
      </w:pPr>
    </w:p>
    <w:p>
      <w:pPr>
        <w:ind w:left="950" w:right="220" w:hanging="526"/>
        <w:spacing w:after="0" w:line="270" w:lineRule="auto"/>
        <w:tabs>
          <w:tab w:leader="none" w:pos="950" w:val="left"/>
        </w:tabs>
        <w:numPr>
          <w:ilvl w:val="1"/>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Su Shan</w:t>
            </w:r>
          </w:p>
        </w:tc>
      </w:tr>
      <w:tr>
        <w:trPr>
          <w:trHeight w:val="187"/>
        </w:trPr>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Ian Su Shan</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790"/>
          </w:cols>
          <w:pgMar w:left="550" w:top="118" w:right="559" w:bottom="1440" w:gutter="0" w:footer="0" w:header="0"/>
        </w:sectPr>
      </w:pPr>
    </w:p>
    <w:bookmarkStart w:id="670" w:name="page671"/>
    <w:bookmarkEnd w:id="670"/>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9" w:lineRule="exact"/>
        <w:rPr>
          <w:sz w:val="20"/>
          <w:szCs w:val="20"/>
          <w:color w:val="auto"/>
        </w:rPr>
      </w:pPr>
    </w:p>
    <w:p>
      <w:pPr>
        <w:ind w:right="60" w:firstLine="43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JD.com, Inc. (the “Company”) on Form 20-F for the fiscal year ended December 31, 2025 as filed with the Securities and Exchange Commission on the date hereof (the “Report”), I, Sandy Ran Xu, Chief Executive Officer of the Company, certify, pursuant to 18 U.S.C. Section 1350, as adopted pursuant to Section 906 of the Sarbanes-Oxley Act of 2002, that to my knowledge:</w:t>
      </w:r>
    </w:p>
    <w:p>
      <w:pPr>
        <w:spacing w:after="0" w:line="86" w:lineRule="exact"/>
        <w:rPr>
          <w:sz w:val="20"/>
          <w:szCs w:val="20"/>
          <w:color w:val="auto"/>
        </w:rPr>
      </w:pPr>
    </w:p>
    <w:p>
      <w:pPr>
        <w:ind w:left="940" w:hanging="526"/>
        <w:spacing w:after="0"/>
        <w:tabs>
          <w:tab w:leader="none" w:pos="940"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940" w:right="380" w:hanging="526"/>
        <w:spacing w:after="0" w:line="270" w:lineRule="auto"/>
        <w:tabs>
          <w:tab w:leader="none" w:pos="940"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Sandy Ran Xu</w:t>
            </w:r>
          </w:p>
        </w:tc>
      </w:tr>
      <w:tr>
        <w:trPr>
          <w:trHeight w:val="187"/>
        </w:trPr>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Sandy Ran Xu</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780"/>
          </w:cols>
          <w:pgMar w:left="560" w:top="118" w:right="559" w:bottom="1440" w:gutter="0" w:footer="0" w:header="0"/>
        </w:sectPr>
      </w:pPr>
    </w:p>
    <w:bookmarkStart w:id="671" w:name="page672"/>
    <w:bookmarkEnd w:id="671"/>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9" w:lineRule="exact"/>
        <w:rPr>
          <w:sz w:val="20"/>
          <w:szCs w:val="20"/>
          <w:color w:val="auto"/>
        </w:rPr>
      </w:pPr>
    </w:p>
    <w:p>
      <w:pPr>
        <w:ind w:right="100" w:firstLine="43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of JD.com, Inc. (the “Company”) on Form 20-F for the fiscal year ended December 31, 2025 as filed with the Securities and Exchange Commission on the date hereof (the “Report”), I, Ian Su Shan, Chief Financial Officer of the Company, certify, pursuant to 18 U.S.C. Section 1350, as adopted pursuant to Section 906 of the Sarbanes-Oxley Act of 2002, that to my knowledge:</w:t>
      </w:r>
    </w:p>
    <w:p>
      <w:pPr>
        <w:spacing w:after="0" w:line="86" w:lineRule="exact"/>
        <w:rPr>
          <w:sz w:val="20"/>
          <w:szCs w:val="20"/>
          <w:color w:val="auto"/>
        </w:rPr>
      </w:pPr>
    </w:p>
    <w:p>
      <w:pPr>
        <w:ind w:left="940" w:hanging="526"/>
        <w:spacing w:after="0"/>
        <w:tabs>
          <w:tab w:leader="none" w:pos="940"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940" w:right="380" w:hanging="526"/>
        <w:spacing w:after="0" w:line="270" w:lineRule="auto"/>
        <w:tabs>
          <w:tab w:leader="none" w:pos="940"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Ian Su Shan</w:t>
            </w:r>
          </w:p>
        </w:tc>
      </w:tr>
      <w:tr>
        <w:trPr>
          <w:trHeight w:val="187"/>
        </w:trPr>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Ian Su Shan</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780"/>
          </w:cols>
          <w:pgMar w:left="560" w:top="119" w:right="559" w:bottom="1440" w:gutter="0" w:footer="0" w:header="0"/>
        </w:sectPr>
      </w:pPr>
    </w:p>
    <w:bookmarkStart w:id="672" w:name="page673"/>
    <w:bookmarkEnd w:id="672"/>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333-198578, No. 333-229957 and</w:t>
      </w:r>
    </w:p>
    <w:p>
      <w:pPr>
        <w:spacing w:after="0" w:line="22"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8"/>
          <w:szCs w:val="18"/>
          <w:color w:val="auto"/>
        </w:rPr>
        <w:t>No. 333-276218), and Registration Statements on Form F-3 (No. 333-235338 and No. 333-238952), of our reports dated April 16, 2026, relating to the financial statements of JD.com, Inc. and the effectiveness of JD.com, Inc.’s internal control over financial reporting appearing in this Annual Report on Form 20-F for the year ended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People’s Republic of China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ectPr>
          <w:pgSz w:w="11900" w:h="16838" w:orient="portrait"/>
          <w:cols w:equalWidth="0" w:num="1">
            <w:col w:w="10780"/>
          </w:cols>
          <w:pgMar w:left="560" w:top="119" w:right="559" w:bottom="1440" w:gutter="0" w:footer="0" w:header="0"/>
        </w:sectPr>
      </w:pPr>
    </w:p>
    <w:bookmarkStart w:id="673" w:name="page674"/>
    <w:bookmarkEnd w:id="67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JD.com,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20th Floor, Building A, No. 18 Kechuang 11 Street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Yizhuang Economic and Technological Development Zone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Daxing District, Beijing 101111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16" w:lineRule="exact"/>
        <w:rPr>
          <w:sz w:val="20"/>
          <w:szCs w:val="20"/>
          <w:color w:val="auto"/>
        </w:rPr>
      </w:pPr>
    </w:p>
    <w:p>
      <w:pPr>
        <w:ind w:right="140" w:firstLine="431"/>
        <w:spacing w:after="0" w:line="265" w:lineRule="auto"/>
        <w:rPr>
          <w:sz w:val="20"/>
          <w:szCs w:val="20"/>
          <w:color w:val="auto"/>
        </w:rPr>
      </w:pPr>
      <w:r>
        <w:rPr>
          <w:rFonts w:ascii="Times New Roman" w:cs="Times New Roman" w:eastAsia="Times New Roman" w:hAnsi="Times New Roman"/>
          <w:sz w:val="17"/>
          <w:szCs w:val="17"/>
          <w:color w:val="auto"/>
        </w:rPr>
        <w:t>We hereby consent to the reference of our name under the headings “Item 3.D. Key Information—Risk Factors—Risks Related to Our Corporate Structure” and “Item 4.C. Information on the Company—Organizational Structure” in JD.com, Inc.’s Annual Report on Form 20-F for the year ended December 31, 2025 (the “Annual Report”), which will be filed with the Securities and Exchange Commission (the “SEC”) on the date hereof, and further consent to the incorporation by reference into the Registration Statements on Form S-8 (File Nos. 333-276218, 333-229957 and</w:t>
      </w:r>
    </w:p>
    <w:p>
      <w:pPr>
        <w:ind w:right="100"/>
        <w:spacing w:after="0" w:line="247" w:lineRule="auto"/>
        <w:rPr>
          <w:sz w:val="20"/>
          <w:szCs w:val="20"/>
          <w:color w:val="auto"/>
        </w:rPr>
      </w:pPr>
      <w:r>
        <w:rPr>
          <w:rFonts w:ascii="Times New Roman" w:cs="Times New Roman" w:eastAsia="Times New Roman" w:hAnsi="Times New Roman"/>
          <w:sz w:val="18"/>
          <w:szCs w:val="18"/>
          <w:color w:val="auto"/>
        </w:rPr>
        <w:t>333-198578) pertaining to JD.com, Inc.’s share incentive plans of the summary of our opinion under the headings “Item 3.D. Key Information—Risk Factors—Risks Related to Our Corporate Structure” and “Item 4.C. Information on the Company—Organizational Structure” in the Annual Report. We also consent to the filing of this consent letter with the SEC as an exhibit to the Annual Report.</w:t>
      </w:r>
    </w:p>
    <w:p>
      <w:pPr>
        <w:spacing w:after="0" w:line="189" w:lineRule="exact"/>
        <w:rPr>
          <w:sz w:val="20"/>
          <w:szCs w:val="20"/>
          <w:color w:val="auto"/>
        </w:rPr>
      </w:pPr>
    </w:p>
    <w:p>
      <w:pPr>
        <w:ind w:right="340" w:firstLine="431"/>
        <w:spacing w:after="0" w:line="270" w:lineRule="auto"/>
        <w:rPr>
          <w:sz w:val="20"/>
          <w:szCs w:val="20"/>
          <w:color w:val="auto"/>
        </w:rPr>
      </w:pPr>
      <w:r>
        <w:rPr>
          <w:rFonts w:ascii="Times New Roman" w:cs="Times New Roman" w:eastAsia="Times New Roman" w:hAnsi="Times New Roman"/>
          <w:sz w:val="18"/>
          <w:szCs w:val="18"/>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Shihui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73685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1">
                      <a:extLst>
                        <a:ext uri="{28A0092B-C50C-407E-A947-70E740481C1C}"/>
                      </a:extLst>
                    </a:blip>
                    <a:srcRect/>
                    <a:stretch>
                      <a:fillRect/>
                    </a:stretch>
                  </pic:blipFill>
                  <pic:spPr bwMode="auto">
                    <a:xfrm>
                      <a:off x="0" y="0"/>
                      <a:ext cx="2736850" cy="8255"/>
                    </a:xfrm>
                    <a:prstGeom prst="rect">
                      <a:avLst/>
                    </a:prstGeom>
                    <a:noFill/>
                  </pic:spPr>
                </pic:pic>
              </a:graphicData>
            </a:graphic>
          </wp:anchor>
        </w:drawing>
      </w:r>
    </w:p>
    <w:sectPr>
      <w:pgSz w:w="11900" w:h="16838" w:orient="portrait"/>
      <w:cols w:equalWidth="0" w:num="1">
        <w:col w:w="10780"/>
      </w:cols>
      <w:pgMar w:left="560" w:top="11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7524CF0"/>
    <w:multiLevelType w:val="hybridMultilevel"/>
    <w:lvl w:ilvl="0">
      <w:lvlJc w:val="left"/>
      <w:lvlText w:val="☐"/>
      <w:numFmt w:val="bullet"/>
      <w:start w:val="1"/>
    </w:lvl>
  </w:abstractNum>
  <w:abstractNum w:abstractNumId="1">
    <w:nsid w:val="70CC332F"/>
    <w:multiLevelType w:val="hybridMultilevel"/>
    <w:lvl w:ilvl="0">
      <w:lvlJc w:val="left"/>
      <w:lvlText w:val="☒"/>
      <w:numFmt w:val="bullet"/>
      <w:start w:val="1"/>
    </w:lvl>
  </w:abstractNum>
  <w:abstractNum w:abstractNumId="2">
    <w:nsid w:val="5661786E"/>
    <w:multiLevelType w:val="hybridMultilevel"/>
    <w:lvl w:ilvl="0">
      <w:lvlJc w:val="left"/>
      <w:lvlText w:val="☐"/>
      <w:numFmt w:val="bullet"/>
      <w:start w:val="1"/>
    </w:lvl>
  </w:abstractNum>
  <w:abstractNum w:abstractNumId="3">
    <w:nsid w:val="3AF6A220"/>
    <w:multiLevelType w:val="hybridMultilevel"/>
    <w:lvl w:ilvl="0">
      <w:lvlJc w:val="left"/>
      <w:lvlText w:val="☐"/>
      <w:numFmt w:val="bullet"/>
      <w:start w:val="1"/>
    </w:lvl>
  </w:abstractNum>
  <w:abstractNum w:abstractNumId="4">
    <w:nsid w:val="3C5EA902"/>
    <w:multiLevelType w:val="hybridMultilevel"/>
    <w:lvl w:ilvl="0">
      <w:lvlJc w:val="left"/>
      <w:lvlText w:val="†"/>
      <w:numFmt w:val="bullet"/>
      <w:start w:val="1"/>
    </w:lvl>
  </w:abstractNum>
  <w:abstractNum w:abstractNumId="5">
    <w:nsid w:val="256E6749"/>
    <w:multiLevelType w:val="hybridMultilevel"/>
    <w:lvl w:ilvl="0">
      <w:lvlJc w:val="left"/>
      <w:lvlText w:val="•"/>
      <w:numFmt w:val="bullet"/>
      <w:start w:val="1"/>
    </w:lvl>
  </w:abstractNum>
  <w:abstractNum w:abstractNumId="6">
    <w:nsid w:val="1CB9A581"/>
    <w:multiLevelType w:val="hybridMultilevel"/>
    <w:lvl w:ilvl="0">
      <w:lvlJc w:val="left"/>
      <w:lvlText w:val="•"/>
      <w:numFmt w:val="bullet"/>
      <w:start w:val="1"/>
    </w:lvl>
  </w:abstractNum>
  <w:abstractNum w:abstractNumId="7">
    <w:nsid w:val="1F7F42E2"/>
    <w:multiLevelType w:val="hybridMultilevel"/>
    <w:lvl w:ilvl="0">
      <w:lvlJc w:val="left"/>
      <w:lvlText w:val="•"/>
      <w:numFmt w:val="bullet"/>
      <w:start w:val="1"/>
    </w:lvl>
  </w:abstractNum>
  <w:abstractNum w:abstractNumId="8">
    <w:nsid w:val="49D1FEA0"/>
    <w:multiLevelType w:val="hybridMultilevel"/>
    <w:lvl w:ilvl="0">
      <w:lvlJc w:val="left"/>
      <w:lvlText w:val="•"/>
      <w:numFmt w:val="bullet"/>
      <w:start w:val="1"/>
    </w:lvl>
  </w:abstractNum>
  <w:abstractNum w:abstractNumId="9">
    <w:nsid w:val="268CB37F"/>
    <w:multiLevelType w:val="hybridMultilevel"/>
    <w:lvl w:ilvl="0">
      <w:lvlJc w:val="left"/>
      <w:lvlText w:val="•"/>
      <w:numFmt w:val="bullet"/>
      <w:start w:val="1"/>
    </w:lvl>
  </w:abstractNum>
  <w:abstractNum w:abstractNumId="10">
    <w:nsid w:val="102362F8"/>
    <w:multiLevelType w:val="hybridMultilevel"/>
    <w:lvl w:ilvl="0">
      <w:lvlJc w:val="left"/>
      <w:lvlText w:val="•"/>
      <w:numFmt w:val="bullet"/>
      <w:start w:val="1"/>
    </w:lvl>
  </w:abstractNum>
  <w:abstractNum w:abstractNumId="11">
    <w:nsid w:val="5FEDC0E3"/>
    <w:multiLevelType w:val="hybridMultilevel"/>
    <w:lvl w:ilvl="0">
      <w:lvlJc w:val="left"/>
      <w:lvlText w:val="•"/>
      <w:numFmt w:val="bullet"/>
      <w:start w:val="1"/>
    </w:lvl>
  </w:abstractNum>
  <w:abstractNum w:abstractNumId="12">
    <w:nsid w:val="3D75BC47"/>
    <w:multiLevelType w:val="hybridMultilevel"/>
    <w:lvl w:ilvl="0">
      <w:lvlJc w:val="left"/>
      <w:lvlText w:val="•"/>
      <w:numFmt w:val="bullet"/>
      <w:start w:val="1"/>
    </w:lvl>
  </w:abstractNum>
  <w:abstractNum w:abstractNumId="13">
    <w:nsid w:val="3E30D969"/>
    <w:multiLevelType w:val="hybridMultilevel"/>
    <w:lvl w:ilvl="0">
      <w:lvlJc w:val="left"/>
      <w:lvlText w:val="•"/>
      <w:numFmt w:val="bullet"/>
      <w:start w:val="1"/>
    </w:lvl>
  </w:abstractNum>
  <w:abstractNum w:abstractNumId="14">
    <w:nsid w:val="18A35FE3"/>
    <w:multiLevelType w:val="hybridMultilevel"/>
    <w:lvl w:ilvl="0">
      <w:lvlJc w:val="left"/>
      <w:lvlText w:val="•"/>
      <w:numFmt w:val="bullet"/>
      <w:start w:val="1"/>
    </w:lvl>
  </w:abstractNum>
  <w:abstractNum w:abstractNumId="15">
    <w:nsid w:val="6DEF5211"/>
    <w:multiLevelType w:val="hybridMultilevel"/>
    <w:lvl w:ilvl="0">
      <w:lvlJc w:val="left"/>
      <w:lvlText w:val="•"/>
      <w:numFmt w:val="bullet"/>
      <w:start w:val="1"/>
    </w:lvl>
  </w:abstractNum>
  <w:abstractNum w:abstractNumId="16">
    <w:nsid w:val="1112DBB6"/>
    <w:multiLevelType w:val="hybridMultilevel"/>
    <w:lvl w:ilvl="0">
      <w:lvlJc w:val="left"/>
      <w:lvlText w:val="(%1)"/>
      <w:numFmt w:val="decimal"/>
      <w:start w:val="1"/>
    </w:lvl>
  </w:abstractNum>
  <w:abstractNum w:abstractNumId="17">
    <w:nsid w:val="2586A498"/>
    <w:multiLevelType w:val="hybridMultilevel"/>
    <w:lvl w:ilvl="0">
      <w:lvlJc w:val="left"/>
      <w:lvlText w:val="*"/>
      <w:numFmt w:val="bullet"/>
      <w:start w:val="1"/>
    </w:lvl>
  </w:abstractNum>
  <w:abstractNum w:abstractNumId="18">
    <w:nsid w:val="17A03BB9"/>
    <w:multiLevelType w:val="hybridMultilevel"/>
    <w:lvl w:ilvl="0">
      <w:lvlJc w:val="left"/>
      <w:lvlText w:val="%1."/>
      <w:numFmt w:val="upperLetter"/>
      <w:start w:val="1"/>
    </w:lvl>
  </w:abstractNum>
  <w:abstractNum w:abstractNumId="19">
    <w:nsid w:val="5CA941"/>
    <w:multiLevelType w:val="hybridMultilevel"/>
    <w:lvl w:ilvl="0">
      <w:lvlJc w:val="left"/>
      <w:lvlText w:val="*"/>
      <w:numFmt w:val="bullet"/>
      <w:start w:val="1"/>
    </w:lvl>
  </w:abstractNum>
  <w:abstractNum w:abstractNumId="20">
    <w:nsid w:val="734C7D9F"/>
    <w:multiLevelType w:val="hybridMultilevel"/>
    <w:lvl w:ilvl="0">
      <w:lvlJc w:val="left"/>
      <w:lvlText w:val="*"/>
      <w:numFmt w:val="bullet"/>
      <w:start w:val="1"/>
    </w:lvl>
  </w:abstractNum>
  <w:abstractNum w:abstractNumId="21">
    <w:nsid w:val="24F5D018"/>
    <w:multiLevelType w:val="hybridMultilevel"/>
    <w:lvl w:ilvl="0">
      <w:lvlJc w:val="left"/>
      <w:lvlText w:val="*"/>
      <w:numFmt w:val="bullet"/>
      <w:start w:val="1"/>
    </w:lvl>
  </w:abstractNum>
  <w:abstractNum w:abstractNumId="22">
    <w:nsid w:val="6780C122"/>
    <w:multiLevelType w:val="hybridMultilevel"/>
    <w:lvl w:ilvl="0">
      <w:lvlJc w:val="left"/>
      <w:lvlText w:val="*"/>
      <w:numFmt w:val="bullet"/>
      <w:start w:val="1"/>
    </w:lvl>
  </w:abstractNum>
  <w:abstractNum w:abstractNumId="23">
    <w:nsid w:val="534347A8"/>
    <w:multiLevelType w:val="hybridMultilevel"/>
    <w:lvl w:ilvl="0">
      <w:lvlJc w:val="left"/>
      <w:lvlText w:val="%1."/>
      <w:numFmt w:val="upperLetter"/>
      <w:start w:val="2"/>
    </w:lvl>
  </w:abstractNum>
  <w:abstractNum w:abstractNumId="24">
    <w:nsid w:val="5800E34B"/>
    <w:multiLevelType w:val="hybridMultilevel"/>
    <w:lvl w:ilvl="0">
      <w:lvlJc w:val="left"/>
      <w:lvlText w:val="•"/>
      <w:numFmt w:val="bullet"/>
      <w:start w:val="1"/>
    </w:lvl>
  </w:abstractNum>
  <w:abstractNum w:abstractNumId="25">
    <w:nsid w:val="1673EFC8"/>
    <w:multiLevelType w:val="hybridMultilevel"/>
    <w:lvl w:ilvl="0">
      <w:lvlJc w:val="left"/>
      <w:lvlText w:val="•"/>
      <w:numFmt w:val="bullet"/>
      <w:start w:val="1"/>
    </w:lvl>
  </w:abstractNum>
  <w:abstractNum w:abstractNumId="26">
    <w:nsid w:val="5B9B1FD"/>
    <w:multiLevelType w:val="hybridMultilevel"/>
    <w:lvl w:ilvl="0">
      <w:lvlJc w:val="left"/>
      <w:lvlText w:val="%1."/>
      <w:numFmt w:val="lowerLetter"/>
      <w:start w:val="1"/>
    </w:lvl>
  </w:abstractNum>
  <w:abstractNum w:abstractNumId="27">
    <w:nsid w:val="7AD7FCA2"/>
    <w:multiLevelType w:val="hybridMultilevel"/>
    <w:lvl w:ilvl="0">
      <w:lvlJc w:val="left"/>
      <w:lvlText w:val="•"/>
      <w:numFmt w:val="bullet"/>
      <w:start w:val="1"/>
    </w:lvl>
  </w:abstractNum>
  <w:abstractNum w:abstractNumId="28">
    <w:nsid w:val="63351604"/>
    <w:multiLevelType w:val="hybridMultilevel"/>
    <w:lvl w:ilvl="0">
      <w:lvlJc w:val="left"/>
      <w:lvlText w:val="•"/>
      <w:numFmt w:val="bullet"/>
      <w:start w:val="1"/>
    </w:lvl>
  </w:abstractNum>
  <w:abstractNum w:abstractNumId="29">
    <w:nsid w:val="E759D1A"/>
    <w:multiLevelType w:val="hybridMultilevel"/>
    <w:lvl w:ilvl="0">
      <w:lvlJc w:val="left"/>
      <w:lvlText w:val="•"/>
      <w:numFmt w:val="bullet"/>
      <w:start w:val="1"/>
    </w:lvl>
  </w:abstractNum>
  <w:abstractNum w:abstractNumId="30">
    <w:nsid w:val="6E3DEE90"/>
    <w:multiLevelType w:val="hybridMultilevel"/>
    <w:lvl w:ilvl="0">
      <w:lvlJc w:val="left"/>
      <w:lvlText w:val="•"/>
      <w:numFmt w:val="bullet"/>
      <w:start w:val="1"/>
    </w:lvl>
  </w:abstractNum>
  <w:abstractNum w:abstractNumId="31">
    <w:nsid w:val="1A8762F4"/>
    <w:multiLevelType w:val="hybridMultilevel"/>
    <w:lvl w:ilvl="0">
      <w:lvlJc w:val="left"/>
      <w:lvlText w:val="•"/>
      <w:numFmt w:val="bullet"/>
      <w:start w:val="1"/>
    </w:lvl>
  </w:abstractNum>
  <w:abstractNum w:abstractNumId="32">
    <w:nsid w:val="7F41D049"/>
    <w:multiLevelType w:val="hybridMultilevel"/>
    <w:lvl w:ilvl="0">
      <w:lvlJc w:val="left"/>
      <w:lvlText w:val="•"/>
      <w:numFmt w:val="bullet"/>
      <w:start w:val="1"/>
    </w:lvl>
  </w:abstractNum>
  <w:abstractNum w:abstractNumId="33">
    <w:nsid w:val="449F66FE"/>
    <w:multiLevelType w:val="hybridMultilevel"/>
    <w:lvl w:ilvl="0">
      <w:lvlJc w:val="left"/>
      <w:lvlText w:val="•"/>
      <w:numFmt w:val="bullet"/>
      <w:start w:val="1"/>
    </w:lvl>
  </w:abstractNum>
  <w:abstractNum w:abstractNumId="34">
    <w:nsid w:val="557E0515"/>
    <w:multiLevelType w:val="hybridMultilevel"/>
    <w:lvl w:ilvl="0">
      <w:lvlJc w:val="left"/>
      <w:lvlText w:val="•"/>
      <w:numFmt w:val="bullet"/>
      <w:start w:val="1"/>
    </w:lvl>
  </w:abstractNum>
  <w:abstractNum w:abstractNumId="35">
    <w:nsid w:val="3BA0794B"/>
    <w:multiLevelType w:val="hybridMultilevel"/>
    <w:lvl w:ilvl="0">
      <w:lvlJc w:val="left"/>
      <w:lvlText w:val="•"/>
      <w:numFmt w:val="bullet"/>
      <w:start w:val="1"/>
    </w:lvl>
  </w:abstractNum>
  <w:abstractNum w:abstractNumId="36">
    <w:nsid w:val="6A0DCE48"/>
    <w:multiLevelType w:val="hybridMultilevel"/>
    <w:lvl w:ilvl="0">
      <w:lvlJc w:val="left"/>
      <w:lvlText w:val="•"/>
      <w:numFmt w:val="bullet"/>
      <w:start w:val="1"/>
    </w:lvl>
  </w:abstractNum>
  <w:abstractNum w:abstractNumId="37">
    <w:nsid w:val="7237AA96"/>
    <w:multiLevelType w:val="hybridMultilevel"/>
    <w:lvl w:ilvl="0">
      <w:lvlJc w:val="left"/>
      <w:lvlText w:val="•"/>
      <w:numFmt w:val="bullet"/>
      <w:start w:val="1"/>
    </w:lvl>
  </w:abstractNum>
  <w:abstractNum w:abstractNumId="38">
    <w:nsid w:val="5B1FBC2D"/>
    <w:multiLevelType w:val="hybridMultilevel"/>
    <w:lvl w:ilvl="0">
      <w:lvlJc w:val="left"/>
      <w:lvlText w:val="%1."/>
      <w:numFmt w:val="upperLetter"/>
      <w:start w:val="1"/>
    </w:lvl>
  </w:abstractNum>
  <w:abstractNum w:abstractNumId="39">
    <w:nsid w:val="33DFCCE8"/>
    <w:multiLevelType w:val="hybridMultilevel"/>
    <w:lvl w:ilvl="0">
      <w:lvlJc w:val="left"/>
      <w:lvlText w:val="•"/>
      <w:numFmt w:val="bullet"/>
      <w:start w:val="1"/>
    </w:lvl>
  </w:abstractNum>
  <w:abstractNum w:abstractNumId="40">
    <w:nsid w:val="18C45E15"/>
    <w:multiLevelType w:val="hybridMultilevel"/>
    <w:lvl w:ilvl="0">
      <w:lvlJc w:val="left"/>
      <w:lvlText w:val="•"/>
      <w:numFmt w:val="bullet"/>
      <w:start w:val="1"/>
    </w:lvl>
  </w:abstractNum>
  <w:abstractNum w:abstractNumId="41">
    <w:nsid w:val="6B431F25"/>
    <w:multiLevelType w:val="hybridMultilevel"/>
    <w:lvl w:ilvl="0">
      <w:lvlJc w:val="left"/>
      <w:lvlText w:val="%1."/>
      <w:numFmt w:val="upperLetter"/>
      <w:start w:val="2"/>
    </w:lvl>
  </w:abstractNum>
  <w:abstractNum w:abstractNumId="42">
    <w:nsid w:val="13CD8DCB"/>
    <w:multiLevelType w:val="hybridMultilevel"/>
    <w:lvl w:ilvl="0">
      <w:lvlJc w:val="left"/>
      <w:lvlText w:val="•"/>
      <w:numFmt w:val="bullet"/>
      <w:start w:val="1"/>
    </w:lvl>
    <w:lvl w:ilvl="1">
      <w:lvlJc w:val="left"/>
      <w:lvlText w:val="•"/>
      <w:numFmt w:val="bullet"/>
      <w:start w:val="1"/>
    </w:lvl>
  </w:abstractNum>
  <w:abstractNum w:abstractNumId="43">
    <w:nsid w:val="563A1A5C"/>
    <w:multiLevelType w:val="hybridMultilevel"/>
    <w:lvl w:ilvl="0">
      <w:lvlJc w:val="left"/>
      <w:lvlText w:val="•"/>
      <w:numFmt w:val="bullet"/>
      <w:start w:val="1"/>
    </w:lvl>
  </w:abstractNum>
  <w:abstractNum w:abstractNumId="44">
    <w:nsid w:val="2973F88F"/>
    <w:multiLevelType w:val="hybridMultilevel"/>
    <w:lvl w:ilvl="0">
      <w:lvlJc w:val="left"/>
      <w:lvlText w:val="%1"/>
      <w:numFmt w:val="upperLetter"/>
      <w:start w:val="43"/>
    </w:lvl>
  </w:abstractNum>
  <w:abstractNum w:abstractNumId="45">
    <w:nsid w:val="2C70EDAE"/>
    <w:multiLevelType w:val="hybridMultilevel"/>
    <w:lvl w:ilvl="0">
      <w:lvlJc w:val="left"/>
      <w:lvlText w:val="(%1)"/>
      <w:numFmt w:val="lowerRoman"/>
      <w:start w:val="2"/>
    </w:lvl>
  </w:abstractNum>
  <w:abstractNum w:abstractNumId="46">
    <w:nsid w:val="44296C6D"/>
    <w:multiLevelType w:val="hybridMultilevel"/>
    <w:lvl w:ilvl="0">
      <w:lvlJc w:val="left"/>
      <w:lvlText w:val="•"/>
      <w:numFmt w:val="bullet"/>
      <w:start w:val="1"/>
    </w:lvl>
  </w:abstractNum>
  <w:abstractNum w:abstractNumId="47">
    <w:nsid w:val="3A86D445"/>
    <w:multiLevelType w:val="hybridMultilevel"/>
    <w:lvl w:ilvl="0">
      <w:lvlJc w:val="left"/>
      <w:lvlText w:val="•"/>
      <w:numFmt w:val="bullet"/>
      <w:start w:val="1"/>
    </w:lvl>
  </w:abstractNum>
  <w:abstractNum w:abstractNumId="48">
    <w:nsid w:val="51F79246"/>
    <w:multiLevelType w:val="hybridMultilevel"/>
    <w:lvl w:ilvl="0">
      <w:lvlJc w:val="left"/>
      <w:lvlText w:val="(%1)"/>
      <w:numFmt w:val="lowerRoman"/>
      <w:start w:val="5"/>
    </w:lvl>
  </w:abstractNum>
  <w:abstractNum w:abstractNumId="49">
    <w:nsid w:val="5BC9A827"/>
    <w:multiLevelType w:val="hybridMultilevel"/>
    <w:lvl w:ilvl="0">
      <w:lvlJc w:val="left"/>
      <w:lvlText w:val="(%1)"/>
      <w:numFmt w:val="lowerRoman"/>
      <w:start w:val="1"/>
    </w:lvl>
  </w:abstractNum>
  <w:abstractNum w:abstractNumId="50">
    <w:nsid w:val="3AE37D86"/>
    <w:multiLevelType w:val="hybridMultilevel"/>
    <w:lvl w:ilvl="0">
      <w:lvlJc w:val="left"/>
      <w:lvlText w:val="(%1)"/>
      <w:numFmt w:val="lowerRoman"/>
      <w:start w:val="5"/>
    </w:lvl>
  </w:abstractNum>
  <w:abstractNum w:abstractNumId="51">
    <w:nsid w:val="45440FE5"/>
    <w:multiLevelType w:val="hybridMultilevel"/>
    <w:lvl w:ilvl="0">
      <w:lvlJc w:val="left"/>
      <w:lvlText w:val="(%1)"/>
      <w:numFmt w:val="lowerRoman"/>
      <w:start w:val="7"/>
    </w:lvl>
  </w:abstractNum>
  <w:abstractNum w:abstractNumId="52">
    <w:nsid w:val="BF783F"/>
    <w:multiLevelType w:val="hybridMultilevel"/>
    <w:lvl w:ilvl="0">
      <w:lvlJc w:val="left"/>
      <w:lvlText w:val="(%1)"/>
      <w:numFmt w:val="lowerRoman"/>
      <w:start w:val="4"/>
    </w:lvl>
  </w:abstractNum>
  <w:abstractNum w:abstractNumId="53">
    <w:nsid w:val="22643EA9"/>
    <w:multiLevelType w:val="hybridMultilevel"/>
    <w:lvl w:ilvl="0">
      <w:lvlJc w:val="left"/>
      <w:lvlText w:val="•"/>
      <w:numFmt w:val="bullet"/>
      <w:start w:val="1"/>
    </w:lvl>
  </w:abstractNum>
  <w:abstractNum w:abstractNumId="54">
    <w:nsid w:val="1887578D"/>
    <w:multiLevelType w:val="hybridMultilevel"/>
    <w:lvl w:ilvl="0">
      <w:lvlJc w:val="left"/>
      <w:lvlText w:val="(%1)"/>
      <w:numFmt w:val="lowerRoman"/>
      <w:start w:val="1"/>
    </w:lvl>
  </w:abstractNum>
  <w:abstractNum w:abstractNumId="55">
    <w:nsid w:val="58C05B8A"/>
    <w:multiLevelType w:val="hybridMultilevel"/>
    <w:lvl w:ilvl="0">
      <w:lvlJc w:val="left"/>
      <w:lvlText w:val="%1."/>
      <w:numFmt w:val="upperLetter"/>
      <w:start w:val="3"/>
    </w:lvl>
  </w:abstractNum>
  <w:abstractNum w:abstractNumId="56">
    <w:nsid w:val="38D82E71"/>
    <w:multiLevelType w:val="hybridMultilevel"/>
    <w:lvl w:ilvl="0">
      <w:lvlJc w:val="left"/>
      <w:lvlText w:val="(%1)"/>
      <w:numFmt w:val="decimal"/>
      <w:start w:val="1"/>
    </w:lvl>
  </w:abstractNum>
  <w:abstractNum w:abstractNumId="57">
    <w:nsid w:val="1E41098A"/>
    <w:multiLevelType w:val="hybridMultilevel"/>
    <w:lvl w:ilvl="0">
      <w:lvlJc w:val="left"/>
      <w:lvlText w:val="*"/>
      <w:numFmt w:val="bullet"/>
      <w:start w:val="1"/>
    </w:lvl>
  </w:abstractNum>
  <w:abstractNum w:abstractNumId="58">
    <w:nsid w:val="5398582C"/>
    <w:multiLevelType w:val="hybridMultilevel"/>
    <w:lvl w:ilvl="0">
      <w:lvlJc w:val="left"/>
      <w:lvlText w:val="•"/>
      <w:numFmt w:val="bullet"/>
      <w:start w:val="1"/>
    </w:lvl>
  </w:abstractNum>
  <w:abstractNum w:abstractNumId="59">
    <w:nsid w:val="1C0D4475"/>
    <w:multiLevelType w:val="hybridMultilevel"/>
    <w:lvl w:ilvl="0">
      <w:lvlJc w:val="left"/>
      <w:lvlText w:val="•"/>
      <w:numFmt w:val="bullet"/>
      <w:start w:val="1"/>
    </w:lvl>
  </w:abstractNum>
  <w:abstractNum w:abstractNumId="60">
    <w:nsid w:val="2CB6A6A4"/>
    <w:multiLevelType w:val="hybridMultilevel"/>
    <w:lvl w:ilvl="0">
      <w:lvlJc w:val="left"/>
      <w:lvlText w:val="%1."/>
      <w:numFmt w:val="upperLetter"/>
      <w:start w:val="4"/>
    </w:lvl>
  </w:abstractNum>
  <w:abstractNum w:abstractNumId="61">
    <w:nsid w:val="41D646BC"/>
    <w:multiLevelType w:val="hybridMultilevel"/>
    <w:lvl w:ilvl="0">
      <w:lvlJc w:val="left"/>
      <w:lvlText w:val="%1."/>
      <w:numFmt w:val="upperLetter"/>
      <w:start w:val="1"/>
    </w:lvl>
  </w:abstractNum>
  <w:abstractNum w:abstractNumId="62">
    <w:nsid w:val="3694A76A"/>
    <w:multiLevelType w:val="hybridMultilevel"/>
    <w:lvl w:ilvl="0">
      <w:lvlJc w:val="left"/>
      <w:lvlText w:val="•"/>
      <w:numFmt w:val="bullet"/>
      <w:start w:val="1"/>
    </w:lvl>
  </w:abstractNum>
  <w:abstractNum w:abstractNumId="63">
    <w:nsid w:val="2BF876EE"/>
    <w:multiLevelType w:val="hybridMultilevel"/>
    <w:lvl w:ilvl="0">
      <w:lvlJc w:val="left"/>
      <w:lvlText w:val="(%1)"/>
      <w:numFmt w:val="decimal"/>
      <w:start w:val="1"/>
    </w:lvl>
  </w:abstractNum>
  <w:abstractNum w:abstractNumId="64">
    <w:nsid w:val="675ADBA"/>
    <w:multiLevelType w:val="hybridMultilevel"/>
    <w:lvl w:ilvl="0">
      <w:lvlJc w:val="left"/>
      <w:lvlText w:val="(%1)"/>
      <w:numFmt w:val="decimal"/>
      <w:start w:val="2"/>
    </w:lvl>
  </w:abstractNum>
  <w:abstractNum w:abstractNumId="65">
    <w:nsid w:val="C12AC7F"/>
    <w:multiLevelType w:val="hybridMultilevel"/>
    <w:lvl w:ilvl="0">
      <w:lvlJc w:val="left"/>
      <w:lvlText w:val="(%1)"/>
      <w:numFmt w:val="decimal"/>
      <w:start w:val="3"/>
    </w:lvl>
  </w:abstractNum>
  <w:abstractNum w:abstractNumId="66">
    <w:nsid w:val="6798F039"/>
    <w:multiLevelType w:val="hybridMultilevel"/>
    <w:lvl w:ilvl="0">
      <w:lvlJc w:val="left"/>
      <w:lvlText w:val="*"/>
      <w:numFmt w:val="bullet"/>
      <w:start w:val="1"/>
    </w:lvl>
  </w:abstractNum>
  <w:abstractNum w:abstractNumId="67">
    <w:nsid w:val="70837C02"/>
    <w:multiLevelType w:val="hybridMultilevel"/>
    <w:lvl w:ilvl="0">
      <w:lvlJc w:val="left"/>
      <w:lvlText w:val="**"/>
      <w:numFmt w:val="bullet"/>
      <w:start w:val="1"/>
    </w:lvl>
  </w:abstractNum>
  <w:abstractNum w:abstractNumId="68">
    <w:nsid w:val="7E4A5715"/>
    <w:multiLevelType w:val="hybridMultilevel"/>
    <w:lvl w:ilvl="0">
      <w:lvlJc w:val="left"/>
      <w:lvlText w:val="%1."/>
      <w:numFmt w:val="upperLetter"/>
      <w:start w:val="2"/>
    </w:lvl>
  </w:abstractNum>
  <w:abstractNum w:abstractNumId="69">
    <w:nsid w:val="42B8AC67"/>
    <w:multiLevelType w:val="hybridMultilevel"/>
    <w:lvl w:ilvl="0">
      <w:lvlJc w:val="left"/>
      <w:lvlText w:val="•"/>
      <w:numFmt w:val="bullet"/>
      <w:start w:val="1"/>
    </w:lvl>
  </w:abstractNum>
  <w:abstractNum w:abstractNumId="70">
    <w:nsid w:val="246348EA"/>
    <w:multiLevelType w:val="hybridMultilevel"/>
    <w:lvl w:ilvl="0">
      <w:lvlJc w:val="left"/>
      <w:lvlText w:val="•"/>
      <w:numFmt w:val="bullet"/>
      <w:start w:val="1"/>
    </w:lvl>
  </w:abstractNum>
  <w:abstractNum w:abstractNumId="71">
    <w:nsid w:val="170EB52B"/>
    <w:multiLevelType w:val="hybridMultilevel"/>
    <w:lvl w:ilvl="0">
      <w:lvlJc w:val="left"/>
      <w:lvlText w:val="•"/>
      <w:numFmt w:val="bullet"/>
      <w:start w:val="1"/>
    </w:lvl>
  </w:abstractNum>
  <w:abstractNum w:abstractNumId="72">
    <w:nsid w:val="2DFBCB8C"/>
    <w:multiLevelType w:val="hybridMultilevel"/>
    <w:lvl w:ilvl="0">
      <w:lvlJc w:val="left"/>
      <w:lvlText w:val="•"/>
      <w:numFmt w:val="bullet"/>
      <w:start w:val="1"/>
    </w:lvl>
  </w:abstractNum>
  <w:abstractNum w:abstractNumId="73">
    <w:nsid w:val="3830D6B6"/>
    <w:multiLevelType w:val="hybridMultilevel"/>
    <w:lvl w:ilvl="0">
      <w:lvlJc w:val="left"/>
      <w:lvlText w:val="(%1)"/>
      <w:numFmt w:val="decimal"/>
      <w:start w:val="1"/>
    </w:lvl>
  </w:abstractNum>
  <w:abstractNum w:abstractNumId="74">
    <w:nsid w:val="6D48CF87"/>
    <w:multiLevelType w:val="hybridMultilevel"/>
    <w:lvl w:ilvl="0">
      <w:lvlJc w:val="left"/>
      <w:lvlText w:val="%1."/>
      <w:numFmt w:val="upperLetter"/>
      <w:start w:val="3"/>
    </w:lvl>
  </w:abstractNum>
  <w:abstractNum w:abstractNumId="75">
    <w:nsid w:val="576FC41B"/>
    <w:multiLevelType w:val="hybridMultilevel"/>
    <w:lvl w:ilvl="0">
      <w:lvlJc w:val="left"/>
      <w:lvlText w:val="%1."/>
      <w:numFmt w:val="upperLetter"/>
      <w:start w:val="4"/>
    </w:lvl>
  </w:abstractNum>
  <w:abstractNum w:abstractNumId="76">
    <w:nsid w:val="64A1C464"/>
    <w:multiLevelType w:val="hybridMultilevel"/>
    <w:lvl w:ilvl="0">
      <w:lvlJc w:val="left"/>
      <w:lvlText w:val="%1."/>
      <w:numFmt w:val="upperLetter"/>
      <w:start w:val="5"/>
    </w:lvl>
  </w:abstractNum>
  <w:abstractNum w:abstractNumId="77">
    <w:nsid w:val="31723BF5"/>
    <w:multiLevelType w:val="hybridMultilevel"/>
    <w:lvl w:ilvl="0">
      <w:lvlJc w:val="left"/>
      <w:lvlText w:val="%1."/>
      <w:numFmt w:val="upperLetter"/>
      <w:start w:val="1"/>
    </w:lvl>
  </w:abstractNum>
  <w:abstractNum w:abstractNumId="78">
    <w:nsid w:val="11F69861"/>
    <w:multiLevelType w:val="hybridMultilevel"/>
    <w:lvl w:ilvl="0">
      <w:lvlJc w:val="left"/>
      <w:lvlText w:val="%1."/>
      <w:numFmt w:val="upperLetter"/>
      <w:start w:val="2"/>
    </w:lvl>
  </w:abstractNum>
  <w:abstractNum w:abstractNumId="79">
    <w:nsid w:val="369956AB"/>
    <w:multiLevelType w:val="hybridMultilevel"/>
    <w:lvl w:ilvl="0">
      <w:lvlJc w:val="left"/>
      <w:lvlText w:val="%1."/>
      <w:numFmt w:val="upperLetter"/>
      <w:start w:val="3"/>
    </w:lvl>
  </w:abstractNum>
  <w:abstractNum w:abstractNumId="80">
    <w:nsid w:val="D3BE41C"/>
    <w:multiLevelType w:val="hybridMultilevel"/>
    <w:lvl w:ilvl="0">
      <w:lvlJc w:val="left"/>
      <w:lvlText w:val="•"/>
      <w:numFmt w:val="bullet"/>
      <w:start w:val="1"/>
    </w:lvl>
  </w:abstractNum>
  <w:abstractNum w:abstractNumId="81">
    <w:nsid w:val="4CDA15E7"/>
    <w:multiLevelType w:val="hybridMultilevel"/>
    <w:lvl w:ilvl="0">
      <w:lvlJc w:val="left"/>
      <w:lvlText w:val="•"/>
      <w:numFmt w:val="bullet"/>
      <w:start w:val="1"/>
    </w:lvl>
  </w:abstractNum>
  <w:abstractNum w:abstractNumId="82">
    <w:nsid w:val="7BDD6690"/>
    <w:multiLevelType w:val="hybridMultilevel"/>
    <w:lvl w:ilvl="0">
      <w:lvlJc w:val="left"/>
      <w:lvlText w:val="•"/>
      <w:numFmt w:val="bullet"/>
      <w:start w:val="1"/>
    </w:lvl>
  </w:abstractNum>
  <w:abstractNum w:abstractNumId="83">
    <w:nsid w:val="DFB5C5B"/>
    <w:multiLevelType w:val="hybridMultilevel"/>
    <w:lvl w:ilvl="0">
      <w:lvlJc w:val="left"/>
      <w:lvlText w:val="•"/>
      <w:numFmt w:val="bullet"/>
      <w:start w:val="1"/>
    </w:lvl>
  </w:abstractNum>
  <w:abstractNum w:abstractNumId="84">
    <w:nsid w:val="6F3E5490"/>
    <w:multiLevelType w:val="hybridMultilevel"/>
    <w:lvl w:ilvl="0">
      <w:lvlJc w:val="left"/>
      <w:lvlText w:val="%1."/>
      <w:numFmt w:val="upperLetter"/>
      <w:start w:val="4"/>
    </w:lvl>
  </w:abstractNum>
  <w:abstractNum w:abstractNumId="85">
    <w:nsid w:val="1464BE1E"/>
    <w:multiLevelType w:val="hybridMultilevel"/>
    <w:lvl w:ilvl="0">
      <w:lvlJc w:val="left"/>
      <w:lvlText w:val="%1."/>
      <w:numFmt w:val="upperLetter"/>
      <w:start w:val="5"/>
    </w:lvl>
  </w:abstractNum>
  <w:abstractNum w:abstractNumId="86">
    <w:nsid w:val="66BBB7E5"/>
    <w:multiLevelType w:val="hybridMultilevel"/>
    <w:lvl w:ilvl="0">
      <w:lvlJc w:val="left"/>
      <w:lvlText w:val="•"/>
      <w:numFmt w:val="bullet"/>
      <w:start w:val="1"/>
    </w:lvl>
  </w:abstractNum>
  <w:abstractNum w:abstractNumId="87">
    <w:nsid w:val="28168302"/>
    <w:multiLevelType w:val="hybridMultilevel"/>
    <w:lvl w:ilvl="0">
      <w:lvlJc w:val="left"/>
      <w:lvlText w:val="*"/>
      <w:numFmt w:val="bullet"/>
      <w:start w:val="1"/>
    </w:lvl>
  </w:abstractNum>
  <w:abstractNum w:abstractNumId="88">
    <w:nsid w:val="32A5C7A8"/>
    <w:multiLevelType w:val="hybridMultilevel"/>
    <w:lvl w:ilvl="0">
      <w:lvlJc w:val="left"/>
      <w:lvlText w:val="(%1)"/>
      <w:numFmt w:val="decimal"/>
      <w:start w:val="1"/>
    </w:lvl>
  </w:abstractNum>
  <w:abstractNum w:abstractNumId="89">
    <w:nsid w:val="3A541011"/>
    <w:multiLevelType w:val="hybridMultilevel"/>
    <w:lvl w:ilvl="0">
      <w:lvlJc w:val="left"/>
      <w:lvlText w:val="%1."/>
      <w:numFmt w:val="upperLetter"/>
      <w:start w:val="6"/>
    </w:lvl>
  </w:abstractNum>
  <w:abstractNum w:abstractNumId="90">
    <w:nsid w:val="4423C777"/>
    <w:multiLevelType w:val="hybridMultilevel"/>
    <w:lvl w:ilvl="0">
      <w:lvlJc w:val="left"/>
      <w:lvlText w:val="%1."/>
      <w:numFmt w:val="upperLetter"/>
      <w:start w:val="1"/>
    </w:lvl>
  </w:abstractNum>
  <w:abstractNum w:abstractNumId="91">
    <w:nsid w:val="5F5C6E4D"/>
    <w:multiLevelType w:val="hybridMultilevel"/>
    <w:lvl w:ilvl="0">
      <w:lvlJc w:val="left"/>
      <w:lvlText w:val="%1."/>
      <w:numFmt w:val="upperLetter"/>
      <w:start w:val="2"/>
    </w:lvl>
  </w:abstractNum>
  <w:abstractNum w:abstractNumId="92">
    <w:nsid w:val="7C2A56CD"/>
    <w:multiLevelType w:val="hybridMultilevel"/>
    <w:lvl w:ilvl="0">
      <w:lvlJc w:val="left"/>
      <w:lvlText w:val="%1."/>
      <w:numFmt w:val="upperLetter"/>
      <w:start w:val="3"/>
    </w:lvl>
  </w:abstractNum>
  <w:abstractNum w:abstractNumId="93">
    <w:nsid w:val="7AB86EE1"/>
    <w:multiLevelType w:val="hybridMultilevel"/>
    <w:lvl w:ilvl="0">
      <w:lvlJc w:val="left"/>
      <w:lvlText w:val="%1."/>
      <w:numFmt w:val="upperLetter"/>
      <w:start w:val="1"/>
    </w:lvl>
  </w:abstractNum>
  <w:abstractNum w:abstractNumId="94">
    <w:nsid w:val="B54E53B"/>
    <w:multiLevelType w:val="hybridMultilevel"/>
    <w:lvl w:ilvl="0">
      <w:lvlJc w:val="left"/>
      <w:lvlText w:val="%1."/>
      <w:numFmt w:val="upperLetter"/>
      <w:start w:val="2"/>
    </w:lvl>
  </w:abstractNum>
  <w:abstractNum w:abstractNumId="95">
    <w:nsid w:val="2A00487"/>
    <w:multiLevelType w:val="hybridMultilevel"/>
    <w:lvl w:ilvl="0">
      <w:lvlJc w:val="left"/>
      <w:lvlText w:val="%1."/>
      <w:numFmt w:val="upperLetter"/>
      <w:start w:val="1"/>
    </w:lvl>
  </w:abstractNum>
  <w:abstractNum w:abstractNumId="96">
    <w:nsid w:val="6CB1B60"/>
    <w:multiLevelType w:val="hybridMultilevel"/>
    <w:lvl w:ilvl="0">
      <w:lvlJc w:val="left"/>
      <w:lvlText w:val="%1."/>
      <w:numFmt w:val="upperLetter"/>
      <w:start w:val="2"/>
    </w:lvl>
  </w:abstractNum>
  <w:abstractNum w:abstractNumId="97">
    <w:nsid w:val="72EDD574"/>
    <w:multiLevelType w:val="hybridMultilevel"/>
    <w:lvl w:ilvl="0">
      <w:lvlJc w:val="left"/>
      <w:lvlText w:val="%1."/>
      <w:numFmt w:val="upperLetter"/>
      <w:start w:val="4"/>
    </w:lvl>
  </w:abstractNum>
  <w:abstractNum w:abstractNumId="98">
    <w:nsid w:val="7323808A"/>
    <w:multiLevelType w:val="hybridMultilevel"/>
    <w:lvl w:ilvl="0">
      <w:lvlJc w:val="left"/>
      <w:lvlText w:val="%1."/>
      <w:numFmt w:val="upperLetter"/>
      <w:start w:val="6"/>
    </w:lvl>
  </w:abstractNum>
  <w:abstractNum w:abstractNumId="99">
    <w:nsid w:val="5157276"/>
    <w:multiLevelType w:val="hybridMultilevel"/>
    <w:lvl w:ilvl="0">
      <w:lvlJc w:val="left"/>
      <w:lvlText w:val="%1."/>
      <w:numFmt w:val="upperLetter"/>
      <w:start w:val="1"/>
    </w:lvl>
  </w:abstractNum>
  <w:abstractNum w:abstractNumId="100">
    <w:nsid w:val="35A681DB"/>
    <w:multiLevelType w:val="hybridMultilevel"/>
    <w:lvl w:ilvl="0">
      <w:lvlJc w:val="left"/>
      <w:lvlText w:val="%1."/>
      <w:numFmt w:val="upperLetter"/>
      <w:start w:val="2"/>
    </w:lvl>
  </w:abstractNum>
  <w:abstractNum w:abstractNumId="101">
    <w:nsid w:val="1786C974"/>
    <w:multiLevelType w:val="hybridMultilevel"/>
    <w:lvl w:ilvl="0">
      <w:lvlJc w:val="left"/>
      <w:lvlText w:val="(%1)"/>
      <w:numFmt w:val="lowerRoman"/>
      <w:start w:val="2"/>
    </w:lvl>
  </w:abstractNum>
  <w:abstractNum w:abstractNumId="102">
    <w:nsid w:val="1C2427A1"/>
    <w:multiLevelType w:val="hybridMultilevel"/>
    <w:lvl w:ilvl="0">
      <w:lvlJc w:val="left"/>
      <w:lvlText w:val="•"/>
      <w:numFmt w:val="bullet"/>
      <w:start w:val="1"/>
    </w:lvl>
  </w:abstractNum>
  <w:abstractNum w:abstractNumId="103">
    <w:nsid w:val="63A24D68"/>
    <w:multiLevelType w:val="hybridMultilevel"/>
    <w:lvl w:ilvl="0">
      <w:lvlJc w:val="left"/>
      <w:lvlText w:val="•"/>
      <w:numFmt w:val="bullet"/>
      <w:start w:val="1"/>
    </w:lvl>
  </w:abstractNum>
  <w:abstractNum w:abstractNumId="104">
    <w:nsid w:val="4FB7A02A"/>
    <w:multiLevelType w:val="hybridMultilevel"/>
    <w:lvl w:ilvl="0">
      <w:lvlJc w:val="left"/>
      <w:lvlText w:val="•"/>
      <w:numFmt w:val="bullet"/>
      <w:start w:val="1"/>
    </w:lvl>
  </w:abstractNum>
  <w:abstractNum w:abstractNumId="105">
    <w:nsid w:val="96CF728"/>
    <w:multiLevelType w:val="hybridMultilevel"/>
    <w:lvl w:ilvl="0">
      <w:lvlJc w:val="left"/>
      <w:lvlText w:val="•"/>
      <w:numFmt w:val="bullet"/>
      <w:start w:val="1"/>
    </w:lvl>
  </w:abstractNum>
  <w:abstractNum w:abstractNumId="106">
    <w:nsid w:val="3B121183"/>
    <w:multiLevelType w:val="hybridMultilevel"/>
    <w:lvl w:ilvl="0">
      <w:lvlJc w:val="left"/>
      <w:lvlText w:val="•"/>
      <w:numFmt w:val="bullet"/>
      <w:start w:val="1"/>
    </w:lvl>
  </w:abstractNum>
  <w:abstractNum w:abstractNumId="107">
    <w:nsid w:val="3459648F"/>
    <w:multiLevelType w:val="hybridMultilevel"/>
    <w:lvl w:ilvl="0">
      <w:lvlJc w:val="left"/>
      <w:lvlText w:val="%1."/>
      <w:numFmt w:val="upperLetter"/>
      <w:start w:val="3"/>
    </w:lvl>
  </w:abstractNum>
  <w:abstractNum w:abstractNumId="108">
    <w:nsid w:val="3ADF331D"/>
    <w:multiLevelType w:val="hybridMultilevel"/>
    <w:lvl w:ilvl="0">
      <w:lvlJc w:val="left"/>
      <w:lvlText w:val="%1."/>
      <w:numFmt w:val="upperLetter"/>
      <w:start w:val="4"/>
    </w:lvl>
  </w:abstractNum>
  <w:abstractNum w:abstractNumId="109">
    <w:nsid w:val="4D08A9E4"/>
    <w:multiLevelType w:val="hybridMultilevel"/>
    <w:lvl w:ilvl="0">
      <w:lvlJc w:val="left"/>
      <w:lvlText w:val="%1."/>
      <w:numFmt w:val="upperLetter"/>
      <w:start w:val="5"/>
    </w:lvl>
  </w:abstractNum>
  <w:abstractNum w:abstractNumId="110">
    <w:nsid w:val="6AF2BB3A"/>
    <w:multiLevelType w:val="hybridMultilevel"/>
    <w:lvl w:ilvl="0">
      <w:lvlJc w:val="left"/>
      <w:lvlText w:val="(%1)"/>
      <w:numFmt w:val="upperLetter"/>
      <w:start w:val="1"/>
    </w:lvl>
  </w:abstractNum>
  <w:abstractNum w:abstractNumId="111">
    <w:nsid w:val="481B1739"/>
    <w:multiLevelType w:val="hybridMultilevel"/>
    <w:lvl w:ilvl="0">
      <w:lvlJc w:val="left"/>
      <w:lvlText w:val="•"/>
      <w:numFmt w:val="bullet"/>
      <w:start w:val="1"/>
    </w:lvl>
  </w:abstractNum>
  <w:abstractNum w:abstractNumId="112">
    <w:nsid w:val="19E2BFCC"/>
    <w:multiLevelType w:val="hybridMultilevel"/>
    <w:lvl w:ilvl="0">
      <w:lvlJc w:val="left"/>
      <w:lvlText w:val="%1."/>
      <w:numFmt w:val="upperLetter"/>
      <w:start w:val="6"/>
    </w:lvl>
  </w:abstractNum>
  <w:abstractNum w:abstractNumId="113">
    <w:nsid w:val="66D021CA"/>
    <w:multiLevelType w:val="hybridMultilevel"/>
    <w:lvl w:ilvl="0">
      <w:lvlJc w:val="left"/>
      <w:lvlText w:val="%1."/>
      <w:numFmt w:val="upperLetter"/>
      <w:start w:val="8"/>
    </w:lvl>
  </w:abstractNum>
  <w:abstractNum w:abstractNumId="114">
    <w:nsid w:val="56167394"/>
    <w:multiLevelType w:val="hybridMultilevel"/>
    <w:lvl w:ilvl="0">
      <w:lvlJc w:val="left"/>
      <w:lvlText w:val="%1."/>
      <w:numFmt w:val="upperLetter"/>
      <w:start w:val="9"/>
    </w:lvl>
  </w:abstractNum>
  <w:abstractNum w:abstractNumId="115">
    <w:nsid w:val="921145C"/>
    <w:multiLevelType w:val="hybridMultilevel"/>
    <w:lvl w:ilvl="0">
      <w:lvlJc w:val="left"/>
      <w:lvlText w:val="%1."/>
      <w:numFmt w:val="upperLetter"/>
      <w:start w:val="1"/>
    </w:lvl>
  </w:abstractNum>
  <w:abstractNum w:abstractNumId="116">
    <w:nsid w:val="7B34DFE8"/>
    <w:multiLevelType w:val="hybridMultilevel"/>
    <w:lvl w:ilvl="0">
      <w:lvlJc w:val="left"/>
      <w:lvlText w:val="%1."/>
      <w:numFmt w:val="upperLetter"/>
      <w:start w:val="2"/>
    </w:lvl>
  </w:abstractNum>
  <w:abstractNum w:abstractNumId="117">
    <w:nsid w:val="3CD22B79"/>
    <w:multiLevelType w:val="hybridMultilevel"/>
    <w:lvl w:ilvl="0">
      <w:lvlJc w:val="left"/>
      <w:lvlText w:val="%1."/>
      <w:numFmt w:val="upperLetter"/>
      <w:start w:val="4"/>
    </w:lvl>
  </w:abstractNum>
  <w:abstractNum w:abstractNumId="118">
    <w:nsid w:val="3137975E"/>
    <w:multiLevelType w:val="hybridMultilevel"/>
    <w:lvl w:ilvl="0">
      <w:lvlJc w:val="left"/>
      <w:lvlText w:val="•"/>
      <w:numFmt w:val="bullet"/>
      <w:start w:val="1"/>
    </w:lvl>
  </w:abstractNum>
  <w:abstractNum w:abstractNumId="119">
    <w:nsid w:val="2DDAA791"/>
    <w:multiLevelType w:val="hybridMultilevel"/>
    <w:lvl w:ilvl="0">
      <w:lvlJc w:val="left"/>
      <w:lvlText w:val="•"/>
      <w:numFmt w:val="bullet"/>
      <w:start w:val="1"/>
    </w:lvl>
  </w:abstractNum>
  <w:abstractNum w:abstractNumId="120">
    <w:nsid w:val="77263B8A"/>
    <w:multiLevelType w:val="hybridMultilevel"/>
    <w:lvl w:ilvl="0">
      <w:lvlJc w:val="left"/>
      <w:lvlText w:val="•"/>
      <w:numFmt w:val="bullet"/>
      <w:start w:val="1"/>
    </w:lvl>
  </w:abstractNum>
  <w:abstractNum w:abstractNumId="121">
    <w:nsid w:val="755B5ED6"/>
    <w:multiLevelType w:val="hybridMultilevel"/>
    <w:lvl w:ilvl="0">
      <w:lvlJc w:val="left"/>
      <w:lvlText w:val="•"/>
      <w:numFmt w:val="bullet"/>
      <w:start w:val="1"/>
    </w:lvl>
  </w:abstractNum>
  <w:abstractNum w:abstractNumId="122">
    <w:nsid w:val="D3715DE"/>
    <w:multiLevelType w:val="hybridMultilevel"/>
    <w:lvl w:ilvl="0">
      <w:lvlJc w:val="left"/>
      <w:lvlText w:val="•"/>
      <w:numFmt w:val="bullet"/>
      <w:start w:val="1"/>
    </w:lvl>
  </w:abstractNum>
  <w:abstractNum w:abstractNumId="123">
    <w:nsid w:val="73509257"/>
    <w:multiLevelType w:val="hybridMultilevel"/>
    <w:lvl w:ilvl="0">
      <w:lvlJc w:val="left"/>
      <w:lvlText w:val="•"/>
      <w:numFmt w:val="bullet"/>
      <w:start w:val="1"/>
    </w:lvl>
  </w:abstractNum>
  <w:abstractNum w:abstractNumId="124">
    <w:nsid w:val="7013CDB7"/>
    <w:multiLevelType w:val="hybridMultilevel"/>
    <w:lvl w:ilvl="0">
      <w:lvlJc w:val="left"/>
      <w:lvlText w:val="•"/>
      <w:numFmt w:val="bullet"/>
      <w:start w:val="1"/>
    </w:lvl>
  </w:abstractNum>
  <w:abstractNum w:abstractNumId="125">
    <w:nsid w:val="188BFB19"/>
    <w:multiLevelType w:val="hybridMultilevel"/>
    <w:lvl w:ilvl="0">
      <w:lvlJc w:val="left"/>
      <w:lvlText w:val="•"/>
      <w:numFmt w:val="bullet"/>
      <w:start w:val="1"/>
    </w:lvl>
  </w:abstractNum>
  <w:abstractNum w:abstractNumId="126">
    <w:nsid w:val="75F096DF"/>
    <w:multiLevelType w:val="hybridMultilevel"/>
    <w:lvl w:ilvl="0">
      <w:lvlJc w:val="left"/>
      <w:lvlText w:val="•"/>
      <w:numFmt w:val="bullet"/>
      <w:start w:val="1"/>
    </w:lvl>
  </w:abstractNum>
  <w:abstractNum w:abstractNumId="127">
    <w:nsid w:val="76DEE918"/>
    <w:multiLevelType w:val="hybridMultilevel"/>
    <w:lvl w:ilvl="0">
      <w:lvlJc w:val="left"/>
      <w:lvlText w:val="(%1)"/>
      <w:numFmt w:val="decimal"/>
      <w:start w:val="1"/>
    </w:lvl>
  </w:abstractNum>
  <w:abstractNum w:abstractNumId="128">
    <w:nsid w:val="B79D08D"/>
    <w:multiLevelType w:val="hybridMultilevel"/>
    <w:lvl w:ilvl="0">
      <w:lvlJc w:val="left"/>
      <w:lvlText w:val=" "/>
      <w:numFmt w:val="bullet"/>
      <w:start w:val="1"/>
    </w:lvl>
  </w:abstractNum>
  <w:abstractNum w:abstractNumId="129">
    <w:nsid w:val="69141769"/>
    <w:multiLevelType w:val="hybridMultilevel"/>
    <w:lvl w:ilvl="0">
      <w:lvlJc w:val="left"/>
      <w:lvlText w:val=" "/>
      <w:numFmt w:val="bullet"/>
      <w:start w:val="1"/>
    </w:lvl>
  </w:abstractNum>
  <w:abstractNum w:abstractNumId="130">
    <w:nsid w:val="7BF45B8E"/>
    <w:multiLevelType w:val="hybridMultilevel"/>
    <w:lvl w:ilvl="0">
      <w:lvlJc w:val="left"/>
      <w:lvlText w:val=" "/>
      <w:numFmt w:val="bullet"/>
      <w:start w:val="1"/>
    </w:lvl>
  </w:abstractNum>
  <w:abstractNum w:abstractNumId="131">
    <w:nsid w:val="41205269"/>
    <w:multiLevelType w:val="hybridMultilevel"/>
    <w:lvl w:ilvl="0">
      <w:lvlJc w:val="left"/>
      <w:lvlText w:val=" "/>
      <w:numFmt w:val="bullet"/>
      <w:start w:val="1"/>
    </w:lvl>
  </w:abstractNum>
  <w:abstractNum w:abstractNumId="132">
    <w:nsid w:val="9AE0DD"/>
    <w:multiLevelType w:val="hybridMultilevel"/>
    <w:lvl w:ilvl="0">
      <w:lvlJc w:val="left"/>
      <w:lvlText w:val=" "/>
      <w:numFmt w:val="bullet"/>
      <w:start w:val="1"/>
    </w:lvl>
  </w:abstractNum>
  <w:abstractNum w:abstractNumId="133">
    <w:nsid w:val="1818832F"/>
    <w:multiLevelType w:val="hybridMultilevel"/>
    <w:lvl w:ilvl="0">
      <w:lvlJc w:val="left"/>
      <w:lvlText w:val=" "/>
      <w:numFmt w:val="bullet"/>
      <w:start w:val="1"/>
    </w:lvl>
    <w:lvl w:ilvl="1">
      <w:lvlJc w:val="left"/>
      <w:lvlText w:val="•"/>
      <w:numFmt w:val="bullet"/>
      <w:start w:val="1"/>
    </w:lvl>
  </w:abstractNum>
  <w:abstractNum w:abstractNumId="134">
    <w:nsid w:val="24C29FD1"/>
    <w:multiLevelType w:val="hybridMultilevel"/>
    <w:lvl w:ilvl="0">
      <w:lvlJc w:val="left"/>
      <w:lvlText w:val=" "/>
      <w:numFmt w:val="bullet"/>
      <w:start w:val="1"/>
    </w:lvl>
    <w:lvl w:ilvl="1">
      <w:lvlJc w:val="left"/>
      <w:lvlText w:val="•"/>
      <w:numFmt w:val="bullet"/>
      <w:start w:val="1"/>
    </w:lvl>
  </w:abstractNum>
  <w:abstractNum w:abstractNumId="135">
    <w:nsid w:val="50528108"/>
    <w:multiLevelType w:val="hybridMultilevel"/>
    <w:lvl w:ilvl="0">
      <w:lvlJc w:val="left"/>
      <w:lvlText w:val=" "/>
      <w:numFmt w:val="bullet"/>
      <w:start w:val="1"/>
    </w:lvl>
    <w:lvl w:ilvl="1">
      <w:lvlJc w:val="left"/>
      <w:lvlText w:val="•"/>
      <w:numFmt w:val="bullet"/>
      <w:start w:val="1"/>
    </w:lvl>
  </w:abstractNum>
  <w:abstractNum w:abstractNumId="136">
    <w:nsid w:val="21857A57"/>
    <w:multiLevelType w:val="hybridMultilevel"/>
    <w:lvl w:ilvl="0">
      <w:lvlJc w:val="left"/>
      <w:lvlText w:val=" "/>
      <w:numFmt w:val="bullet"/>
      <w:start w:val="1"/>
    </w:lvl>
  </w:abstractNum>
  <w:abstractNum w:abstractNumId="137">
    <w:nsid w:val="5FD4B154"/>
    <w:multiLevelType w:val="hybridMultilevel"/>
    <w:lvl w:ilvl="0">
      <w:lvlJc w:val="left"/>
      <w:lvlText w:val=" "/>
      <w:numFmt w:val="bullet"/>
      <w:start w:val="1"/>
    </w:lvl>
  </w:abstractNum>
  <w:abstractNum w:abstractNumId="138">
    <w:nsid w:val="4ABE597"/>
    <w:multiLevelType w:val="hybridMultilevel"/>
    <w:lvl w:ilvl="0">
      <w:lvlJc w:val="left"/>
      <w:lvlText w:val=" "/>
      <w:numFmt w:val="bullet"/>
      <w:start w:val="1"/>
    </w:lvl>
  </w:abstractNum>
  <w:abstractNum w:abstractNumId="139">
    <w:nsid w:val="5C64AD75"/>
    <w:multiLevelType w:val="hybridMultilevel"/>
    <w:lvl w:ilvl="0">
      <w:lvlJc w:val="left"/>
      <w:lvlText w:val="*"/>
      <w:numFmt w:val="bullet"/>
      <w:start w:val="1"/>
    </w:lvl>
  </w:abstractNum>
  <w:abstractNum w:abstractNumId="140">
    <w:nsid w:val="2CDD5B39"/>
    <w:multiLevelType w:val="hybridMultilevel"/>
    <w:lvl w:ilvl="0">
      <w:lvlJc w:val="left"/>
      <w:lvlText w:val="**"/>
      <w:numFmt w:val="bullet"/>
      <w:start w:val="1"/>
    </w:lvl>
  </w:abstractNum>
  <w:abstractNum w:abstractNumId="141">
    <w:nsid w:val="6F9EA0D1"/>
    <w:multiLevelType w:val="hybridMultilevel"/>
    <w:lvl w:ilvl="0">
      <w:lvlJc w:val="left"/>
      <w:lvlText w:val="†"/>
      <w:numFmt w:val="bullet"/>
      <w:start w:val="1"/>
    </w:lvl>
  </w:abstractNum>
  <w:abstractNum w:abstractNumId="142">
    <w:nsid w:val="247FC4AE"/>
    <w:multiLevelType w:val="hybridMultilevel"/>
    <w:lvl w:ilvl="0">
      <w:lvlJc w:val="left"/>
      <w:lvlText w:val="(%1)"/>
      <w:numFmt w:val="decimal"/>
      <w:start w:val="2"/>
    </w:lvl>
  </w:abstractNum>
  <w:abstractNum w:abstractNumId="143">
    <w:nsid w:val="46C01B05"/>
    <w:multiLevelType w:val="hybridMultilevel"/>
    <w:lvl w:ilvl="0">
      <w:lvlJc w:val="left"/>
      <w:lvlText w:val="•"/>
      <w:numFmt w:val="bullet"/>
      <w:start w:val="1"/>
    </w:lvl>
    <w:lvl w:ilvl="1">
      <w:lvlJc w:val="left"/>
      <w:lvlText w:val="•"/>
      <w:numFmt w:val="bullet"/>
      <w:start w:val="1"/>
    </w:lvl>
  </w:abstractNum>
  <w:abstractNum w:abstractNumId="144">
    <w:nsid w:val="566EC29B"/>
    <w:multiLevelType w:val="hybridMultilevel"/>
    <w:lvl w:ilvl="0">
      <w:lvlJc w:val="left"/>
      <w:lvlText w:val="•"/>
      <w:numFmt w:val="bullet"/>
      <w:start w:val="1"/>
    </w:lvl>
    <w:lvl w:ilvl="1">
      <w:lvlJc w:val="left"/>
      <w:lvlText w:val="•"/>
      <w:numFmt w:val="bullet"/>
      <w:start w:val="1"/>
    </w:lvl>
  </w:abstractNum>
  <w:abstractNum w:abstractNumId="145">
    <w:nsid w:val="7A963843"/>
    <w:multiLevelType w:val="hybridMultilevel"/>
    <w:lvl w:ilvl="0">
      <w:lvlJc w:val="left"/>
      <w:lvlText w:val="%1."/>
      <w:numFmt w:val="decimal"/>
      <w:start w:val="1"/>
    </w:lvl>
  </w:abstractNum>
  <w:abstractNum w:abstractNumId="146">
    <w:nsid w:val="4FE12F61"/>
    <w:multiLevelType w:val="hybridMultilevel"/>
    <w:lvl w:ilvl="0">
      <w:lvlJc w:val="left"/>
      <w:lvlText w:val="%1."/>
      <w:numFmt w:val="decimal"/>
      <w:start w:val="1"/>
    </w:lvl>
  </w:abstractNum>
  <w:abstractNum w:abstractNumId="147">
    <w:nsid w:val="51A3A284"/>
    <w:multiLevelType w:val="hybridMultilevel"/>
    <w:lvl w:ilvl="0">
      <w:lvlJc w:val="left"/>
      <w:lvlText w:val="%1."/>
      <w:numFmt w:val="decimal"/>
      <w:start w:val="1"/>
    </w:lvl>
  </w:abstractNum>
  <w:abstractNum w:abstractNumId="148">
    <w:nsid w:val="376863BC"/>
    <w:multiLevelType w:val="hybridMultilevel"/>
    <w:lvl w:ilvl="0">
      <w:lvlJc w:val="left"/>
      <w:lvlText w:val="%1."/>
      <w:numFmt w:val="decimal"/>
      <w:start w:val="1"/>
    </w:lvl>
  </w:abstractNum>
  <w:abstractNum w:abstractNumId="149">
    <w:nsid w:val="118C6C0"/>
    <w:multiLevelType w:val="hybridMultilevel"/>
    <w:lvl w:ilvl="0">
      <w:lvlJc w:val="left"/>
      <w:lvlText w:val="%1."/>
      <w:numFmt w:val="decimal"/>
      <w:start w:val="1"/>
    </w:lvl>
  </w:abstractNum>
  <w:abstractNum w:abstractNumId="150">
    <w:nsid w:val="7F7E4A15"/>
    <w:multiLevelType w:val="hybridMultilevel"/>
    <w:lvl w:ilvl="0">
      <w:lvlJc w:val="left"/>
      <w:lvlText w:val="%1."/>
      <w:numFmt w:val="decimal"/>
      <w:start w:val="1"/>
    </w:lvl>
  </w:abstractNum>
  <w:abstractNum w:abstractNumId="151">
    <w:nsid w:val="2E8E9F47"/>
    <w:multiLevelType w:val="hybridMultilevel"/>
    <w:lvl w:ilvl="0">
      <w:lvlJc w:val="left"/>
      <w:lvlText w:val="%1."/>
      <w:numFmt w:val="decimal"/>
      <w:start w:val="2"/>
    </w:lvl>
  </w:abstractNum>
  <w:abstractNum w:abstractNumId="152">
    <w:nsid w:val="76742596"/>
    <w:multiLevelType w:val="hybridMultilevel"/>
    <w:lvl w:ilvl="0">
      <w:lvlJc w:val="left"/>
      <w:lvlText w:val="%1."/>
      <w:numFmt w:val="decimal"/>
      <w:start w:val="2"/>
    </w:lvl>
  </w:abstractNum>
  <w:abstractNum w:abstractNumId="153">
    <w:nsid w:val="CB55FF3"/>
    <w:multiLevelType w:val="hybridMultilevel"/>
    <w:lvl w:ilvl="0">
      <w:lvlJc w:val="left"/>
      <w:lvlText w:val="%1."/>
      <w:numFmt w:val="decimal"/>
      <w:start w:val="2"/>
    </w:lvl>
  </w:abstractNum>
  <w:abstractNum w:abstractNumId="154">
    <w:nsid w:val="21DF319E"/>
    <w:multiLevelType w:val="hybridMultilevel"/>
    <w:lvl w:ilvl="0">
      <w:lvlJc w:val="left"/>
      <w:lvlText w:val="%1."/>
      <w:numFmt w:val="decimal"/>
      <w:start w:val="2"/>
    </w:lvl>
  </w:abstractNum>
  <w:abstractNum w:abstractNumId="155">
    <w:nsid w:val="6687F34D"/>
    <w:multiLevelType w:val="hybridMultilevel"/>
    <w:lvl w:ilvl="0">
      <w:lvlJc w:val="left"/>
      <w:lvlText w:val="%1."/>
      <w:numFmt w:val="decimal"/>
      <w:start w:val="2"/>
    </w:lvl>
  </w:abstractNum>
  <w:abstractNum w:abstractNumId="156">
    <w:nsid w:val="25415B0C"/>
    <w:multiLevelType w:val="hybridMultilevel"/>
    <w:lvl w:ilvl="0">
      <w:lvlJc w:val="left"/>
      <w:lvlText w:val="%1."/>
      <w:numFmt w:val="decimal"/>
      <w:start w:val="2"/>
    </w:lvl>
  </w:abstractNum>
  <w:abstractNum w:abstractNumId="157">
    <w:nsid w:val="17CFC87D"/>
    <w:multiLevelType w:val="hybridMultilevel"/>
    <w:lvl w:ilvl="0">
      <w:lvlJc w:val="left"/>
      <w:lvlText w:val="%1."/>
      <w:numFmt w:val="decimal"/>
      <w:start w:val="2"/>
    </w:lvl>
  </w:abstractNum>
  <w:abstractNum w:abstractNumId="158">
    <w:nsid w:val="5D66DC65"/>
    <w:multiLevelType w:val="hybridMultilevel"/>
    <w:lvl w:ilvl="0">
      <w:lvlJc w:val="left"/>
      <w:lvlText w:val="%1."/>
      <w:numFmt w:val="decimal"/>
      <w:start w:val="2"/>
    </w:lvl>
  </w:abstractNum>
  <w:abstractNum w:abstractNumId="159">
    <w:nsid w:val="30BB2B99"/>
    <w:multiLevelType w:val="hybridMultilevel"/>
    <w:lvl w:ilvl="0">
      <w:lvlJc w:val="left"/>
      <w:lvlText w:val="%1."/>
      <w:numFmt w:val="decimal"/>
      <w:start w:val="2"/>
    </w:lvl>
  </w:abstractNum>
  <w:abstractNum w:abstractNumId="160">
    <w:nsid w:val="E3DFE6"/>
    <w:multiLevelType w:val="hybridMultilevel"/>
    <w:lvl w:ilvl="0">
      <w:lvlJc w:val="left"/>
      <w:lvlText w:val="%1."/>
      <w:numFmt w:val="decimal"/>
      <w:start w:val="2"/>
    </w:lvl>
  </w:abstractNum>
  <w:abstractNum w:abstractNumId="161">
    <w:nsid w:val="595B37F3"/>
    <w:multiLevelType w:val="hybridMultilevel"/>
    <w:lvl w:ilvl="0">
      <w:lvlJc w:val="left"/>
      <w:lvlText w:val="%1."/>
      <w:numFmt w:val="decimal"/>
      <w:start w:val="2"/>
    </w:lvl>
  </w:abstractNum>
  <w:abstractNum w:abstractNumId="162">
    <w:nsid w:val="71DB7E02"/>
    <w:multiLevelType w:val="hybridMultilevel"/>
    <w:lvl w:ilvl="0">
      <w:lvlJc w:val="left"/>
      <w:lvlText w:val="%1."/>
      <w:numFmt w:val="decimal"/>
      <w:start w:val="2"/>
    </w:lvl>
  </w:abstractNum>
  <w:abstractNum w:abstractNumId="163">
    <w:nsid w:val="17EC0C4"/>
    <w:multiLevelType w:val="hybridMultilevel"/>
    <w:lvl w:ilvl="0">
      <w:lvlJc w:val="left"/>
      <w:lvlText w:val="%1."/>
      <w:numFmt w:val="decimal"/>
      <w:start w:val="2"/>
    </w:lvl>
  </w:abstractNum>
  <w:abstractNum w:abstractNumId="164">
    <w:nsid w:val="7173BB22"/>
    <w:multiLevelType w:val="hybridMultilevel"/>
    <w:lvl w:ilvl="0">
      <w:lvlJc w:val="left"/>
      <w:lvlText w:val="%1."/>
      <w:numFmt w:val="decimal"/>
      <w:start w:val="2"/>
    </w:lvl>
  </w:abstractNum>
  <w:abstractNum w:abstractNumId="165">
    <w:nsid w:val="169E1DD3"/>
    <w:multiLevelType w:val="hybridMultilevel"/>
    <w:lvl w:ilvl="0">
      <w:lvlJc w:val="left"/>
      <w:lvlText w:val="%1."/>
      <w:numFmt w:val="decimal"/>
      <w:start w:val="2"/>
    </w:lvl>
  </w:abstractNum>
  <w:abstractNum w:abstractNumId="166">
    <w:nsid w:val="51D141CC"/>
    <w:multiLevelType w:val="hybridMultilevel"/>
    <w:lvl w:ilvl="0">
      <w:lvlJc w:val="left"/>
      <w:lvlText w:val="%1."/>
      <w:numFmt w:val="decimal"/>
      <w:start w:val="2"/>
    </w:lvl>
  </w:abstractNum>
  <w:abstractNum w:abstractNumId="167">
    <w:nsid w:val="12F9357A"/>
    <w:multiLevelType w:val="hybridMultilevel"/>
    <w:lvl w:ilvl="0">
      <w:lvlJc w:val="left"/>
      <w:lvlText w:val="%1."/>
      <w:numFmt w:val="decimal"/>
      <w:start w:val="2"/>
    </w:lvl>
  </w:abstractNum>
  <w:abstractNum w:abstractNumId="168">
    <w:nsid w:val="7672CF28"/>
    <w:multiLevelType w:val="hybridMultilevel"/>
    <w:lvl w:ilvl="0">
      <w:lvlJc w:val="left"/>
      <w:lvlText w:val="%1."/>
      <w:numFmt w:val="decimal"/>
      <w:start w:val="2"/>
    </w:lvl>
  </w:abstractNum>
  <w:abstractNum w:abstractNumId="169">
    <w:nsid w:val="567D2763"/>
    <w:multiLevelType w:val="hybridMultilevel"/>
    <w:lvl w:ilvl="0">
      <w:lvlJc w:val="left"/>
      <w:lvlText w:val="%1."/>
      <w:numFmt w:val="decimal"/>
      <w:start w:val="3"/>
    </w:lvl>
  </w:abstractNum>
  <w:abstractNum w:abstractNumId="170">
    <w:nsid w:val="6F5DE2EF"/>
    <w:multiLevelType w:val="hybridMultilevel"/>
    <w:lvl w:ilvl="0">
      <w:lvlJc w:val="left"/>
      <w:lvlText w:val="%1."/>
      <w:numFmt w:val="decimal"/>
      <w:start w:val="4"/>
    </w:lvl>
  </w:abstractNum>
  <w:abstractNum w:abstractNumId="171">
    <w:nsid w:val="23502A61"/>
    <w:multiLevelType w:val="hybridMultilevel"/>
    <w:lvl w:ilvl="0">
      <w:lvlJc w:val="left"/>
      <w:lvlText w:val="%1."/>
      <w:numFmt w:val="decimal"/>
      <w:start w:val="4"/>
    </w:lvl>
  </w:abstractNum>
  <w:abstractNum w:abstractNumId="172">
    <w:nsid w:val="461BC834"/>
    <w:multiLevelType w:val="hybridMultilevel"/>
    <w:lvl w:ilvl="0">
      <w:lvlJc w:val="left"/>
      <w:lvlText w:val="%1."/>
      <w:numFmt w:val="decimal"/>
      <w:start w:val="4"/>
    </w:lvl>
  </w:abstractNum>
  <w:abstractNum w:abstractNumId="173">
    <w:nsid w:val="13DDA79D"/>
    <w:multiLevelType w:val="hybridMultilevel"/>
    <w:lvl w:ilvl="0">
      <w:lvlJc w:val="left"/>
      <w:lvlText w:val="%1."/>
      <w:numFmt w:val="decimal"/>
      <w:start w:val="5"/>
    </w:lvl>
  </w:abstractNum>
  <w:abstractNum w:abstractNumId="174">
    <w:nsid w:val="6A104566"/>
    <w:multiLevelType w:val="hybridMultilevel"/>
    <w:lvl w:ilvl="0">
      <w:lvlJc w:val="left"/>
      <w:lvlText w:val="%1."/>
      <w:numFmt w:val="decimal"/>
      <w:start w:val="6"/>
    </w:lvl>
  </w:abstractNum>
  <w:abstractNum w:abstractNumId="175">
    <w:nsid w:val="1C8A8ACF"/>
    <w:multiLevelType w:val="hybridMultilevel"/>
    <w:lvl w:ilvl="0">
      <w:lvlJc w:val="left"/>
      <w:lvlText w:val="%1."/>
      <w:numFmt w:val="decimal"/>
      <w:start w:val="6"/>
    </w:lvl>
  </w:abstractNum>
  <w:abstractNum w:abstractNumId="176">
    <w:nsid w:val="E73DFE0"/>
    <w:multiLevelType w:val="hybridMultilevel"/>
    <w:lvl w:ilvl="0">
      <w:lvlJc w:val="left"/>
      <w:lvlText w:val="%1."/>
      <w:numFmt w:val="decimal"/>
      <w:start w:val="6"/>
    </w:lvl>
  </w:abstractNum>
  <w:abstractNum w:abstractNumId="177">
    <w:nsid w:val="39F174C7"/>
    <w:multiLevelType w:val="hybridMultilevel"/>
    <w:lvl w:ilvl="0">
      <w:lvlJc w:val="left"/>
      <w:lvlText w:val="(*)"/>
      <w:numFmt w:val="bullet"/>
      <w:start w:val="1"/>
    </w:lvl>
  </w:abstractNum>
  <w:abstractNum w:abstractNumId="178">
    <w:nsid w:val="6E2E2D53"/>
    <w:multiLevelType w:val="hybridMultilevel"/>
    <w:lvl w:ilvl="0">
      <w:lvlJc w:val="left"/>
      <w:lvlText w:val="%1."/>
      <w:numFmt w:val="decimal"/>
      <w:start w:val="11"/>
    </w:lvl>
  </w:abstractNum>
  <w:abstractNum w:abstractNumId="179">
    <w:nsid w:val="45DC439D"/>
    <w:multiLevelType w:val="hybridMultilevel"/>
    <w:lvl w:ilvl="0">
      <w:lvlJc w:val="left"/>
      <w:lvlText w:val="%1."/>
      <w:numFmt w:val="decimal"/>
      <w:start w:val="12"/>
    </w:lvl>
  </w:abstractNum>
  <w:abstractNum w:abstractNumId="180">
    <w:nsid w:val="3B0A3B87"/>
    <w:multiLevelType w:val="hybridMultilevel"/>
    <w:lvl w:ilvl="0">
      <w:lvlJc w:val="left"/>
      <w:lvlText w:val="%1."/>
      <w:numFmt w:val="decimal"/>
      <w:start w:val="13"/>
    </w:lvl>
  </w:abstractNum>
  <w:abstractNum w:abstractNumId="181">
    <w:nsid w:val="6DAC7768"/>
    <w:multiLevelType w:val="hybridMultilevel"/>
    <w:lvl w:ilvl="0">
      <w:lvlJc w:val="left"/>
      <w:lvlText w:val="%1."/>
      <w:numFmt w:val="decimal"/>
      <w:start w:val="15"/>
    </w:lvl>
  </w:abstractNum>
  <w:abstractNum w:abstractNumId="182">
    <w:nsid w:val="746AE2E4"/>
    <w:multiLevelType w:val="hybridMultilevel"/>
    <w:lvl w:ilvl="0">
      <w:lvlJc w:val="left"/>
      <w:lvlText w:val="%1."/>
      <w:numFmt w:val="decimal"/>
      <w:start w:val="15"/>
    </w:lvl>
  </w:abstractNum>
  <w:abstractNum w:abstractNumId="183">
    <w:nsid w:val="317E611D"/>
    <w:multiLevelType w:val="hybridMultilevel"/>
    <w:lvl w:ilvl="0">
      <w:lvlJc w:val="left"/>
      <w:lvlText w:val="%1."/>
      <w:numFmt w:val="decimal"/>
      <w:start w:val="16"/>
    </w:lvl>
  </w:abstractNum>
  <w:abstractNum w:abstractNumId="184">
    <w:nsid w:val="7A61D75B"/>
    <w:multiLevelType w:val="hybridMultilevel"/>
    <w:lvl w:ilvl="0">
      <w:lvlJc w:val="left"/>
      <w:lvlText w:val="%1."/>
      <w:numFmt w:val="decimal"/>
      <w:start w:val="17"/>
    </w:lvl>
  </w:abstractNum>
  <w:abstractNum w:abstractNumId="185">
    <w:nsid w:val="164A1482"/>
    <w:multiLevelType w:val="hybridMultilevel"/>
    <w:lvl w:ilvl="0">
      <w:lvlJc w:val="left"/>
      <w:lvlText w:val="%1."/>
      <w:numFmt w:val="decimal"/>
      <w:start w:val="19"/>
    </w:lvl>
  </w:abstractNum>
  <w:abstractNum w:abstractNumId="186">
    <w:nsid w:val="1806546B"/>
    <w:multiLevelType w:val="hybridMultilevel"/>
    <w:lvl w:ilvl="0">
      <w:lvlJc w:val="left"/>
      <w:lvlText w:val="%1."/>
      <w:numFmt w:val="lowerLetter"/>
      <w:start w:val="1"/>
    </w:lvl>
  </w:abstractNum>
  <w:abstractNum w:abstractNumId="187">
    <w:nsid w:val="1FA33267"/>
    <w:multiLevelType w:val="hybridMultilevel"/>
    <w:lvl w:ilvl="0">
      <w:lvlJc w:val="left"/>
      <w:lvlText w:val="%1."/>
      <w:numFmt w:val="lowerLetter"/>
      <w:start w:val="2"/>
    </w:lvl>
  </w:abstractNum>
  <w:abstractNum w:abstractNumId="188">
    <w:nsid w:val="2E19DD00"/>
    <w:multiLevelType w:val="hybridMultilevel"/>
    <w:lvl w:ilvl="0">
      <w:lvlJc w:val="left"/>
      <w:lvlText w:val="%1."/>
      <w:numFmt w:val="decimal"/>
      <w:start w:val="19"/>
    </w:lvl>
  </w:abstractNum>
  <w:abstractNum w:abstractNumId="189">
    <w:nsid w:val="756D30D0"/>
    <w:multiLevelType w:val="hybridMultilevel"/>
    <w:lvl w:ilvl="0">
      <w:lvlJc w:val="left"/>
      <w:lvlText w:val="%1."/>
      <w:numFmt w:val="lowerLetter"/>
      <w:start w:val="2"/>
    </w:lvl>
  </w:abstractNum>
  <w:abstractNum w:abstractNumId="190">
    <w:nsid w:val="505E5E01"/>
    <w:multiLevelType w:val="hybridMultilevel"/>
    <w:lvl w:ilvl="0">
      <w:lvlJc w:val="left"/>
      <w:lvlText w:val="%1."/>
      <w:numFmt w:val="decimal"/>
      <w:start w:val="19"/>
    </w:lvl>
  </w:abstractNum>
  <w:abstractNum w:abstractNumId="191">
    <w:nsid w:val="2EFDBCE6"/>
    <w:multiLevelType w:val="hybridMultilevel"/>
    <w:lvl w:ilvl="0">
      <w:lvlJc w:val="left"/>
      <w:lvlText w:val="%1."/>
      <w:numFmt w:val="lowerLetter"/>
      <w:start w:val="2"/>
    </w:lvl>
  </w:abstractNum>
  <w:abstractNum w:abstractNumId="192">
    <w:nsid w:val="4EC868C4"/>
    <w:multiLevelType w:val="hybridMultilevel"/>
    <w:lvl w:ilvl="0">
      <w:lvlJc w:val="left"/>
      <w:lvlText w:val="%1."/>
      <w:numFmt w:val="decimal"/>
      <w:start w:val="19"/>
    </w:lvl>
  </w:abstractNum>
  <w:abstractNum w:abstractNumId="193">
    <w:nsid w:val="4239DC03"/>
    <w:multiLevelType w:val="hybridMultilevel"/>
    <w:lvl w:ilvl="0">
      <w:lvlJc w:val="left"/>
      <w:lvlText w:val="%1."/>
      <w:numFmt w:val="lowerLetter"/>
      <w:start w:val="2"/>
    </w:lvl>
  </w:abstractNum>
  <w:abstractNum w:abstractNumId="194">
    <w:nsid w:val="307C7DAA"/>
    <w:multiLevelType w:val="hybridMultilevel"/>
    <w:lvl w:ilvl="0">
      <w:lvlJc w:val="left"/>
      <w:lvlText w:val="%1."/>
      <w:numFmt w:val="decimal"/>
      <w:start w:val="19"/>
    </w:lvl>
  </w:abstractNum>
  <w:abstractNum w:abstractNumId="195">
    <w:nsid w:val="403C23E6"/>
    <w:multiLevelType w:val="hybridMultilevel"/>
    <w:lvl w:ilvl="0">
      <w:lvlJc w:val="left"/>
      <w:lvlText w:val="%1."/>
      <w:numFmt w:val="lowerLetter"/>
      <w:start w:val="2"/>
    </w:lvl>
  </w:abstractNum>
  <w:abstractNum w:abstractNumId="196">
    <w:nsid w:val="58D7F9D7"/>
    <w:multiLevelType w:val="hybridMultilevel"/>
    <w:lvl w:ilvl="0">
      <w:lvlJc w:val="left"/>
      <w:lvlText w:val="%1."/>
      <w:numFmt w:val="decimal"/>
      <w:start w:val="19"/>
    </w:lvl>
  </w:abstractNum>
  <w:abstractNum w:abstractNumId="197">
    <w:nsid w:val="24DBF76"/>
    <w:multiLevelType w:val="hybridMultilevel"/>
    <w:lvl w:ilvl="0">
      <w:lvlJc w:val="left"/>
      <w:lvlText w:val="%1."/>
      <w:numFmt w:val="lowerLetter"/>
      <w:start w:val="2"/>
    </w:lvl>
  </w:abstractNum>
  <w:abstractNum w:abstractNumId="198">
    <w:nsid w:val="53355960"/>
    <w:multiLevelType w:val="hybridMultilevel"/>
    <w:lvl w:ilvl="0">
      <w:lvlJc w:val="left"/>
      <w:lvlText w:val="(%1)"/>
      <w:numFmt w:val="lowerRoman"/>
      <w:start w:val="1"/>
    </w:lvl>
  </w:abstractNum>
  <w:abstractNum w:abstractNumId="199">
    <w:nsid w:val="4F4AC8FF"/>
    <w:multiLevelType w:val="hybridMultilevel"/>
    <w:lvl w:ilvl="0">
      <w:lvlJc w:val="left"/>
      <w:lvlText w:val="%1."/>
      <w:numFmt w:val="decimal"/>
      <w:start w:val="20"/>
    </w:lvl>
  </w:abstractNum>
  <w:abstractNum w:abstractNumId="200">
    <w:nsid w:val="58CAE6D9"/>
    <w:multiLevelType w:val="hybridMultilevel"/>
    <w:lvl w:ilvl="0">
      <w:lvlJc w:val="left"/>
      <w:lvlText w:val="%1."/>
      <w:numFmt w:val="decimal"/>
      <w:start w:val="21"/>
    </w:lvl>
  </w:abstractNum>
  <w:abstractNum w:abstractNumId="201">
    <w:nsid w:val="42933C4F"/>
    <w:multiLevelType w:val="hybridMultilevel"/>
    <w:lvl w:ilvl="0">
      <w:lvlJc w:val="left"/>
      <w:lvlText w:val="%1."/>
      <w:numFmt w:val="decimal"/>
      <w:start w:val="22"/>
    </w:lvl>
  </w:abstractNum>
  <w:abstractNum w:abstractNumId="202">
    <w:nsid w:val="729AF360"/>
    <w:multiLevelType w:val="hybridMultilevel"/>
    <w:lvl w:ilvl="0">
      <w:lvlJc w:val="left"/>
      <w:lvlText w:val="%1."/>
      <w:numFmt w:val="decimal"/>
      <w:start w:val="23"/>
    </w:lvl>
  </w:abstractNum>
  <w:abstractNum w:abstractNumId="203">
    <w:nsid w:val="1EE6AF0D"/>
    <w:multiLevelType w:val="hybridMultilevel"/>
    <w:lvl w:ilvl="0">
      <w:lvlJc w:val="left"/>
      <w:lvlText w:val="%1."/>
      <w:numFmt w:val="decimal"/>
      <w:start w:val="24"/>
    </w:lvl>
  </w:abstractNum>
  <w:abstractNum w:abstractNumId="204">
    <w:nsid w:val="5670E3ED"/>
    <w:multiLevelType w:val="hybridMultilevel"/>
    <w:lvl w:ilvl="0">
      <w:lvlJc w:val="left"/>
      <w:lvlText w:val="%1."/>
      <w:numFmt w:val="decimal"/>
      <w:start w:val="25"/>
    </w:lvl>
  </w:abstractNum>
  <w:abstractNum w:abstractNumId="205">
    <w:nsid w:val="5CAB38C6"/>
    <w:multiLevelType w:val="hybridMultilevel"/>
    <w:lvl w:ilvl="0">
      <w:lvlJc w:val="left"/>
      <w:lvlText w:val="%1."/>
      <w:numFmt w:val="decimal"/>
      <w:start w:val="25"/>
    </w:lvl>
  </w:abstractNum>
  <w:abstractNum w:abstractNumId="206">
    <w:nsid w:val="3B7139DD"/>
    <w:multiLevelType w:val="hybridMultilevel"/>
    <w:lvl w:ilvl="0">
      <w:lvlJc w:val="left"/>
      <w:lvlText w:val="(%1)"/>
      <w:numFmt w:val="decimal"/>
      <w:start w:val="1"/>
    </w:lvl>
  </w:abstractNum>
  <w:abstractNum w:abstractNumId="207">
    <w:nsid w:val="64E4C3CD"/>
    <w:multiLevelType w:val="hybridMultilevel"/>
    <w:lvl w:ilvl="0">
      <w:lvlJc w:val="left"/>
      <w:lvlText w:val="%1."/>
      <w:numFmt w:val="decimal"/>
      <w:start w:val="25"/>
    </w:lvl>
  </w:abstractNum>
  <w:abstractNum w:abstractNumId="208">
    <w:nsid w:val="169CAD8D"/>
    <w:multiLevelType w:val="hybridMultilevel"/>
    <w:lvl w:ilvl="0">
      <w:lvlJc w:val="left"/>
      <w:lvlText w:val="(%1)"/>
      <w:numFmt w:val="decimal"/>
      <w:start w:val="1"/>
    </w:lvl>
  </w:abstractNum>
  <w:abstractNum w:abstractNumId="209">
    <w:nsid w:val="299F6730"/>
    <w:multiLevelType w:val="hybridMultilevel"/>
    <w:lvl w:ilvl="0">
      <w:lvlJc w:val="left"/>
      <w:lvlText w:val="%1."/>
      <w:numFmt w:val="decimal"/>
      <w:start w:val="25"/>
    </w:lvl>
  </w:abstractNum>
  <w:abstractNum w:abstractNumId="210">
    <w:nsid w:val="2AC1076A"/>
    <w:multiLevelType w:val="hybridMultilevel"/>
    <w:lvl w:ilvl="0">
      <w:lvlJc w:val="left"/>
      <w:lvlText w:val="(%1)"/>
      <w:numFmt w:val="decimal"/>
      <w:start w:val="1"/>
    </w:lvl>
  </w:abstractNum>
  <w:abstractNum w:abstractNumId="211">
    <w:nsid w:val="51A6E915"/>
    <w:multiLevelType w:val="hybridMultilevel"/>
    <w:lvl w:ilvl="0">
      <w:lvlJc w:val="left"/>
      <w:lvlText w:val="(%1)"/>
      <w:numFmt w:val="lowerRoman"/>
      <w:start w:val="1"/>
    </w:lvl>
  </w:abstractNum>
  <w:abstractNum w:abstractNumId="212">
    <w:nsid w:val="174BDE99"/>
    <w:multiLevelType w:val="hybridMultilevel"/>
    <w:lvl w:ilvl="0">
      <w:lvlJc w:val="left"/>
      <w:lvlText w:val="(%1)"/>
      <w:numFmt w:val="decimal"/>
      <w:start w:val="2"/>
    </w:lvl>
  </w:abstractNum>
  <w:abstractNum w:abstractNumId="213">
    <w:nsid w:val="1F2BEA4E"/>
    <w:multiLevelType w:val="hybridMultilevel"/>
    <w:lvl w:ilvl="0">
      <w:lvlJc w:val="left"/>
      <w:lvlText w:val="%1."/>
      <w:numFmt w:val="decimal"/>
      <w:start w:val="25"/>
    </w:lvl>
  </w:abstractNum>
  <w:abstractNum w:abstractNumId="214">
    <w:nsid w:val="3254A32"/>
    <w:multiLevelType w:val="hybridMultilevel"/>
    <w:lvl w:ilvl="0">
      <w:lvlJc w:val="left"/>
      <w:lvlText w:val="(%1)"/>
      <w:numFmt w:val="decimal"/>
      <w:start w:val="2"/>
    </w:lvl>
  </w:abstractNum>
  <w:abstractNum w:abstractNumId="215">
    <w:nsid w:val="11ADB5F4"/>
    <w:multiLevelType w:val="hybridMultilevel"/>
    <w:lvl w:ilvl="0">
      <w:lvlJc w:val="left"/>
      <w:lvlText w:val="%1."/>
      <w:numFmt w:val="decimal"/>
      <w:start w:val="26"/>
    </w:lvl>
  </w:abstractNum>
  <w:abstractNum w:abstractNumId="216">
    <w:nsid w:val="3575FED1"/>
    <w:multiLevelType w:val="hybridMultilevel"/>
    <w:lvl w:ilvl="0">
      <w:lvlJc w:val="left"/>
      <w:lvlText w:val="%1."/>
      <w:numFmt w:val="decimal"/>
      <w:start w:val="27"/>
    </w:lvl>
  </w:abstractNum>
  <w:abstractNum w:abstractNumId="217">
    <w:nsid w:val="1B2B9E9D"/>
    <w:multiLevelType w:val="hybridMultilevel"/>
    <w:lvl w:ilvl="0">
      <w:lvlJc w:val="left"/>
      <w:lvlText w:val="(%1)"/>
      <w:numFmt w:val="decimal"/>
      <w:start w:val="1"/>
    </w:lvl>
  </w:abstractNum>
  <w:abstractNum w:abstractNumId="218">
    <w:nsid w:val="3150E85C"/>
    <w:multiLevelType w:val="hybridMultilevel"/>
    <w:lvl w:ilvl="0">
      <w:lvlJc w:val="left"/>
      <w:lvlText w:val="%1."/>
      <w:numFmt w:val="decimal"/>
      <w:start w:val="27"/>
    </w:lvl>
  </w:abstractNum>
  <w:abstractNum w:abstractNumId="219">
    <w:nsid w:val="638FDBD1"/>
    <w:multiLevelType w:val="hybridMultilevel"/>
    <w:lvl w:ilvl="0">
      <w:lvlJc w:val="left"/>
      <w:lvlText w:val="(%1)"/>
      <w:numFmt w:val="lowerLetter"/>
      <w:start w:val="2"/>
    </w:lvl>
  </w:abstractNum>
  <w:abstractNum w:abstractNumId="220">
    <w:nsid w:val="1098CF6E"/>
    <w:multiLevelType w:val="hybridMultilevel"/>
    <w:lvl w:ilvl="0">
      <w:lvlJc w:val="left"/>
      <w:lvlText w:val="(%1)"/>
      <w:numFmt w:val="lowerLetter"/>
      <w:start w:val="3"/>
    </w:lvl>
  </w:abstractNum>
  <w:abstractNum w:abstractNumId="221">
    <w:nsid w:val="1AF465D"/>
    <w:multiLevelType w:val="hybridMultilevel"/>
    <w:lvl w:ilvl="0">
      <w:lvlJc w:val="left"/>
      <w:lvlText w:val="%1."/>
      <w:numFmt w:val="decimal"/>
      <w:start w:val="28"/>
    </w:lvl>
  </w:abstractNum>
  <w:abstractNum w:abstractNumId="222">
    <w:nsid w:val="128D98B7"/>
    <w:multiLevelType w:val="hybridMultilevel"/>
    <w:lvl w:ilvl="0">
      <w:lvlJc w:val="left"/>
      <w:lvlText w:val="%1."/>
      <w:numFmt w:val="decimal"/>
      <w:start w:val="28"/>
    </w:lvl>
  </w:abstractNum>
  <w:abstractNum w:abstractNumId="223">
    <w:nsid w:val="5F613832"/>
    <w:multiLevelType w:val="hybridMultilevel"/>
    <w:lvl w:ilvl="0">
      <w:lvlJc w:val="left"/>
      <w:lvlText w:val="(%1)"/>
      <w:numFmt w:val="decimal"/>
      <w:start w:val="1"/>
    </w:lvl>
  </w:abstractNum>
  <w:abstractNum w:abstractNumId="224">
    <w:nsid w:val="43E92260"/>
    <w:multiLevelType w:val="hybridMultilevel"/>
    <w:lvl w:ilvl="0">
      <w:lvlJc w:val="left"/>
      <w:lvlText w:val="%1."/>
      <w:numFmt w:val="decimal"/>
      <w:start w:val="28"/>
    </w:lvl>
  </w:abstractNum>
  <w:abstractNum w:abstractNumId="225">
    <w:nsid w:val="430A1662"/>
    <w:multiLevelType w:val="hybridMultilevel"/>
    <w:lvl w:ilvl="0">
      <w:lvlJc w:val="left"/>
      <w:lvlText w:val="(%1)"/>
      <w:numFmt w:val="decimal"/>
      <w:start w:val="3"/>
    </w:lvl>
  </w:abstractNum>
  <w:abstractNum w:abstractNumId="226">
    <w:nsid w:val="1F9D5C18"/>
    <w:multiLevelType w:val="hybridMultilevel"/>
    <w:lvl w:ilvl="0">
      <w:lvlJc w:val="left"/>
      <w:lvlText w:val="%1."/>
      <w:numFmt w:val="decimal"/>
      <w:start w:val="29"/>
    </w:lvl>
  </w:abstractNum>
  <w:abstractNum w:abstractNumId="227">
    <w:nsid w:val="1CC11C37"/>
    <w:multiLevelType w:val="hybridMultilevel"/>
    <w:lvl w:ilvl="0">
      <w:lvlJc w:val="left"/>
      <w:lvlText w:val="%1."/>
      <w:numFmt w:val="decimal"/>
      <w:start w:val="30"/>
    </w:lvl>
  </w:abstractNum>
  <w:abstractNum w:abstractNumId="228">
    <w:nsid w:val="4557D5D8"/>
    <w:multiLevelType w:val="hybridMultilevel"/>
    <w:lvl w:ilvl="0">
      <w:lvlJc w:val="left"/>
      <w:lvlText w:val="(*)"/>
      <w:numFmt w:val="bullet"/>
      <w:start w:val="1"/>
    </w:lvl>
  </w:abstractNum>
  <w:abstractNum w:abstractNumId="229">
    <w:nsid w:val="72D2B579"/>
    <w:multiLevelType w:val="hybridMultilevel"/>
    <w:lvl w:ilvl="0">
      <w:lvlJc w:val="left"/>
      <w:lvlText w:val="%1."/>
      <w:numFmt w:val="decimal"/>
      <w:start w:val="30"/>
    </w:lvl>
  </w:abstractNum>
  <w:abstractNum w:abstractNumId="230">
    <w:nsid w:val="6C0BE536"/>
    <w:multiLevelType w:val="hybridMultilevel"/>
    <w:lvl w:ilvl="0">
      <w:lvlJc w:val="left"/>
      <w:lvlText w:val="%1."/>
      <w:numFmt w:val="decimal"/>
      <w:start w:val="31"/>
    </w:lvl>
  </w:abstractNum>
  <w:abstractNum w:abstractNumId="231">
    <w:nsid w:val="1E22BCB2"/>
    <w:multiLevelType w:val="hybridMultilevel"/>
    <w:lvl w:ilvl="0">
      <w:lvlJc w:val="left"/>
      <w:lvlText w:val="%1."/>
      <w:numFmt w:val="decimal"/>
      <w:start w:val="32"/>
    </w:lvl>
  </w:abstractNum>
  <w:abstractNum w:abstractNumId="232">
    <w:nsid w:val="3565F1C8"/>
    <w:multiLevelType w:val="hybridMultilevel"/>
    <w:lvl w:ilvl="0">
      <w:lvlJc w:val="left"/>
      <w:lvlText w:val="%1."/>
      <w:numFmt w:val="decimal"/>
      <w:start w:val="33"/>
    </w:lvl>
  </w:abstractNum>
  <w:abstractNum w:abstractNumId="233">
    <w:nsid w:val="5EA6D896"/>
    <w:multiLevelType w:val="hybridMultilevel"/>
    <w:lvl w:ilvl="0">
      <w:lvlJc w:val="left"/>
      <w:lvlText w:val="%1."/>
      <w:numFmt w:val="decimal"/>
      <w:start w:val="34"/>
    </w:lvl>
  </w:abstractNum>
  <w:abstractNum w:abstractNumId="234">
    <w:nsid w:val="3D096BBF"/>
    <w:multiLevelType w:val="hybridMultilevel"/>
    <w:lvl w:ilvl="0">
      <w:lvlJc w:val="left"/>
      <w:lvlText w:val="%1."/>
      <w:numFmt w:val="decimal"/>
      <w:start w:val="34"/>
    </w:lvl>
  </w:abstractNum>
  <w:abstractNum w:abstractNumId="235">
    <w:nsid w:val="BD6D5B5"/>
    <w:multiLevelType w:val="hybridMultilevel"/>
    <w:lvl w:ilvl="0">
      <w:lvlJc w:val="left"/>
      <w:lvlText w:val="%1."/>
      <w:numFmt w:val="decimal"/>
      <w:start w:val="34"/>
    </w:lvl>
  </w:abstractNum>
  <w:abstractNum w:abstractNumId="236">
    <w:nsid w:val="3B52115C"/>
    <w:multiLevelType w:val="hybridMultilevel"/>
    <w:lvl w:ilvl="0">
      <w:lvlJc w:val="left"/>
      <w:lvlText w:val="(%1)"/>
      <w:numFmt w:val="lowerLetter"/>
      <w:start w:val="1"/>
    </w:lvl>
  </w:abstractNum>
  <w:abstractNum w:abstractNumId="237">
    <w:nsid w:val="787AA59C"/>
    <w:multiLevelType w:val="hybridMultilevel"/>
    <w:lvl w:ilvl="0">
      <w:lvlJc w:val="left"/>
      <w:lvlText w:val="(%1)"/>
      <w:numFmt w:val="lowerLetter"/>
      <w:start w:val="9"/>
    </w:lvl>
    <w:lvl w:ilvl="1">
      <w:lvlJc w:val="left"/>
      <w:lvlText w:val="(%2)"/>
      <w:numFmt w:val="lowerLetter"/>
      <w:start w:val="1"/>
    </w:lvl>
  </w:abstractNum>
  <w:abstractNum w:abstractNumId="238">
    <w:nsid w:val="70BB9983"/>
    <w:multiLevelType w:val="hybridMultilevel"/>
    <w:lvl w:ilvl="0">
      <w:lvlJc w:val="left"/>
      <w:lvlText w:val="(%1)"/>
      <w:numFmt w:val="decimal"/>
      <w:start w:val="1"/>
    </w:lvl>
  </w:abstractNum>
  <w:abstractNum w:abstractNumId="239">
    <w:nsid w:val="51EEBEEA"/>
    <w:multiLevelType w:val="hybridMultilevel"/>
    <w:lvl w:ilvl="0">
      <w:lvlJc w:val="left"/>
      <w:lvlText w:val="%1"/>
      <w:numFmt w:val="decimal"/>
      <w:start w:val="1"/>
    </w:lvl>
    <w:lvl w:ilvl="1">
      <w:lvlJc w:val="left"/>
      <w:lvlText w:val="(%2)"/>
      <w:numFmt w:val="decimal"/>
      <w:start w:val="3"/>
    </w:lvl>
  </w:abstractNum>
  <w:abstractNum w:abstractNumId="240">
    <w:nsid w:val="221A0CCD"/>
    <w:multiLevelType w:val="hybridMultilevel"/>
    <w:lvl w:ilvl="0">
      <w:lvlJc w:val="left"/>
      <w:lvlText w:val="(%1)"/>
      <w:numFmt w:val="decimal"/>
      <w:start w:val="1"/>
    </w:lvl>
    <w:lvl w:ilvl="1">
      <w:lvlJc w:val="left"/>
      <w:lvlText w:val="%2"/>
      <w:numFmt w:val="decimal"/>
      <w:start w:val="1"/>
    </w:lvl>
  </w:abstractNum>
  <w:abstractNum w:abstractNumId="241">
    <w:nsid w:val="1B7CA0ED"/>
    <w:multiLevelType w:val="hybridMultilevel"/>
    <w:lvl w:ilvl="0">
      <w:lvlJc w:val="left"/>
      <w:lvlText w:val="(%1)"/>
      <w:numFmt w:val="lowerRoman"/>
      <w:start w:val="2"/>
    </w:lvl>
  </w:abstractNum>
  <w:abstractNum w:abstractNumId="242">
    <w:nsid w:val="2395A7FF"/>
    <w:multiLevelType w:val="hybridMultilevel"/>
    <w:lvl w:ilvl="0">
      <w:lvlJc w:val="left"/>
      <w:lvlText w:val="(%1)"/>
      <w:numFmt w:val="decimal"/>
      <w:start w:val="2"/>
    </w:lvl>
  </w:abstractNum>
  <w:abstractNum w:abstractNumId="243">
    <w:nsid w:val="3965EB66"/>
    <w:multiLevelType w:val="hybridMultilevel"/>
    <w:lvl w:ilvl="0">
      <w:lvlJc w:val="left"/>
      <w:lvlText w:val="(%1)"/>
      <w:numFmt w:val="lowerLetter"/>
      <w:start w:val="1"/>
    </w:lvl>
  </w:abstractNum>
  <w:abstractNum w:abstractNumId="244">
    <w:nsid w:val="3AA88B3C"/>
    <w:multiLevelType w:val="hybridMultilevel"/>
    <w:lvl w:ilvl="0">
      <w:lvlJc w:val="left"/>
      <w:lvlText w:val="(%1)"/>
      <w:numFmt w:val="lowerLetter"/>
      <w:start w:val="1"/>
    </w:lvl>
  </w:abstractNum>
  <w:abstractNum w:abstractNumId="245">
    <w:nsid w:val="26BAF231"/>
    <w:multiLevelType w:val="hybridMultilevel"/>
    <w:lvl w:ilvl="0">
      <w:lvlJc w:val="left"/>
      <w:lvlText w:val="(%1)"/>
      <w:numFmt w:val="lowerLetter"/>
      <w:start w:val="3"/>
    </w:lvl>
  </w:abstractNum>
  <w:abstractNum w:abstractNumId="246">
    <w:nsid w:val="4B13A15A"/>
    <w:multiLevelType w:val="hybridMultilevel"/>
    <w:lvl w:ilvl="0">
      <w:lvlJc w:val="left"/>
      <w:lvlText w:val="(%1)"/>
      <w:numFmt w:val="lowerLetter"/>
      <w:start w:val="12"/>
    </w:lvl>
  </w:abstractNum>
  <w:abstractNum w:abstractNumId="247">
    <w:nsid w:val="701E8A0D"/>
    <w:multiLevelType w:val="hybridMultilevel"/>
    <w:lvl w:ilvl="0">
      <w:lvlJc w:val="left"/>
      <w:lvlText w:val="(%1)"/>
      <w:numFmt w:val="lowerLetter"/>
      <w:start w:val="1"/>
    </w:lvl>
  </w:abstractNum>
  <w:abstractNum w:abstractNumId="248">
    <w:nsid w:val="41E690CF"/>
    <w:multiLevelType w:val="hybridMultilevel"/>
    <w:lvl w:ilvl="0">
      <w:lvlJc w:val="left"/>
      <w:lvlText w:val="(%1)"/>
      <w:numFmt w:val="lowerLetter"/>
      <w:start w:val="8"/>
    </w:lvl>
  </w:abstractNum>
  <w:abstractNum w:abstractNumId="249">
    <w:nsid w:val="7C6489B6"/>
    <w:multiLevelType w:val="hybridMultilevel"/>
    <w:lvl w:ilvl="0">
      <w:lvlJc w:val="left"/>
      <w:lvlText w:val="%1"/>
      <w:numFmt w:val="lowerLetter"/>
      <w:start w:val="1"/>
    </w:lvl>
    <w:lvl w:ilvl="1">
      <w:lvlJc w:val="left"/>
      <w:lvlText w:val="(%2)"/>
      <w:numFmt w:val="lowerLetter"/>
      <w:start w:val="2"/>
    </w:lvl>
  </w:abstractNum>
  <w:abstractNum w:abstractNumId="250">
    <w:nsid w:val="53AE65DE"/>
    <w:multiLevelType w:val="hybridMultilevel"/>
    <w:lvl w:ilvl="0">
      <w:lvlJc w:val="left"/>
      <w:lvlText w:val="(%1)"/>
      <w:numFmt w:val="lowerLetter"/>
      <w:start w:val="35"/>
    </w:lvl>
    <w:lvl w:ilvl="1">
      <w:lvlJc w:val="left"/>
      <w:lvlText w:val="%2"/>
      <w:numFmt w:val="lowerLetter"/>
      <w:start w:val="1"/>
    </w:lvl>
  </w:abstractNum>
  <w:abstractNum w:abstractNumId="251">
    <w:nsid w:val="527F603D"/>
    <w:multiLevelType w:val="hybridMultilevel"/>
    <w:lvl w:ilvl="0">
      <w:lvlJc w:val="left"/>
      <w:lvlText w:val="(%1)"/>
      <w:numFmt w:val="lowerLetter"/>
      <w:start w:val="24"/>
    </w:lvl>
    <w:lvl w:ilvl="1">
      <w:lvlJc w:val="left"/>
      <w:lvlText w:val="(%2)"/>
      <w:numFmt w:val="lowerLetter"/>
      <w:start w:val="3"/>
    </w:lvl>
  </w:abstractNum>
  <w:abstractNum w:abstractNumId="252">
    <w:nsid w:val="7E13D013"/>
    <w:multiLevelType w:val="hybridMultilevel"/>
    <w:lvl w:ilvl="0">
      <w:lvlJc w:val="left"/>
      <w:lvlText w:val="(%1)"/>
      <w:numFmt w:val="lowerLetter"/>
      <w:start w:val="35"/>
    </w:lvl>
    <w:lvl w:ilvl="1">
      <w:lvlJc w:val="left"/>
      <w:lvlText w:val="%2"/>
      <w:numFmt w:val="lowerLetter"/>
      <w:start w:val="1"/>
    </w:lvl>
  </w:abstractNum>
  <w:abstractNum w:abstractNumId="253">
    <w:nsid w:val="663BFE95"/>
    <w:multiLevelType w:val="hybridMultilevel"/>
    <w:lvl w:ilvl="0">
      <w:lvlJc w:val="left"/>
      <w:lvlText w:val="(%1)"/>
      <w:numFmt w:val="lowerLetter"/>
      <w:start w:val="4"/>
    </w:lvl>
  </w:abstractNum>
  <w:abstractNum w:abstractNumId="254">
    <w:nsid w:val="31E0986F"/>
    <w:multiLevelType w:val="hybridMultilevel"/>
    <w:lvl w:ilvl="0">
      <w:lvlJc w:val="left"/>
      <w:lvlText w:val="(%1)"/>
      <w:numFmt w:val="lowerLetter"/>
      <w:start w:val="1"/>
    </w:lvl>
    <w:lvl w:ilvl="1">
      <w:lvlJc w:val="left"/>
      <w:lvlText w:val="(%2)"/>
      <w:numFmt w:val="lowerLetter"/>
      <w:start w:val="9"/>
    </w:lvl>
  </w:abstractNum>
  <w:abstractNum w:abstractNumId="255">
    <w:nsid w:val="41FCF274"/>
    <w:multiLevelType w:val="hybridMultilevel"/>
    <w:lvl w:ilvl="0">
      <w:lvlJc w:val="left"/>
      <w:lvlText w:val="(%1)"/>
      <w:numFmt w:val="lowerRoman"/>
      <w:start w:val="2"/>
    </w:lvl>
  </w:abstractNum>
  <w:abstractNum w:abstractNumId="256">
    <w:nsid w:val="294614F7"/>
    <w:multiLevelType w:val="hybridMultilevel"/>
    <w:lvl w:ilvl="0">
      <w:lvlJc w:val="left"/>
      <w:lvlText w:val="(%1)"/>
      <w:numFmt w:val="lowerLetter"/>
      <w:start w:val="1"/>
    </w:lvl>
  </w:abstractNum>
  <w:abstractNum w:abstractNumId="257">
    <w:nsid w:val="517DF487"/>
    <w:multiLevelType w:val="hybridMultilevel"/>
    <w:lvl w:ilvl="0">
      <w:lvlJc w:val="left"/>
      <w:lvlText w:val="(%1)"/>
      <w:numFmt w:val="lowerRoman"/>
      <w:start w:val="1"/>
    </w:lvl>
  </w:abstractNum>
  <w:abstractNum w:abstractNumId="258">
    <w:nsid w:val="5EBE0EAB"/>
    <w:multiLevelType w:val="hybridMultilevel"/>
    <w:lvl w:ilvl="0">
      <w:lvlJc w:val="left"/>
      <w:lvlText w:val="(%1)"/>
      <w:numFmt w:val="lowerRoman"/>
      <w:start w:val="3"/>
    </w:lvl>
  </w:abstractNum>
  <w:abstractNum w:abstractNumId="259">
    <w:nsid w:val="6E9DEAD0"/>
    <w:multiLevelType w:val="hybridMultilevel"/>
    <w:lvl w:ilvl="0">
      <w:lvlJc w:val="left"/>
      <w:lvlText w:val="(%1)"/>
      <w:numFmt w:val="lowerLetter"/>
      <w:start w:val="2"/>
    </w:lvl>
    <w:lvl w:ilvl="1">
      <w:lvlJc w:val="left"/>
      <w:lvlText w:val="(%2)"/>
      <w:numFmt w:val="lowerRoman"/>
      <w:start w:val="1"/>
    </w:lvl>
  </w:abstractNum>
  <w:abstractNum w:abstractNumId="260">
    <w:nsid w:val="4450AA00"/>
    <w:multiLevelType w:val="hybridMultilevel"/>
    <w:lvl w:ilvl="0">
      <w:lvlJc w:val="left"/>
      <w:lvlText w:val="(%1)"/>
      <w:numFmt w:val="lowerLetter"/>
      <w:start w:val="6"/>
    </w:lvl>
  </w:abstractNum>
  <w:abstractNum w:abstractNumId="261">
    <w:nsid w:val="4AC9F3E2"/>
    <w:multiLevelType w:val="hybridMultilevel"/>
    <w:lvl w:ilvl="0">
      <w:lvlJc w:val="left"/>
      <w:lvlText w:val="(%1)"/>
      <w:numFmt w:val="lowerRoman"/>
      <w:start w:val="1"/>
    </w:lvl>
  </w:abstractNum>
  <w:abstractNum w:abstractNumId="262">
    <w:nsid w:val="CC0A782"/>
    <w:multiLevelType w:val="hybridMultilevel"/>
    <w:lvl w:ilvl="0">
      <w:lvlJc w:val="left"/>
      <w:lvlText w:val="(%1)"/>
      <w:numFmt w:val="lowerRoman"/>
      <w:start w:val="4"/>
    </w:lvl>
  </w:abstractNum>
  <w:abstractNum w:abstractNumId="263">
    <w:nsid w:val="79B69BC9"/>
    <w:multiLevelType w:val="hybridMultilevel"/>
    <w:lvl w:ilvl="0">
      <w:lvlJc w:val="left"/>
      <w:lvlText w:val="(%1)"/>
      <w:numFmt w:val="lowerLetter"/>
      <w:start w:val="11"/>
    </w:lvl>
  </w:abstractNum>
  <w:abstractNum w:abstractNumId="264">
    <w:nsid w:val="2970CC78"/>
    <w:multiLevelType w:val="hybridMultilevel"/>
    <w:lvl w:ilvl="0">
      <w:lvlJc w:val="left"/>
      <w:lvlText w:val="(%1)"/>
      <w:numFmt w:val="lowerLetter"/>
      <w:start w:val="19"/>
    </w:lvl>
  </w:abstractNum>
  <w:abstractNum w:abstractNumId="265">
    <w:nsid w:val="49CA1341"/>
    <w:multiLevelType w:val="hybridMultilevel"/>
    <w:lvl w:ilvl="0">
      <w:lvlJc w:val="left"/>
      <w:lvlText w:val="%1."/>
      <w:numFmt w:val="decimal"/>
      <w:start w:val="1"/>
    </w:lvl>
  </w:abstractNum>
  <w:abstractNum w:abstractNumId="266">
    <w:nsid w:val="58D717E"/>
    <w:multiLevelType w:val="hybridMultilevel"/>
    <w:lvl w:ilvl="0">
      <w:lvlJc w:val="left"/>
      <w:lvlText w:val="%1."/>
      <w:numFmt w:val="decimal"/>
      <w:start w:val="5"/>
    </w:lvl>
  </w:abstractNum>
  <w:abstractNum w:abstractNumId="267">
    <w:nsid w:val="64C2DDD5"/>
    <w:multiLevelType w:val="hybridMultilevel"/>
    <w:lvl w:ilvl="0">
      <w:lvlJc w:val="left"/>
      <w:lvlText w:val="%1."/>
      <w:numFmt w:val="decimal"/>
      <w:start w:val="11"/>
    </w:lvl>
  </w:abstractNum>
  <w:abstractNum w:abstractNumId="268">
    <w:nsid w:val="4244B8DE"/>
    <w:multiLevelType w:val="hybridMultilevel"/>
    <w:lvl w:ilvl="0">
      <w:lvlJc w:val="left"/>
      <w:lvlText w:val="☐"/>
      <w:numFmt w:val="bullet"/>
      <w:start w:val="1"/>
    </w:lvl>
  </w:abstractNum>
  <w:abstractNum w:abstractNumId="269">
    <w:nsid w:val="76490B01"/>
    <w:multiLevelType w:val="hybridMultilevel"/>
    <w:lvl w:ilvl="0">
      <w:lvlJc w:val="left"/>
      <w:lvlText w:val="%1."/>
      <w:numFmt w:val="decimal"/>
      <w:start w:val="1"/>
    </w:lvl>
  </w:abstractNum>
  <w:abstractNum w:abstractNumId="270">
    <w:nsid w:val="36B19CBF"/>
    <w:multiLevelType w:val="hybridMultilevel"/>
    <w:lvl w:ilvl="0">
      <w:lvlJc w:val="left"/>
      <w:lvlText w:val="%1."/>
      <w:numFmt w:val="decimal"/>
      <w:start w:val="4"/>
    </w:lvl>
  </w:abstractNum>
  <w:abstractNum w:abstractNumId="271">
    <w:nsid w:val="645EC5AB"/>
    <w:multiLevelType w:val="hybridMultilevel"/>
    <w:lvl w:ilvl="0">
      <w:lvlJc w:val="left"/>
      <w:lvlText w:val="%1."/>
      <w:numFmt w:val="decimal"/>
      <w:start w:val="11"/>
    </w:lvl>
  </w:abstractNum>
  <w:abstractNum w:abstractNumId="272">
    <w:nsid w:val="11C5ABEF"/>
    <w:multiLevelType w:val="hybridMultilevel"/>
    <w:lvl w:ilvl="0">
      <w:lvlJc w:val="left"/>
      <w:lvlText w:val="☐"/>
      <w:numFmt w:val="bullet"/>
      <w:start w:val="1"/>
    </w:lvl>
  </w:abstractNum>
  <w:abstractNum w:abstractNumId="273">
    <w:nsid w:val="5A4744BE"/>
    <w:multiLevelType w:val="hybridMultilevel"/>
    <w:lvl w:ilvl="0">
      <w:lvlJc w:val="left"/>
      <w:lvlText w:val="*"/>
      <w:numFmt w:val="bullet"/>
      <w:start w:val="1"/>
    </w:lvl>
  </w:abstractNum>
  <w:abstractNum w:abstractNumId="274">
    <w:nsid w:val="1DC4B111"/>
    <w:multiLevelType w:val="hybridMultilevel"/>
    <w:lvl w:ilvl="0">
      <w:lvlJc w:val="left"/>
      <w:lvlText w:val="%1."/>
      <w:numFmt w:val="decimal"/>
      <w:start w:val="1"/>
    </w:lvl>
  </w:abstractNum>
  <w:abstractNum w:abstractNumId="275">
    <w:nsid w:val="4C6E372B"/>
    <w:multiLevelType w:val="hybridMultilevel"/>
    <w:lvl w:ilvl="0">
      <w:lvlJc w:val="left"/>
      <w:lvlText w:val="%1."/>
      <w:numFmt w:val="decimal"/>
      <w:start w:val="1"/>
    </w:lvl>
    <w:lvl w:ilvl="1">
      <w:lvlJc w:val="left"/>
      <w:lvlText w:val="(%2)"/>
      <w:numFmt w:val="decimal"/>
      <w:start w:val="1"/>
    </w:lvl>
  </w:abstractNum>
  <w:abstractNum w:abstractNumId="276">
    <w:nsid w:val="10236EF"/>
    <w:multiLevelType w:val="hybridMultilevel"/>
    <w:lvl w:ilvl="0">
      <w:lvlJc w:val="left"/>
      <w:lvlText w:val="(%1)"/>
      <w:numFmt w:val="decimal"/>
      <w:start w:val="2"/>
    </w:lvl>
  </w:abstractNum>
  <w:abstractNum w:abstractNumId="277">
    <w:nsid w:val="68D8526B"/>
    <w:multiLevelType w:val="hybridMultilevel"/>
    <w:lvl w:ilvl="0">
      <w:lvlJc w:val="left"/>
      <w:lvlText w:val="(%1)"/>
      <w:numFmt w:val="decimal"/>
      <w:start w:val="1"/>
    </w:lvl>
  </w:abstractNum>
  <w:abstractNum w:abstractNumId="278">
    <w:nsid w:val="3C8CC138"/>
    <w:multiLevelType w:val="hybridMultilevel"/>
    <w:lvl w:ilvl="0">
      <w:lvlJc w:val="left"/>
      <w:lvlText w:val="(%1)"/>
      <w:numFmt w:val="decimal"/>
      <w:start w:val="2"/>
    </w:lvl>
  </w:abstractNum>
  <w:abstractNum w:abstractNumId="279">
    <w:nsid w:val="42E8C7BE"/>
    <w:multiLevelType w:val="hybridMultilevel"/>
    <w:lvl w:ilvl="0">
      <w:lvlJc w:val="left"/>
      <w:lvlText w:val="%1."/>
      <w:numFmt w:val="decimal"/>
      <w:start w:val="2"/>
    </w:lvl>
  </w:abstractNum>
  <w:abstractNum w:abstractNumId="280">
    <w:nsid w:val="653CDC22"/>
    <w:multiLevelType w:val="hybridMultilevel"/>
    <w:lvl w:ilvl="0">
      <w:lvlJc w:val="left"/>
      <w:lvlText w:val="%1."/>
      <w:numFmt w:val="decimal"/>
      <w:start w:val="3"/>
    </w:lvl>
  </w:abstractNum>
  <w:abstractNum w:abstractNumId="281">
    <w:nsid w:val="103B2716"/>
    <w:multiLevelType w:val="hybridMultilevel"/>
    <w:lvl w:ilvl="0">
      <w:lvlJc w:val="left"/>
      <w:lvlText w:val="(%1)"/>
      <w:numFmt w:val="lowerLetter"/>
      <w:start w:val="1"/>
    </w:lvl>
  </w:abstractNum>
  <w:abstractNum w:abstractNumId="282">
    <w:nsid w:val="156827FB"/>
    <w:multiLevelType w:val="hybridMultilevel"/>
    <w:lvl w:ilvl="0">
      <w:lvlJc w:val="left"/>
      <w:lvlText w:val="%1."/>
      <w:numFmt w:val="decimal"/>
      <w:start w:val="4"/>
    </w:lvl>
    <w:lvl w:ilvl="1">
      <w:lvlJc w:val="left"/>
      <w:lvlText w:val="(%2)"/>
      <w:numFmt w:val="decimal"/>
      <w:start w:val="1"/>
    </w:lvl>
  </w:abstractNum>
  <w:abstractNum w:abstractNumId="283">
    <w:nsid w:val="6350AC35"/>
    <w:multiLevelType w:val="hybridMultilevel"/>
    <w:lvl w:ilvl="0">
      <w:lvlJc w:val="left"/>
      <w:lvlText w:val="(%1)"/>
      <w:numFmt w:val="decimal"/>
      <w:start w:val="1"/>
    </w:lvl>
  </w:abstractNum>
  <w:abstractNum w:abstractNumId="284">
    <w:nsid w:val="767725AB"/>
    <w:multiLevelType w:val="hybridMultilevel"/>
    <w:lvl w:ilvl="0">
      <w:lvlJc w:val="left"/>
      <w:lvlText w:val="(%1)"/>
      <w:numFmt w:val="decimal"/>
      <w:start w:val="2"/>
    </w:lvl>
  </w:abstractNum>
  <w:abstractNum w:abstractNumId="285">
    <w:nsid w:val="4748C06A"/>
    <w:multiLevelType w:val="hybridMultilevel"/>
    <w:lvl w:ilvl="0">
      <w:lvlJc w:val="left"/>
      <w:lvlText w:val="(%1)"/>
      <w:numFmt w:val="decimal"/>
      <w:start w:val="8"/>
    </w:lvl>
  </w:abstractNum>
  <w:abstractNum w:abstractNumId="286">
    <w:nsid w:val="254D9EA9"/>
    <w:multiLevelType w:val="hybridMultilevel"/>
    <w:lvl w:ilvl="0">
      <w:lvlJc w:val="left"/>
      <w:lvlText w:val="(%1)"/>
      <w:numFmt w:val="decimal"/>
      <w:start w:val="14"/>
    </w:lvl>
  </w:abstractNum>
  <w:abstractNum w:abstractNumId="287">
    <w:nsid w:val="1FBD3AA3"/>
    <w:multiLevelType w:val="hybridMultilevel"/>
    <w:lvl w:ilvl="0">
      <w:lvlJc w:val="left"/>
      <w:lvlText w:val="%1."/>
      <w:numFmt w:val="decimal"/>
      <w:start w:val="5"/>
    </w:lvl>
    <w:lvl w:ilvl="1">
      <w:lvlJc w:val="left"/>
      <w:lvlText w:val="(%2)"/>
      <w:numFmt w:val="lowerLetter"/>
      <w:start w:val="1"/>
    </w:lvl>
  </w:abstractNum>
  <w:abstractNum w:abstractNumId="288">
    <w:nsid w:val="18C6B4F2"/>
    <w:multiLevelType w:val="hybridMultilevel"/>
    <w:lvl w:ilvl="0">
      <w:lvlJc w:val="left"/>
      <w:lvlText w:val="%1."/>
      <w:numFmt w:val="decimal"/>
      <w:start w:val="7"/>
    </w:lvl>
  </w:abstractNum>
  <w:abstractNum w:abstractNumId="289">
    <w:nsid w:val="40BAD55"/>
    <w:multiLevelType w:val="hybridMultilevel"/>
    <w:lvl w:ilvl="0">
      <w:lvlJc w:val="left"/>
      <w:lvlText w:val="(%1)"/>
      <w:numFmt w:val="lowerLetter"/>
      <w:start w:val="1"/>
    </w:lvl>
  </w:abstractNum>
  <w:abstractNum w:abstractNumId="290">
    <w:nsid w:val="E5B2573"/>
    <w:multiLevelType w:val="hybridMultilevel"/>
    <w:lvl w:ilvl="0">
      <w:lvlJc w:val="left"/>
      <w:lvlText w:val="%1."/>
      <w:numFmt w:val="decimal"/>
      <w:start w:val="9"/>
    </w:lvl>
    <w:lvl w:ilvl="1">
      <w:lvlJc w:val="left"/>
      <w:lvlText w:val="(%2)"/>
      <w:numFmt w:val="decimal"/>
      <w:start w:val="1"/>
    </w:lvl>
  </w:abstractNum>
  <w:abstractNum w:abstractNumId="291">
    <w:nsid w:val="5D175EF2"/>
    <w:multiLevelType w:val="hybridMultilevel"/>
    <w:lvl w:ilvl="0">
      <w:lvlJc w:val="left"/>
      <w:lvlText w:val="%1."/>
      <w:numFmt w:val="decimal"/>
      <w:start w:val="12"/>
    </w:lvl>
  </w:abstractNum>
  <w:abstractNum w:abstractNumId="292">
    <w:nsid w:val="4ED5A137"/>
    <w:multiLevelType w:val="hybridMultilevel"/>
    <w:lvl w:ilvl="0">
      <w:lvlJc w:val="left"/>
      <w:lvlText w:val="1"/>
      <w:numFmt w:val="bullet"/>
      <w:start w:val="1"/>
    </w:lvl>
  </w:abstractNum>
  <w:abstractNum w:abstractNumId="293">
    <w:nsid w:val="1B1BCCF5"/>
    <w:multiLevelType w:val="hybridMultilevel"/>
    <w:lvl w:ilvl="0">
      <w:lvlJc w:val="left"/>
      <w:lvlText w:val="2"/>
      <w:numFmt w:val="bullet"/>
      <w:start w:val="1"/>
    </w:lvl>
  </w:abstractNum>
  <w:abstractNum w:abstractNumId="294">
    <w:nsid w:val="56CDFABB"/>
    <w:multiLevelType w:val="hybridMultilevel"/>
    <w:lvl w:ilvl="0">
      <w:lvlJc w:val="left"/>
      <w:lvlText w:val="3"/>
      <w:numFmt w:val="bullet"/>
      <w:start w:val="1"/>
    </w:lvl>
  </w:abstractNum>
  <w:abstractNum w:abstractNumId="295">
    <w:nsid w:val="78466DAF"/>
    <w:multiLevelType w:val="hybridMultilevel"/>
    <w:lvl w:ilvl="0">
      <w:lvlJc w:val="left"/>
      <w:lvlText w:val="4"/>
      <w:numFmt w:val="bullet"/>
      <w:start w:val="1"/>
    </w:lvl>
  </w:abstractNum>
  <w:abstractNum w:abstractNumId="296">
    <w:nsid w:val="64E5E036"/>
    <w:multiLevelType w:val="hybridMultilevel"/>
    <w:lvl w:ilvl="0">
      <w:lvlJc w:val="left"/>
      <w:lvlText w:val="%1."/>
      <w:numFmt w:val="decimal"/>
      <w:start w:val="1"/>
    </w:lvl>
  </w:abstractNum>
  <w:abstractNum w:abstractNumId="297">
    <w:nsid w:val="5C5B6C3A"/>
    <w:multiLevelType w:val="hybridMultilevel"/>
    <w:lvl w:ilvl="0">
      <w:lvlJc w:val="left"/>
      <w:lvlText w:val="(%1)"/>
      <w:numFmt w:val="lowerLetter"/>
      <w:start w:val="3"/>
    </w:lvl>
  </w:abstractNum>
  <w:abstractNum w:abstractNumId="298">
    <w:nsid w:val="5D094B84"/>
    <w:multiLevelType w:val="hybridMultilevel"/>
    <w:lvl w:ilvl="0">
      <w:lvlJc w:val="left"/>
      <w:lvlText w:val="%1."/>
      <w:numFmt w:val="decimal"/>
      <w:start w:val="2"/>
    </w:lvl>
  </w:abstractNum>
  <w:abstractNum w:abstractNumId="299">
    <w:nsid w:val="272A9914"/>
    <w:multiLevelType w:val="hybridMultilevel"/>
    <w:lvl w:ilvl="0">
      <w:lvlJc w:val="left"/>
      <w:lvlText w:val="(%1)"/>
      <w:numFmt w:val="lowerRoman"/>
      <w:start w:val="1"/>
    </w:lvl>
  </w:abstractNum>
  <w:abstractNum w:abstractNumId="300">
    <w:nsid w:val="52A4773B"/>
    <w:multiLevelType w:val="hybridMultilevel"/>
    <w:lvl w:ilvl="0">
      <w:lvlJc w:val="left"/>
      <w:lvlText w:val="%1."/>
      <w:numFmt w:val="decimal"/>
      <w:start w:val="3"/>
    </w:lvl>
  </w:abstractNum>
  <w:abstractNum w:abstractNumId="301">
    <w:nsid w:val="13BAE843"/>
    <w:multiLevelType w:val="hybridMultilevel"/>
    <w:lvl w:ilvl="0">
      <w:lvlJc w:val="left"/>
      <w:lvlText w:val="%1."/>
      <w:numFmt w:val="decimal"/>
      <w:start w:val="4"/>
    </w:lvl>
  </w:abstractNum>
  <w:abstractNum w:abstractNumId="302">
    <w:nsid w:val="B895EBF"/>
    <w:multiLevelType w:val="hybridMultilevel"/>
    <w:lvl w:ilvl="0">
      <w:lvlJc w:val="left"/>
      <w:lvlText w:val="%1."/>
      <w:numFmt w:val="decimal"/>
      <w:start w:val="6"/>
    </w:lvl>
  </w:abstractNum>
  <w:abstractNum w:abstractNumId="303">
    <w:nsid w:val="646A232A"/>
    <w:multiLevelType w:val="hybridMultilevel"/>
    <w:lvl w:ilvl="0">
      <w:lvlJc w:val="left"/>
      <w:lvlText w:val="%1."/>
      <w:numFmt w:val="decimal"/>
      <w:start w:val="7"/>
    </w:lvl>
  </w:abstractNum>
  <w:abstractNum w:abstractNumId="304">
    <w:nsid w:val="6E022D01"/>
    <w:multiLevelType w:val="hybridMultilevel"/>
    <w:lvl w:ilvl="0">
      <w:lvlJc w:val="left"/>
      <w:lvlText w:val="%1."/>
      <w:numFmt w:val="decimal"/>
      <w:start w:val="8"/>
    </w:lvl>
  </w:abstractNum>
  <w:abstractNum w:abstractNumId="305">
    <w:nsid w:val="294E0FD0"/>
    <w:multiLevelType w:val="hybridMultilevel"/>
    <w:lvl w:ilvl="0">
      <w:lvlJc w:val="left"/>
      <w:lvlText w:val="%1."/>
      <w:numFmt w:val="decimal"/>
      <w:start w:val="9"/>
    </w:lvl>
  </w:abstractNum>
  <w:abstractNum w:abstractNumId="306">
    <w:nsid w:val="30D85A55"/>
    <w:multiLevelType w:val="hybridMultilevel"/>
    <w:lvl w:ilvl="0">
      <w:lvlJc w:val="left"/>
      <w:lvlText w:val="%1."/>
      <w:numFmt w:val="decimal"/>
      <w:start w:val="10"/>
    </w:lvl>
  </w:abstractNum>
  <w:abstractNum w:abstractNumId="307">
    <w:nsid w:val="6F0463F1"/>
    <w:multiLevelType w:val="hybridMultilevel"/>
    <w:lvl w:ilvl="0">
      <w:lvlJc w:val="left"/>
      <w:lvlText w:val="%1."/>
      <w:numFmt w:val="decimal"/>
      <w:start w:val="12"/>
    </w:lvl>
  </w:abstractNum>
  <w:abstractNum w:abstractNumId="308">
    <w:nsid w:val="1226623C"/>
    <w:multiLevelType w:val="hybridMultilevel"/>
    <w:lvl w:ilvl="0">
      <w:lvlJc w:val="left"/>
      <w:lvlText w:val="%1."/>
      <w:numFmt w:val="decimal"/>
      <w:start w:val="1"/>
    </w:lvl>
  </w:abstractNum>
  <w:abstractNum w:abstractNumId="309">
    <w:nsid w:val="6D651B8D"/>
    <w:multiLevelType w:val="hybridMultilevel"/>
    <w:lvl w:ilvl="0">
      <w:lvlJc w:val="left"/>
      <w:lvlText w:val="%1."/>
      <w:numFmt w:val="decimal"/>
      <w:start w:val="2"/>
    </w:lvl>
    <w:lvl w:ilvl="1">
      <w:lvlJc w:val="left"/>
      <w:lvlText w:val="(%2)"/>
      <w:numFmt w:val="decimal"/>
      <w:start w:val="10"/>
    </w:lvl>
  </w:abstractNum>
  <w:abstractNum w:abstractNumId="310">
    <w:nsid w:val="31ED2BAF"/>
    <w:multiLevelType w:val="hybridMultilevel"/>
    <w:lvl w:ilvl="0">
      <w:lvlJc w:val="left"/>
      <w:lvlText w:val="%1"/>
      <w:numFmt w:val="decimal"/>
      <w:start w:val="1"/>
    </w:lvl>
    <w:lvl w:ilvl="1">
      <w:lvlJc w:val="left"/>
      <w:lvlText w:val="(%2)"/>
      <w:numFmt w:val="decimal"/>
      <w:start w:val="1"/>
    </w:lvl>
  </w:abstractNum>
  <w:abstractNum w:abstractNumId="311">
    <w:nsid w:val="77633E5E"/>
    <w:multiLevelType w:val="hybridMultilevel"/>
    <w:lvl w:ilvl="0">
      <w:lvlJc w:val="left"/>
      <w:lvlText w:val="%1."/>
      <w:numFmt w:val="decimal"/>
      <w:start w:val="3"/>
    </w:lvl>
    <w:lvl w:ilvl="1">
      <w:lvlJc w:val="left"/>
      <w:lvlText w:val="%2"/>
      <w:numFmt w:val="decimal"/>
      <w:start w:val="1"/>
    </w:lvl>
  </w:abstractNum>
  <w:abstractNum w:abstractNumId="312">
    <w:nsid w:val="7DA042A3"/>
    <w:multiLevelType w:val="hybridMultilevel"/>
    <w:lvl w:ilvl="0">
      <w:lvlJc w:val="left"/>
      <w:lvlText w:val="(%1)"/>
      <w:numFmt w:val="decimal"/>
      <w:start w:val="1"/>
    </w:lvl>
  </w:abstractNum>
  <w:abstractNum w:abstractNumId="313">
    <w:nsid w:val="475553AB"/>
    <w:multiLevelType w:val="hybridMultilevel"/>
    <w:lvl w:ilvl="0">
      <w:lvlJc w:val="left"/>
      <w:lvlText w:val="%1."/>
      <w:numFmt w:val="decimal"/>
      <w:start w:val="4"/>
    </w:lvl>
  </w:abstractNum>
  <w:abstractNum w:abstractNumId="314">
    <w:nsid w:val="5AB3EA93"/>
    <w:multiLevelType w:val="hybridMultilevel"/>
    <w:lvl w:ilvl="0">
      <w:lvlJc w:val="left"/>
      <w:lvlText w:val="%1."/>
      <w:numFmt w:val="decimal"/>
      <w:start w:val="5"/>
    </w:lvl>
    <w:lvl w:ilvl="1">
      <w:lvlJc w:val="left"/>
      <w:lvlText w:val="(%2)"/>
      <w:numFmt w:val="decimal"/>
      <w:start w:val="1"/>
    </w:lvl>
  </w:abstractNum>
  <w:abstractNum w:abstractNumId="315">
    <w:nsid w:val="7417684F"/>
    <w:multiLevelType w:val="hybridMultilevel"/>
    <w:lvl w:ilvl="0">
      <w:lvlJc w:val="left"/>
      <w:lvlText w:val="(%1)"/>
      <w:numFmt w:val="decimal"/>
      <w:start w:val="4"/>
    </w:lvl>
  </w:abstractNum>
  <w:abstractNum w:abstractNumId="316">
    <w:nsid w:val="E9E1415"/>
    <w:multiLevelType w:val="hybridMultilevel"/>
    <w:lvl w:ilvl="0">
      <w:lvlJc w:val="left"/>
      <w:lvlText w:val="(%1)"/>
      <w:numFmt w:val="decimal"/>
      <w:start w:val="1"/>
    </w:lvl>
  </w:abstractNum>
  <w:abstractNum w:abstractNumId="317">
    <w:nsid w:val="1893D"/>
    <w:multiLevelType w:val="hybridMultilevel"/>
    <w:lvl w:ilvl="0">
      <w:lvlJc w:val="left"/>
      <w:lvlText w:val="%1."/>
      <w:numFmt w:val="decimal"/>
      <w:start w:val="6"/>
    </w:lvl>
    <w:lvl w:ilvl="1">
      <w:lvlJc w:val="left"/>
      <w:lvlText w:val="(%2)"/>
      <w:numFmt w:val="decimal"/>
      <w:start w:val="1"/>
    </w:lvl>
  </w:abstractNum>
  <w:abstractNum w:abstractNumId="318">
    <w:nsid w:val="13D4A2F2"/>
    <w:multiLevelType w:val="hybridMultilevel"/>
    <w:lvl w:ilvl="0">
      <w:lvlJc w:val="left"/>
      <w:lvlText w:val="(%1)"/>
      <w:numFmt w:val="decimal"/>
      <w:start w:val="11"/>
    </w:lvl>
  </w:abstractNum>
  <w:abstractNum w:abstractNumId="319">
    <w:nsid w:val="2764C907"/>
    <w:multiLevelType w:val="hybridMultilevel"/>
    <w:lvl w:ilvl="0">
      <w:lvlJc w:val="left"/>
      <w:lvlText w:val="(%1)"/>
      <w:numFmt w:val="decimal"/>
      <w:start w:val="1"/>
    </w:lvl>
  </w:abstractNum>
  <w:abstractNum w:abstractNumId="320">
    <w:nsid w:val="40D3692"/>
    <w:multiLevelType w:val="hybridMultilevel"/>
    <w:lvl w:ilvl="0">
      <w:lvlJc w:val="left"/>
      <w:lvlText w:val="%1"/>
      <w:numFmt w:val="decimal"/>
      <w:start w:val="1"/>
    </w:lvl>
    <w:lvl w:ilvl="1">
      <w:lvlJc w:val="left"/>
      <w:lvlText w:val="(%2)"/>
      <w:numFmt w:val="decimal"/>
      <w:start w:val="6"/>
    </w:lvl>
  </w:abstractNum>
  <w:abstractNum w:abstractNumId="321">
    <w:nsid w:val="222FC865"/>
    <w:multiLevelType w:val="hybridMultilevel"/>
    <w:lvl w:ilvl="0">
      <w:lvlJc w:val="left"/>
      <w:lvlText w:val="%1."/>
      <w:numFmt w:val="decimal"/>
      <w:start w:val="7"/>
    </w:lvl>
    <w:lvl w:ilvl="1">
      <w:lvlJc w:val="left"/>
      <w:lvlText w:val="%2"/>
      <w:numFmt w:val="decimal"/>
      <w:start w:val="1"/>
    </w:lvl>
  </w:abstractNum>
  <w:abstractNum w:abstractNumId="322">
    <w:nsid w:val="47C27FA"/>
    <w:multiLevelType w:val="hybridMultilevel"/>
    <w:lvl w:ilvl="0">
      <w:lvlJc w:val="left"/>
      <w:lvlText w:val="%1."/>
      <w:numFmt w:val="decimal"/>
      <w:start w:val="8"/>
    </w:lvl>
  </w:abstractNum>
  <w:abstractNum w:abstractNumId="323">
    <w:nsid w:val="52E2D7C9"/>
    <w:multiLevelType w:val="hybridMultilevel"/>
    <w:lvl w:ilvl="0">
      <w:lvlJc w:val="left"/>
      <w:lvlText w:val="%1."/>
      <w:numFmt w:val="decimal"/>
      <w:start w:val="9"/>
    </w:lvl>
  </w:abstractNum>
  <w:abstractNum w:abstractNumId="324">
    <w:nsid w:val="3D4B955A"/>
    <w:multiLevelType w:val="hybridMultilevel"/>
    <w:lvl w:ilvl="0">
      <w:lvlJc w:val="left"/>
      <w:lvlText w:val="%1."/>
      <w:numFmt w:val="decimal"/>
      <w:start w:val="10"/>
    </w:lvl>
  </w:abstractNum>
  <w:abstractNum w:abstractNumId="325">
    <w:nsid w:val="5B4A22B5"/>
    <w:multiLevelType w:val="hybridMultilevel"/>
    <w:lvl w:ilvl="0">
      <w:lvlJc w:val="left"/>
      <w:lvlText w:val="%1"/>
      <w:numFmt w:val="decimal"/>
      <w:start w:val="1"/>
    </w:lvl>
    <w:lvl w:ilvl="1">
      <w:lvlJc w:val="left"/>
      <w:lvlText w:val="(%2)"/>
      <w:numFmt w:val="lowerLetter"/>
      <w:start w:val="1"/>
    </w:lvl>
  </w:abstractNum>
  <w:abstractNum w:abstractNumId="326">
    <w:nsid w:val="4B294578"/>
    <w:multiLevelType w:val="hybridMultilevel"/>
    <w:lvl w:ilvl="0">
      <w:lvlJc w:val="left"/>
      <w:lvlText w:val="%1."/>
      <w:numFmt w:val="decimal"/>
      <w:start w:val="11"/>
    </w:lvl>
    <w:lvl w:ilvl="1">
      <w:lvlJc w:val="left"/>
      <w:lvlText w:val="%2"/>
      <w:numFmt w:val="lowerLetter"/>
      <w:start w:val="1"/>
    </w:lvl>
  </w:abstractNum>
  <w:abstractNum w:abstractNumId="327">
    <w:nsid w:val="22317590"/>
    <w:multiLevelType w:val="hybridMultilevel"/>
    <w:lvl w:ilvl="0">
      <w:lvlJc w:val="left"/>
      <w:lvlText w:val="%1."/>
      <w:numFmt w:val="decimal"/>
      <w:start w:val="1"/>
    </w:lvl>
  </w:abstractNum>
  <w:abstractNum w:abstractNumId="328">
    <w:nsid w:val="37A58EEF"/>
    <w:multiLevelType w:val="hybridMultilevel"/>
    <w:lvl w:ilvl="0">
      <w:lvlJc w:val="left"/>
      <w:lvlText w:val="%1."/>
      <w:numFmt w:val="decimal"/>
      <w:start w:val="5"/>
    </w:lvl>
  </w:abstractNum>
  <w:abstractNum w:abstractNumId="329">
    <w:nsid w:val="283290FD"/>
    <w:multiLevelType w:val="hybridMultilevel"/>
    <w:lvl w:ilvl="0">
      <w:lvlJc w:val="left"/>
      <w:lvlText w:val="%1."/>
      <w:numFmt w:val="decimal"/>
      <w:start w:val="1"/>
    </w:lvl>
  </w:abstractNum>
  <w:abstractNum w:abstractNumId="330">
    <w:nsid w:val="495C0EA5"/>
    <w:multiLevelType w:val="hybridMultilevel"/>
    <w:lvl w:ilvl="0">
      <w:lvlJc w:val="left"/>
      <w:lvlText w:val="%1)"/>
      <w:numFmt w:val="decimal"/>
      <w:start w:val="1"/>
    </w:lvl>
  </w:abstractNum>
  <w:abstractNum w:abstractNumId="331">
    <w:nsid w:val="A4A062B"/>
    <w:multiLevelType w:val="hybridMultilevel"/>
    <w:lvl w:ilvl="0">
      <w:lvlJc w:val="left"/>
      <w:lvlText w:val="%1)"/>
      <w:numFmt w:val="decimal"/>
      <w:start w:val="10"/>
    </w:lvl>
  </w:abstractNum>
  <w:abstractNum w:abstractNumId="332">
    <w:nsid w:val="3BED7940"/>
    <w:multiLevelType w:val="hybridMultilevel"/>
    <w:lvl w:ilvl="0">
      <w:lvlJc w:val="left"/>
      <w:lvlText w:val="%1."/>
      <w:numFmt w:val="decimal"/>
      <w:start w:val="2"/>
    </w:lvl>
  </w:abstractNum>
  <w:abstractNum w:abstractNumId="333">
    <w:nsid w:val="54E56D64"/>
    <w:multiLevelType w:val="hybridMultilevel"/>
    <w:lvl w:ilvl="0">
      <w:lvlJc w:val="left"/>
      <w:lvlText w:val="%1."/>
      <w:numFmt w:val="decimal"/>
      <w:start w:val="3"/>
    </w:lvl>
  </w:abstractNum>
  <w:abstractNum w:abstractNumId="334">
    <w:nsid w:val="6EB42955"/>
    <w:multiLevelType w:val="hybridMultilevel"/>
    <w:lvl w:ilvl="0">
      <w:lvlJc w:val="left"/>
      <w:lvlText w:val="%1."/>
      <w:numFmt w:val="decimal"/>
      <w:start w:val="4"/>
    </w:lvl>
  </w:abstractNum>
  <w:abstractNum w:abstractNumId="335">
    <w:nsid w:val="29EFA642"/>
    <w:multiLevelType w:val="hybridMultilevel"/>
    <w:lvl w:ilvl="0">
      <w:lvlJc w:val="left"/>
      <w:lvlText w:val="%1."/>
      <w:numFmt w:val="decimal"/>
      <w:start w:val="5"/>
    </w:lvl>
  </w:abstractNum>
  <w:abstractNum w:abstractNumId="336">
    <w:nsid w:val="7E337D35"/>
    <w:multiLevelType w:val="hybridMultilevel"/>
    <w:lvl w:ilvl="0">
      <w:lvlJc w:val="left"/>
      <w:lvlText w:val="%1."/>
      <w:numFmt w:val="decimal"/>
      <w:start w:val="6"/>
    </w:lvl>
  </w:abstractNum>
  <w:abstractNum w:abstractNumId="337">
    <w:nsid w:val="1F8C83AB"/>
    <w:multiLevelType w:val="hybridMultilevel"/>
    <w:lvl w:ilvl="0">
      <w:lvlJc w:val="left"/>
      <w:lvlText w:val="%1."/>
      <w:numFmt w:val="decimal"/>
      <w:start w:val="8"/>
    </w:lvl>
  </w:abstractNum>
  <w:abstractNum w:abstractNumId="338">
    <w:nsid w:val="18F40A33"/>
    <w:multiLevelType w:val="hybridMultilevel"/>
    <w:lvl w:ilvl="0">
      <w:lvlJc w:val="left"/>
      <w:lvlText w:val="%1."/>
      <w:numFmt w:val="decimal"/>
      <w:start w:val="9"/>
    </w:lvl>
  </w:abstractNum>
  <w:abstractNum w:abstractNumId="339">
    <w:nsid w:val="1059DF71"/>
    <w:multiLevelType w:val="hybridMultilevel"/>
    <w:lvl w:ilvl="0">
      <w:lvlJc w:val="left"/>
      <w:lvlText w:val="%1."/>
      <w:numFmt w:val="decimal"/>
      <w:start w:val="11"/>
    </w:lvl>
  </w:abstractNum>
  <w:abstractNum w:abstractNumId="340">
    <w:nsid w:val="CF19F38"/>
    <w:multiLevelType w:val="hybridMultilevel"/>
    <w:lvl w:ilvl="0">
      <w:lvlJc w:val="left"/>
      <w:lvlText w:val="%1."/>
      <w:numFmt w:val="decimal"/>
      <w:start w:val="12"/>
    </w:lvl>
  </w:abstractNum>
  <w:abstractNum w:abstractNumId="341">
    <w:nsid w:val="4AE135E2"/>
    <w:multiLevelType w:val="hybridMultilevel"/>
    <w:lvl w:ilvl="0">
      <w:lvlJc w:val="left"/>
      <w:lvlText w:val="%1."/>
      <w:numFmt w:val="decimal"/>
      <w:start w:val="1"/>
    </w:lvl>
  </w:abstractNum>
  <w:abstractNum w:abstractNumId="342">
    <w:nsid w:val="7BD1DCF"/>
    <w:multiLevelType w:val="hybridMultilevel"/>
    <w:lvl w:ilvl="0">
      <w:lvlJc w:val="left"/>
      <w:lvlText w:val="%1."/>
      <w:numFmt w:val="decimal"/>
      <w:start w:val="4"/>
    </w:lvl>
  </w:abstractNum>
  <w:abstractNum w:abstractNumId="343">
    <w:nsid w:val="A91E1DC"/>
    <w:multiLevelType w:val="hybridMultilevel"/>
    <w:lvl w:ilvl="0">
      <w:lvlJc w:val="left"/>
      <w:lvlText w:val="%1."/>
      <w:numFmt w:val="decimal"/>
      <w:start w:val="1"/>
    </w:lvl>
  </w:abstractNum>
  <w:abstractNum w:abstractNumId="344">
    <w:nsid w:val="1236898D"/>
    <w:multiLevelType w:val="hybridMultilevel"/>
    <w:lvl w:ilvl="0">
      <w:lvlJc w:val="left"/>
      <w:lvlText w:val="%1."/>
      <w:numFmt w:val="decimal"/>
      <w:start w:val="2"/>
    </w:lvl>
  </w:abstractNum>
  <w:abstractNum w:abstractNumId="345">
    <w:nsid w:val="62710862"/>
    <w:multiLevelType w:val="hybridMultilevel"/>
    <w:lvl w:ilvl="0">
      <w:lvlJc w:val="left"/>
      <w:lvlText w:val="(%1)"/>
      <w:numFmt w:val="lowerLetter"/>
      <w:start w:val="1"/>
    </w:lvl>
  </w:abstractNum>
  <w:abstractNum w:abstractNumId="346">
    <w:nsid w:val="7EA94A2B"/>
    <w:multiLevelType w:val="hybridMultilevel"/>
    <w:lvl w:ilvl="0">
      <w:lvlJc w:val="left"/>
      <w:lvlText w:val="(%1)"/>
      <w:numFmt w:val="lowerLetter"/>
      <w:start w:val="3"/>
    </w:lvl>
  </w:abstractNum>
  <w:abstractNum w:abstractNumId="347">
    <w:nsid w:val="20D49DA3"/>
    <w:multiLevelType w:val="hybridMultilevel"/>
    <w:lvl w:ilvl="0">
      <w:lvlJc w:val="left"/>
      <w:lvlText w:val="%1."/>
      <w:numFmt w:val="decimal"/>
      <w:start w:val="3"/>
    </w:lvl>
  </w:abstractNum>
  <w:abstractNum w:abstractNumId="348">
    <w:nsid w:val="6272919F"/>
    <w:multiLevelType w:val="hybridMultilevel"/>
    <w:lvl w:ilvl="0">
      <w:lvlJc w:val="left"/>
      <w:lvlText w:val="%1."/>
      <w:numFmt w:val="decimal"/>
      <w:start w:val="4"/>
    </w:lvl>
  </w:abstractNum>
  <w:abstractNum w:abstractNumId="349">
    <w:nsid w:val="127DED1D"/>
    <w:multiLevelType w:val="hybridMultilevel"/>
    <w:lvl w:ilvl="0">
      <w:lvlJc w:val="left"/>
      <w:lvlText w:val="%1."/>
      <w:numFmt w:val="decimal"/>
      <w:start w:val="5"/>
    </w:lvl>
  </w:abstractNum>
  <w:abstractNum w:abstractNumId="350">
    <w:nsid w:val="483966AA"/>
    <w:multiLevelType w:val="hybridMultilevel"/>
    <w:lvl w:ilvl="0">
      <w:lvlJc w:val="left"/>
      <w:lvlText w:val="%1."/>
      <w:numFmt w:val="decimal"/>
      <w:start w:val="6"/>
    </w:lvl>
  </w:abstractNum>
  <w:abstractNum w:abstractNumId="351">
    <w:nsid w:val="667FC831"/>
    <w:multiLevelType w:val="hybridMultilevel"/>
    <w:lvl w:ilvl="0">
      <w:lvlJc w:val="left"/>
      <w:lvlText w:val="%1."/>
      <w:numFmt w:val="decimal"/>
      <w:start w:val="7"/>
    </w:lvl>
  </w:abstractNum>
  <w:abstractNum w:abstractNumId="352">
    <w:nsid w:val="34ADB582"/>
    <w:multiLevelType w:val="hybridMultilevel"/>
    <w:lvl w:ilvl="0">
      <w:lvlJc w:val="left"/>
      <w:lvlText w:val="(%1)"/>
      <w:numFmt w:val="lowerLetter"/>
      <w:start w:val="1"/>
    </w:lvl>
  </w:abstractNum>
  <w:abstractNum w:abstractNumId="353">
    <w:nsid w:val="4CB58EA4"/>
    <w:multiLevelType w:val="hybridMultilevel"/>
    <w:lvl w:ilvl="0">
      <w:lvlJc w:val="left"/>
      <w:lvlText w:val="%1."/>
      <w:numFmt w:val="decimal"/>
      <w:start w:val="8"/>
    </w:lvl>
  </w:abstractNum>
  <w:abstractNum w:abstractNumId="354">
    <w:nsid w:val="39629FFA"/>
    <w:multiLevelType w:val="hybridMultilevel"/>
    <w:lvl w:ilvl="0">
      <w:lvlJc w:val="left"/>
      <w:lvlText w:val="(%1)"/>
      <w:numFmt w:val="lowerLetter"/>
      <w:start w:val="1"/>
    </w:lvl>
  </w:abstractNum>
  <w:abstractNum w:abstractNumId="355">
    <w:nsid w:val="71F94ADC"/>
    <w:multiLevelType w:val="hybridMultilevel"/>
    <w:lvl w:ilvl="0">
      <w:lvlJc w:val="left"/>
      <w:lvlText w:val="%1."/>
      <w:numFmt w:val="decimal"/>
      <w:start w:val="9"/>
    </w:lvl>
  </w:abstractNum>
  <w:abstractNum w:abstractNumId="356">
    <w:nsid w:val="27FFB15A"/>
    <w:multiLevelType w:val="hybridMultilevel"/>
    <w:lvl w:ilvl="0">
      <w:lvlJc w:val="left"/>
      <w:lvlText w:val="%1."/>
      <w:numFmt w:val="decimal"/>
      <w:start w:val="10"/>
    </w:lvl>
  </w:abstractNum>
  <w:abstractNum w:abstractNumId="357">
    <w:nsid w:val="48BE573"/>
    <w:multiLevelType w:val="hybridMultilevel"/>
    <w:lvl w:ilvl="0">
      <w:lvlJc w:val="left"/>
      <w:lvlText w:val="%1."/>
      <w:numFmt w:val="decimal"/>
      <w:start w:val="14"/>
    </w:lvl>
  </w:abstractNum>
  <w:abstractNum w:abstractNumId="358">
    <w:nsid w:val="142AC06C"/>
    <w:multiLevelType w:val="hybridMultilevel"/>
    <w:lvl w:ilvl="0">
      <w:lvlJc w:val="left"/>
      <w:lvlText w:val="%1."/>
      <w:numFmt w:val="decimal"/>
      <w:start w:val="15"/>
    </w:lvl>
  </w:abstractNum>
  <w:abstractNum w:abstractNumId="359">
    <w:nsid w:val="5FA54049"/>
    <w:multiLevelType w:val="hybridMultilevel"/>
    <w:lvl w:ilvl="0">
      <w:lvlJc w:val="left"/>
      <w:lvlText w:val="%1."/>
      <w:numFmt w:val="decimal"/>
      <w:start w:val="16"/>
    </w:lvl>
  </w:abstractNum>
  <w:abstractNum w:abstractNumId="360">
    <w:nsid w:val="2CBE7670"/>
    <w:multiLevelType w:val="hybridMultilevel"/>
    <w:lvl w:ilvl="0">
      <w:lvlJc w:val="left"/>
      <w:lvlText w:val="%1."/>
      <w:numFmt w:val="decimal"/>
      <w:start w:val="17"/>
    </w:lvl>
  </w:abstractNum>
  <w:abstractNum w:abstractNumId="361">
    <w:nsid w:val="5D86CF11"/>
    <w:multiLevelType w:val="hybridMultilevel"/>
    <w:lvl w:ilvl="0">
      <w:lvlJc w:val="left"/>
      <w:lvlText w:val="%1."/>
      <w:numFmt w:val="decimal"/>
      <w:start w:val="19"/>
    </w:lvl>
  </w:abstractNum>
  <w:abstractNum w:abstractNumId="362">
    <w:nsid w:val="69EF4674"/>
    <w:multiLevelType w:val="hybridMultilevel"/>
    <w:lvl w:ilvl="0">
      <w:lvlJc w:val="left"/>
      <w:lvlText w:val="(%1)"/>
      <w:numFmt w:val="decimal"/>
      <w:start w:val="1"/>
    </w:lvl>
  </w:abstractNum>
  <w:abstractNum w:abstractNumId="363">
    <w:nsid w:val="68ABEFB0"/>
    <w:multiLevelType w:val="hybridMultilevel"/>
    <w:lvl w:ilvl="0">
      <w:lvlJc w:val="left"/>
      <w:lvlText w:val="(%1)"/>
      <w:numFmt w:val="decimal"/>
      <w:start w:val="6"/>
    </w:lvl>
  </w:abstractNum>
  <w:abstractNum w:abstractNumId="364">
    <w:nsid w:val="326C3C76"/>
    <w:multiLevelType w:val="hybridMultilevel"/>
    <w:lvl w:ilvl="0">
      <w:lvlJc w:val="left"/>
      <w:lvlText w:val="%1."/>
      <w:numFmt w:val="decimal"/>
      <w:start w:val="1"/>
    </w:lvl>
  </w:abstractNum>
  <w:abstractNum w:abstractNumId="365">
    <w:nsid w:val="58A36FCA"/>
    <w:multiLevelType w:val="hybridMultilevel"/>
    <w:lvl w:ilvl="0">
      <w:lvlJc w:val="left"/>
      <w:lvlText w:val="%1."/>
      <w:numFmt w:val="decimal"/>
      <w:start w:val="3"/>
    </w:lvl>
  </w:abstractNum>
  <w:abstractNum w:abstractNumId="366">
    <w:nsid w:val="129B95F2"/>
    <w:multiLevelType w:val="hybridMultilevel"/>
    <w:lvl w:ilvl="0">
      <w:lvlJc w:val="left"/>
      <w:lvlText w:val="%1."/>
      <w:numFmt w:val="decimal"/>
      <w:start w:val="7"/>
    </w:lvl>
  </w:abstractNum>
  <w:abstractNum w:abstractNumId="367">
    <w:nsid w:val="309FB9AB"/>
    <w:multiLevelType w:val="hybridMultilevel"/>
    <w:lvl w:ilvl="0">
      <w:lvlJc w:val="left"/>
      <w:lvlText w:val="%1."/>
      <w:numFmt w:val="decimal"/>
      <w:start w:val="8"/>
    </w:lvl>
  </w:abstractNum>
  <w:abstractNum w:abstractNumId="368">
    <w:nsid w:val="782FF375"/>
    <w:multiLevelType w:val="hybridMultilevel"/>
    <w:lvl w:ilvl="0">
      <w:lvlJc w:val="left"/>
      <w:lvlText w:val="%1."/>
      <w:numFmt w:val="decimal"/>
      <w:start w:val="10"/>
    </w:lvl>
  </w:abstractNum>
  <w:abstractNum w:abstractNumId="369">
    <w:nsid w:val="2B8FA025"/>
    <w:multiLevelType w:val="hybridMultilevel"/>
    <w:lvl w:ilvl="0">
      <w:lvlJc w:val="left"/>
      <w:lvlText w:val="%1."/>
      <w:numFmt w:val="decimal"/>
      <w:start w:val="12"/>
    </w:lvl>
  </w:abstractNum>
  <w:abstractNum w:abstractNumId="370">
    <w:nsid w:val="40F9991C"/>
    <w:multiLevelType w:val="hybridMultilevel"/>
    <w:lvl w:ilvl="0">
      <w:lvlJc w:val="left"/>
      <w:lvlText w:val="%1."/>
      <w:numFmt w:val="decimal"/>
      <w:start w:val="13"/>
    </w:lvl>
  </w:abstractNum>
  <w:abstractNum w:abstractNumId="371">
    <w:nsid w:val="52192AD"/>
    <w:multiLevelType w:val="hybridMultilevel"/>
    <w:lvl w:ilvl="0">
      <w:lvlJc w:val="left"/>
      <w:lvlText w:val="%1."/>
      <w:numFmt w:val="decimal"/>
      <w:start w:val="15"/>
    </w:lvl>
  </w:abstractNum>
  <w:abstractNum w:abstractNumId="372">
    <w:nsid w:val="7670D608"/>
    <w:multiLevelType w:val="hybridMultilevel"/>
    <w:lvl w:ilvl="0">
      <w:lvlJc w:val="left"/>
      <w:lvlText w:val="(%1)"/>
      <w:numFmt w:val="decimal"/>
      <w:start w:val="3"/>
    </w:lvl>
  </w:abstractNum>
  <w:abstractNum w:abstractNumId="373">
    <w:nsid w:val="48B6B6EB"/>
    <w:multiLevelType w:val="hybridMultilevel"/>
    <w:lvl w:ilvl="0">
      <w:lvlJc w:val="left"/>
      <w:lvlText w:val="(%1)"/>
      <w:numFmt w:val="decimal"/>
      <w:start w:val="3"/>
    </w:lvl>
  </w:abstractNum>
  <w:abstractNum w:abstractNumId="374">
    <w:nsid w:val="FB37489"/>
    <w:multiLevelType w:val="hybridMultilevel"/>
    <w:lvl w:ilvl="0">
      <w:lvlJc w:val="left"/>
      <w:lvlText w:val="(%1)"/>
      <w:numFmt w:val="decimal"/>
      <w:start w:val="3"/>
    </w:lvl>
  </w:abstractNum>
  <w:abstractNum w:abstractNumId="375">
    <w:nsid w:val="8A75F95"/>
    <w:multiLevelType w:val="hybridMultilevel"/>
    <w:lvl w:ilvl="0">
      <w:lvlJc w:val="left"/>
      <w:lvlText w:val="%1."/>
      <w:numFmt w:val="decimal"/>
      <w:start w:val="1"/>
    </w:lvl>
  </w:abstractNum>
  <w:abstractNum w:abstractNumId="376">
    <w:nsid w:val="2B27BF4D"/>
    <w:multiLevelType w:val="hybridMultilevel"/>
    <w:lvl w:ilvl="0">
      <w:lvlJc w:val="left"/>
      <w:lvlText w:val="%1."/>
      <w:numFmt w:val="decimal"/>
      <w:start w:val="1"/>
    </w:lvl>
  </w:abstractNum>
  <w:abstractNum w:abstractNumId="377">
    <w:nsid w:val="E5CBEB4"/>
    <w:multiLevelType w:val="hybridMultilevel"/>
    <w:lvl w:ilvl="0">
      <w:lvlJc w:val="left"/>
      <w:lvlText w:val="%1."/>
      <w:numFmt w:val="decimal"/>
      <w:start w:val="2"/>
    </w:lvl>
  </w:abstractNum>
  <w:abstractNum w:abstractNumId="378">
    <w:nsid w:val="297BFD38"/>
    <w:multiLevelType w:val="hybridMultilevel"/>
    <w:lvl w:ilvl="0">
      <w:lvlJc w:val="left"/>
      <w:lvlText w:val="%1."/>
      <w:numFmt w:val="decimal"/>
      <w:start w:val="4"/>
    </w:lvl>
  </w:abstractNum>
  <w:abstractNum w:abstractNumId="379">
    <w:nsid w:val="D9A50ED"/>
    <w:multiLevelType w:val="hybridMultilevel"/>
    <w:lvl w:ilvl="0">
      <w:lvlJc w:val="left"/>
      <w:lvlText w:val="%1."/>
      <w:numFmt w:val="decimal"/>
      <w:start w:val="5"/>
    </w:lvl>
  </w:abstractNum>
  <w:abstractNum w:abstractNumId="380">
    <w:nsid w:val="20DAABD1"/>
    <w:multiLevelType w:val="hybridMultilevel"/>
    <w:lvl w:ilvl="0">
      <w:lvlJc w:val="left"/>
      <w:lvlText w:val="%1."/>
      <w:numFmt w:val="decimal"/>
      <w:start w:val="8"/>
    </w:lvl>
  </w:abstractNum>
  <w:abstractNum w:abstractNumId="381">
    <w:nsid w:val="71B563E3"/>
    <w:multiLevelType w:val="hybridMultilevel"/>
    <w:lvl w:ilvl="0">
      <w:lvlJc w:val="left"/>
      <w:lvlText w:val=" "/>
      <w:numFmt w:val="bullet"/>
      <w:start w:val="1"/>
    </w:lvl>
  </w:abstractNum>
  <w:abstractNum w:abstractNumId="382">
    <w:nsid w:val="741A191E"/>
    <w:multiLevelType w:val="hybridMultilevel"/>
    <w:lvl w:ilvl="0">
      <w:lvlJc w:val="left"/>
      <w:lvlText w:val="%1."/>
      <w:numFmt w:val="decimal"/>
      <w:start w:val="11"/>
    </w:lvl>
  </w:abstractNum>
  <w:abstractNum w:abstractNumId="383">
    <w:nsid w:val="55886153"/>
    <w:multiLevelType w:val="hybridMultilevel"/>
    <w:lvl w:ilvl="0">
      <w:lvlJc w:val="left"/>
      <w:lvlText w:val="(%1)"/>
      <w:numFmt w:val="decimal"/>
      <w:start w:val="1"/>
    </w:lvl>
  </w:abstractNum>
  <w:abstractNum w:abstractNumId="384">
    <w:nsid w:val="3E6AF287"/>
    <w:multiLevelType w:val="hybridMultilevel"/>
    <w:lvl w:ilvl="0">
      <w:lvlJc w:val="left"/>
      <w:lvlText w:val="(%1)"/>
      <w:numFmt w:val="decimal"/>
      <w:start w:val="1"/>
    </w:lvl>
  </w:abstractNum>
  <w:abstractNum w:abstractNumId="385">
    <w:nsid w:val="2D7CB919"/>
    <w:multiLevelType w:val="hybridMultilevel"/>
    <w:lvl w:ilvl="0">
      <w:lvlJc w:val="left"/>
      <w:lvlText w:val="A"/>
      <w:numFmt w:val="bullet"/>
      <w:start w:val="1"/>
    </w:lvl>
  </w:abstractNum>
  <w:abstractNum w:abstractNumId="386">
    <w:nsid w:val="4781AC2F"/>
    <w:multiLevelType w:val="hybridMultilevel"/>
    <w:lvl w:ilvl="0">
      <w:lvlJc w:val="left"/>
      <w:lvlText w:val="C"/>
      <w:numFmt w:val="bullet"/>
      <w:start w:val="1"/>
    </w:lvl>
  </w:abstractNum>
  <w:abstractNum w:abstractNumId="387">
    <w:nsid w:val="666AA3E1"/>
    <w:multiLevelType w:val="hybridMultilevel"/>
    <w:lvl w:ilvl="0">
      <w:lvlJc w:val="left"/>
      <w:lvlText w:val="D"/>
      <w:numFmt w:val="bullet"/>
      <w:start w:val="1"/>
    </w:lvl>
  </w:abstractNum>
  <w:abstractNum w:abstractNumId="388">
    <w:nsid w:val="32089E8C"/>
    <w:multiLevelType w:val="hybridMultilevel"/>
    <w:lvl w:ilvl="0">
      <w:lvlJc w:val="left"/>
      <w:lvlText w:val="%1."/>
      <w:numFmt w:val="decimal"/>
      <w:start w:val="1"/>
    </w:lvl>
  </w:abstractNum>
  <w:abstractNum w:abstractNumId="389">
    <w:nsid w:val="5BAC6C9C"/>
    <w:multiLevelType w:val="hybridMultilevel"/>
    <w:lvl w:ilvl="0">
      <w:lvlJc w:val="left"/>
      <w:lvlText w:val="%1."/>
      <w:numFmt w:val="decimal"/>
      <w:start w:val="3"/>
    </w:lvl>
  </w:abstractNum>
  <w:abstractNum w:abstractNumId="390">
    <w:nsid w:val="460FE42B"/>
    <w:multiLevelType w:val="hybridMultilevel"/>
    <w:lvl w:ilvl="0">
      <w:lvlJc w:val="left"/>
      <w:lvlText w:val="%1."/>
      <w:numFmt w:val="decimal"/>
      <w:start w:val="6"/>
    </w:lvl>
  </w:abstractNum>
  <w:abstractNum w:abstractNumId="391">
    <w:nsid w:val="5EC714FC"/>
    <w:multiLevelType w:val="hybridMultilevel"/>
    <w:lvl w:ilvl="0">
      <w:lvlJc w:val="left"/>
      <w:lvlText w:val="%1."/>
      <w:numFmt w:val="decimal"/>
      <w:start w:val="8"/>
    </w:lvl>
  </w:abstractNum>
  <w:abstractNum w:abstractNumId="392">
    <w:nsid w:val="39333BAD"/>
    <w:multiLevelType w:val="hybridMultilevel"/>
    <w:lvl w:ilvl="0">
      <w:lvlJc w:val="left"/>
      <w:lvlText w:val="%1."/>
      <w:numFmt w:val="decimal"/>
      <w:start w:val="10"/>
    </w:lvl>
  </w:abstractNum>
  <w:abstractNum w:abstractNumId="393">
    <w:nsid w:val="2FFF2A9F"/>
    <w:multiLevelType w:val="hybridMultilevel"/>
    <w:lvl w:ilvl="0">
      <w:lvlJc w:val="left"/>
      <w:lvlText w:val="%1."/>
      <w:numFmt w:val="decimal"/>
      <w:start w:val="14"/>
    </w:lvl>
  </w:abstractNum>
  <w:abstractNum w:abstractNumId="394">
    <w:nsid w:val="477304AC"/>
    <w:multiLevelType w:val="hybridMultilevel"/>
    <w:lvl w:ilvl="0">
      <w:lvlJc w:val="left"/>
      <w:lvlText w:val="%1."/>
      <w:numFmt w:val="decimal"/>
      <w:start w:val="1"/>
    </w:lvl>
  </w:abstractNum>
  <w:abstractNum w:abstractNumId="395">
    <w:nsid w:val="6B9F7823"/>
    <w:multiLevelType w:val="hybridMultilevel"/>
    <w:lvl w:ilvl="0">
      <w:lvlJc w:val="left"/>
      <w:lvlText w:val="%1."/>
      <w:numFmt w:val="decimal"/>
      <w:start w:val="1"/>
    </w:lvl>
  </w:abstractNum>
  <w:abstractNum w:abstractNumId="396">
    <w:nsid w:val="8A29A69"/>
    <w:multiLevelType w:val="hybridMultilevel"/>
    <w:lvl w:ilvl="0">
      <w:lvlJc w:val="left"/>
      <w:lvlText w:val="%1."/>
      <w:numFmt w:val="decimal"/>
      <w:start w:val="2"/>
    </w:lvl>
  </w:abstractNum>
  <w:abstractNum w:abstractNumId="397">
    <w:nsid w:val="5A0E9A9F"/>
    <w:multiLevelType w:val="hybridMultilevel"/>
    <w:lvl w:ilvl="0">
      <w:lvlJc w:val="left"/>
      <w:lvlText w:val="(%1)"/>
      <w:numFmt w:val="lowerRoman"/>
      <w:start w:val="1"/>
    </w:lvl>
  </w:abstractNum>
  <w:abstractNum w:abstractNumId="398">
    <w:nsid w:val="1C3F31CE"/>
    <w:multiLevelType w:val="hybridMultilevel"/>
    <w:lvl w:ilvl="0">
      <w:lvlJc w:val="left"/>
      <w:lvlText w:val="%1."/>
      <w:numFmt w:val="decimal"/>
      <w:start w:val="3"/>
    </w:lvl>
    <w:lvl w:ilvl="1">
      <w:lvlJc w:val="left"/>
      <w:lvlText w:val="(%2)"/>
      <w:numFmt w:val="lowerRoman"/>
      <w:start w:val="2"/>
    </w:lvl>
  </w:abstractNum>
  <w:abstractNum w:abstractNumId="399">
    <w:nsid w:val="D28DDE"/>
    <w:multiLevelType w:val="hybridMultilevel"/>
    <w:lvl w:ilvl="0">
      <w:lvlJc w:val="left"/>
      <w:lvlText w:val="%1."/>
      <w:numFmt w:val="decimal"/>
      <w:start w:val="4"/>
    </w:lvl>
  </w:abstractNum>
  <w:abstractNum w:abstractNumId="400">
    <w:nsid w:val="59E3AC4"/>
    <w:multiLevelType w:val="hybridMultilevel"/>
    <w:lvl w:ilvl="0">
      <w:lvlJc w:val="left"/>
      <w:lvlText w:val="%1."/>
      <w:numFmt w:val="decimal"/>
      <w:start w:val="6"/>
    </w:lvl>
    <w:lvl w:ilvl="1">
      <w:lvlJc w:val="left"/>
      <w:lvlText w:val="(%2)"/>
      <w:numFmt w:val="decimal"/>
      <w:start w:val="1"/>
    </w:lvl>
  </w:abstractNum>
  <w:abstractNum w:abstractNumId="401">
    <w:nsid w:val="5D38CAEA"/>
    <w:multiLevelType w:val="hybridMultilevel"/>
    <w:lvl w:ilvl="0">
      <w:lvlJc w:val="left"/>
      <w:lvlText w:val="(%1)"/>
      <w:numFmt w:val="decimal"/>
      <w:start w:val="1"/>
    </w:lvl>
  </w:abstractNum>
  <w:abstractNum w:abstractNumId="402">
    <w:nsid w:val="5F4208C"/>
    <w:multiLevelType w:val="hybridMultilevel"/>
    <w:lvl w:ilvl="0">
      <w:lvlJc w:val="left"/>
      <w:lvlText w:val="%1."/>
      <w:numFmt w:val="decimal"/>
      <w:start w:val="8"/>
    </w:lvl>
  </w:abstractNum>
  <w:abstractNum w:abstractNumId="403">
    <w:nsid w:val="7C0F10CC"/>
    <w:multiLevelType w:val="hybridMultilevel"/>
    <w:lvl w:ilvl="0">
      <w:lvlJc w:val="left"/>
      <w:lvlText w:val="%1."/>
      <w:numFmt w:val="decimal"/>
      <w:start w:val="9"/>
    </w:lvl>
  </w:abstractNum>
  <w:abstractNum w:abstractNumId="404">
    <w:nsid w:val="25EF81D5"/>
    <w:multiLevelType w:val="hybridMultilevel"/>
    <w:lvl w:ilvl="0">
      <w:lvlJc w:val="left"/>
      <w:lvlText w:val="(%1)"/>
      <w:numFmt w:val="lowerRoman"/>
      <w:start w:val="1"/>
    </w:lvl>
  </w:abstractNum>
  <w:abstractNum w:abstractNumId="405">
    <w:nsid w:val="15A79515"/>
    <w:multiLevelType w:val="hybridMultilevel"/>
    <w:lvl w:ilvl="0">
      <w:lvlJc w:val="left"/>
      <w:lvlText w:val="%1."/>
      <w:numFmt w:val="decimal"/>
      <w:start w:val="1"/>
    </w:lvl>
  </w:abstractNum>
  <w:abstractNum w:abstractNumId="406">
    <w:nsid w:val="4B67062"/>
    <w:multiLevelType w:val="hybridMultilevel"/>
    <w:lvl w:ilvl="0">
      <w:lvlJc w:val="left"/>
      <w:lvlText w:val="%1."/>
      <w:numFmt w:val="decimal"/>
      <w:start w:val="2"/>
    </w:lvl>
    <w:lvl w:ilvl="1">
      <w:lvlJc w:val="left"/>
      <w:lvlText w:val="(%2)"/>
      <w:numFmt w:val="decimal"/>
      <w:start w:val="10"/>
    </w:lvl>
  </w:abstractNum>
  <w:abstractNum w:abstractNumId="407">
    <w:nsid w:val="51174123"/>
    <w:multiLevelType w:val="hybridMultilevel"/>
    <w:lvl w:ilvl="0">
      <w:lvlJc w:val="left"/>
      <w:lvlText w:val="%1"/>
      <w:numFmt w:val="decimal"/>
      <w:start w:val="1"/>
    </w:lvl>
    <w:lvl w:ilvl="1">
      <w:lvlJc w:val="left"/>
      <w:lvlText w:val="(%2)"/>
      <w:numFmt w:val="decimal"/>
      <w:start w:val="1"/>
    </w:lvl>
  </w:abstractNum>
  <w:abstractNum w:abstractNumId="408">
    <w:nsid w:val="240453CA"/>
    <w:multiLevelType w:val="hybridMultilevel"/>
    <w:lvl w:ilvl="0">
      <w:lvlJc w:val="left"/>
      <w:lvlText w:val="%1."/>
      <w:numFmt w:val="decimal"/>
      <w:start w:val="3"/>
    </w:lvl>
    <w:lvl w:ilvl="1">
      <w:lvlJc w:val="left"/>
      <w:lvlText w:val="%2"/>
      <w:numFmt w:val="decimal"/>
      <w:start w:val="1"/>
    </w:lvl>
  </w:abstractNum>
  <w:abstractNum w:abstractNumId="409">
    <w:nsid w:val="2E326D9A"/>
    <w:multiLevelType w:val="hybridMultilevel"/>
    <w:lvl w:ilvl="0">
      <w:lvlJc w:val="left"/>
      <w:lvlText w:val="(%1)"/>
      <w:numFmt w:val="decimal"/>
      <w:start w:val="1"/>
    </w:lvl>
  </w:abstractNum>
  <w:abstractNum w:abstractNumId="410">
    <w:nsid w:val="5EB19210"/>
    <w:multiLevelType w:val="hybridMultilevel"/>
    <w:lvl w:ilvl="0">
      <w:lvlJc w:val="left"/>
      <w:lvlText w:val="%1."/>
      <w:numFmt w:val="decimal"/>
      <w:start w:val="4"/>
    </w:lvl>
  </w:abstractNum>
  <w:abstractNum w:abstractNumId="411">
    <w:nsid w:val="44DEFF9B"/>
    <w:multiLevelType w:val="hybridMultilevel"/>
    <w:lvl w:ilvl="0">
      <w:lvlJc w:val="left"/>
      <w:lvlText w:val="%1."/>
      <w:numFmt w:val="decimal"/>
      <w:start w:val="5"/>
    </w:lvl>
    <w:lvl w:ilvl="1">
      <w:lvlJc w:val="left"/>
      <w:lvlText w:val="(%2)"/>
      <w:numFmt w:val="decimal"/>
      <w:start w:val="1"/>
    </w:lvl>
  </w:abstractNum>
  <w:abstractNum w:abstractNumId="412">
    <w:nsid w:val="1FE7D17D"/>
    <w:multiLevelType w:val="hybridMultilevel"/>
    <w:lvl w:ilvl="0">
      <w:lvlJc w:val="left"/>
      <w:lvlText w:val="(%1)"/>
      <w:numFmt w:val="decimal"/>
      <w:start w:val="1"/>
    </w:lvl>
  </w:abstractNum>
  <w:abstractNum w:abstractNumId="413">
    <w:nsid w:val="52CBAB2E"/>
    <w:multiLevelType w:val="hybridMultilevel"/>
    <w:lvl w:ilvl="0">
      <w:lvlJc w:val="left"/>
      <w:lvlText w:val="%1"/>
      <w:numFmt w:val="decimal"/>
      <w:start w:val="1"/>
    </w:lvl>
    <w:lvl w:ilvl="1">
      <w:lvlJc w:val="left"/>
      <w:lvlText w:val="(%2)"/>
      <w:numFmt w:val="decimal"/>
      <w:start w:val="5"/>
    </w:lvl>
  </w:abstractNum>
  <w:abstractNum w:abstractNumId="414">
    <w:nsid w:val="1A6760EF"/>
    <w:multiLevelType w:val="hybridMultilevel"/>
    <w:lvl w:ilvl="0">
      <w:lvlJc w:val="left"/>
      <w:lvlText w:val="%1."/>
      <w:numFmt w:val="decimal"/>
      <w:start w:val="6"/>
    </w:lvl>
    <w:lvl w:ilvl="1">
      <w:lvlJc w:val="left"/>
      <w:lvlText w:val="(%2)"/>
      <w:numFmt w:val="decimal"/>
      <w:start w:val="1"/>
    </w:lvl>
  </w:abstractNum>
  <w:abstractNum w:abstractNumId="415">
    <w:nsid w:val="5E52C405"/>
    <w:multiLevelType w:val="hybridMultilevel"/>
    <w:lvl w:ilvl="0">
      <w:lvlJc w:val="left"/>
      <w:lvlText w:val="(%1)"/>
      <w:numFmt w:val="decimal"/>
      <w:start w:val="6"/>
    </w:lvl>
  </w:abstractNum>
  <w:abstractNum w:abstractNumId="416">
    <w:nsid w:val="486447"/>
    <w:multiLevelType w:val="hybridMultilevel"/>
    <w:lvl w:ilvl="0">
      <w:lvlJc w:val="left"/>
      <w:lvlText w:val="(%1)"/>
      <w:numFmt w:val="decimal"/>
      <w:start w:val="1"/>
    </w:lvl>
  </w:abstractNum>
  <w:abstractNum w:abstractNumId="417">
    <w:nsid w:val="61E90D1E"/>
    <w:multiLevelType w:val="hybridMultilevel"/>
    <w:lvl w:ilvl="0">
      <w:lvlJc w:val="left"/>
      <w:lvlText w:val="%1"/>
      <w:numFmt w:val="decimal"/>
      <w:start w:val="1"/>
    </w:lvl>
    <w:lvl w:ilvl="1">
      <w:lvlJc w:val="left"/>
      <w:lvlText w:val="(%2)"/>
      <w:numFmt w:val="decimal"/>
      <w:start w:val="3"/>
    </w:lvl>
  </w:abstractNum>
  <w:abstractNum w:abstractNumId="418">
    <w:nsid w:val="44BD67E6"/>
    <w:multiLevelType w:val="hybridMultilevel"/>
    <w:lvl w:ilvl="0">
      <w:lvlJc w:val="left"/>
      <w:lvlText w:val="%1."/>
      <w:numFmt w:val="decimal"/>
      <w:start w:val="7"/>
    </w:lvl>
    <w:lvl w:ilvl="1">
      <w:lvlJc w:val="left"/>
      <w:lvlText w:val="%2"/>
      <w:numFmt w:val="decimal"/>
      <w:start w:val="1"/>
    </w:lvl>
  </w:abstractNum>
  <w:abstractNum w:abstractNumId="419">
    <w:nsid w:val="325102D3"/>
    <w:multiLevelType w:val="hybridMultilevel"/>
    <w:lvl w:ilvl="0">
      <w:lvlJc w:val="left"/>
      <w:lvlText w:val="%1."/>
      <w:numFmt w:val="decimal"/>
      <w:start w:val="8"/>
    </w:lvl>
  </w:abstractNum>
  <w:abstractNum w:abstractNumId="420">
    <w:nsid w:val="3D9579BA"/>
    <w:multiLevelType w:val="hybridMultilevel"/>
    <w:lvl w:ilvl="0">
      <w:lvlJc w:val="left"/>
      <w:lvlText w:val="%1."/>
      <w:numFmt w:val="decimal"/>
      <w:start w:val="9"/>
    </w:lvl>
  </w:abstractNum>
  <w:abstractNum w:abstractNumId="421">
    <w:nsid w:val="ACD4C11"/>
    <w:multiLevelType w:val="hybridMultilevel"/>
    <w:lvl w:ilvl="0">
      <w:lvlJc w:val="left"/>
      <w:lvlText w:val="(%1)"/>
      <w:numFmt w:val="decimal"/>
      <w:start w:val="1"/>
    </w:lvl>
  </w:abstractNum>
  <w:abstractNum w:abstractNumId="422">
    <w:nsid w:val="111817CF"/>
    <w:multiLevelType w:val="hybridMultilevel"/>
    <w:lvl w:ilvl="0">
      <w:lvlJc w:val="left"/>
      <w:lvlText w:val="%1."/>
      <w:numFmt w:val="decimal"/>
      <w:start w:val="1"/>
    </w:lvl>
  </w:abstractNum>
  <w:abstractNum w:abstractNumId="423">
    <w:nsid w:val="76C8B568"/>
    <w:multiLevelType w:val="hybridMultilevel"/>
    <w:lvl w:ilvl="0">
      <w:lvlJc w:val="left"/>
      <w:lvlText w:val="(%1)"/>
      <w:numFmt w:val="lowerLetter"/>
      <w:start w:val="1"/>
    </w:lvl>
  </w:abstractNum>
  <w:abstractNum w:abstractNumId="424">
    <w:nsid w:val="3ACC76B1"/>
    <w:multiLevelType w:val="hybridMultilevel"/>
    <w:lvl w:ilvl="0">
      <w:lvlJc w:val="left"/>
      <w:lvlText w:val="(%1)"/>
      <w:numFmt w:val="lowerLetter"/>
      <w:start w:val="1"/>
    </w:lvl>
  </w:abstractNum>
  <w:abstractNum w:abstractNumId="425">
    <w:nsid w:val="588B1C7C"/>
    <w:multiLevelType w:val="hybridMultilevel"/>
    <w:lvl w:ilvl="0">
      <w:lvlJc w:val="left"/>
      <w:lvlText w:val="(%1)"/>
      <w:numFmt w:val="lowerLetter"/>
      <w:start w:val="1"/>
    </w:lvl>
  </w:abstractNum>
  <w:abstractNum w:abstractNumId="426">
    <w:nsid w:val="62682D8B"/>
    <w:multiLevelType w:val="hybridMultilevel"/>
    <w:lvl w:ilvl="0">
      <w:lvlJc w:val="left"/>
      <w:lvlText w:val="(%1)"/>
      <w:numFmt w:val="lowerLetter"/>
      <w:start w:val="1"/>
    </w:lvl>
  </w:abstractNum>
  <w:abstractNum w:abstractNumId="427">
    <w:nsid w:val="436F111A"/>
    <w:multiLevelType w:val="hybridMultilevel"/>
    <w:lvl w:ilvl="0">
      <w:lvlJc w:val="left"/>
      <w:lvlText w:val="(%1)"/>
      <w:numFmt w:val="lowerLetter"/>
      <w:start w:val="1"/>
    </w:lvl>
  </w:abstractNum>
  <w:abstractNum w:abstractNumId="428">
    <w:nsid w:val="3299B71B"/>
    <w:multiLevelType w:val="hybridMultilevel"/>
    <w:lvl w:ilvl="0">
      <w:lvlJc w:val="left"/>
      <w:lvlText w:val="(%1)"/>
      <w:numFmt w:val="lowerLetter"/>
      <w:start w:val="1"/>
    </w:lvl>
  </w:abstractNum>
  <w:abstractNum w:abstractNumId="429">
    <w:nsid w:val="7EA75F5A"/>
    <w:multiLevelType w:val="hybridMultilevel"/>
    <w:lvl w:ilvl="0">
      <w:lvlJc w:val="left"/>
      <w:lvlText w:val="(%1)"/>
      <w:numFmt w:val="lowerLetter"/>
      <w:start w:val="1"/>
    </w:lvl>
  </w:abstractNum>
  <w:abstractNum w:abstractNumId="430">
    <w:nsid w:val="44419EF9"/>
    <w:multiLevelType w:val="hybridMultilevel"/>
    <w:lvl w:ilvl="0">
      <w:lvlJc w:val="left"/>
      <w:lvlText w:val="(%1)"/>
      <w:numFmt w:val="lowerLetter"/>
      <w:start w:val="1"/>
    </w:lvl>
  </w:abstractNum>
  <w:abstractNum w:abstractNumId="431">
    <w:nsid w:val="3837F1DF"/>
    <w:multiLevelType w:val="hybridMultilevel"/>
    <w:lvl w:ilvl="0">
      <w:lvlJc w:val="left"/>
      <w:lvlText w:val="(%1)"/>
      <w:numFmt w:val="lowerLetter"/>
      <w:start w:val="1"/>
    </w:lvl>
  </w:abstractNum>
  <w:abstractNum w:abstractNumId="432">
    <w:nsid w:val="5BE02A44"/>
    <w:multiLevelType w:val="hybridMultilevel"/>
    <w:lvl w:ilvl="0">
      <w:lvlJc w:val="left"/>
      <w:lvlText w:val="(%1)"/>
      <w:numFmt w:val="lowerLetter"/>
      <w:start w:val="2"/>
    </w:lvl>
  </w:abstractNum>
  <w:abstractNum w:abstractNumId="433">
    <w:nsid w:val="4A35BF85"/>
    <w:multiLevelType w:val="hybridMultilevel"/>
    <w:lvl w:ilvl="0">
      <w:lvlJc w:val="left"/>
      <w:lvlText w:val="(%1)"/>
      <w:numFmt w:val="lowerLetter"/>
      <w:start w:val="1"/>
    </w:lvl>
  </w:abstractNum>
  <w:abstractNum w:abstractNumId="434">
    <w:nsid w:val="344702AC"/>
    <w:multiLevelType w:val="hybridMultilevel"/>
    <w:lvl w:ilvl="0">
      <w:lvlJc w:val="left"/>
      <w:lvlText w:val="(%1)"/>
      <w:numFmt w:val="lowerLetter"/>
      <w:start w:val="1"/>
    </w:lvl>
  </w:abstractNum>
  <w:abstractNum w:abstractNumId="435">
    <w:nsid w:val="1CFAC1A"/>
    <w:multiLevelType w:val="hybridMultilevel"/>
    <w:lvl w:ilvl="0">
      <w:lvlJc w:val="left"/>
      <w:lvlText w:val="(%1)"/>
      <w:numFmt w:val="lowerLetter"/>
      <w:start w:val="1"/>
    </w:lvl>
  </w:abstractNum>
  <w:abstractNum w:abstractNumId="436">
    <w:nsid w:val="5FDD549A"/>
    <w:multiLevelType w:val="hybridMultilevel"/>
    <w:lvl w:ilvl="0">
      <w:lvlJc w:val="left"/>
      <w:lvlText w:val="(%1)"/>
      <w:numFmt w:val="lowerRoman"/>
      <w:start w:val="1"/>
    </w:lvl>
  </w:abstractNum>
  <w:abstractNum w:abstractNumId="437">
    <w:nsid w:val="38FD730E"/>
    <w:multiLevelType w:val="hybridMultilevel"/>
    <w:lvl w:ilvl="0">
      <w:lvlJc w:val="left"/>
      <w:lvlText w:val="(%1)"/>
      <w:numFmt w:val="lowerLetter"/>
      <w:start w:val="1"/>
    </w:lvl>
  </w:abstractNum>
  <w:abstractNum w:abstractNumId="438">
    <w:nsid w:val="52E6ED3D"/>
    <w:multiLevelType w:val="hybridMultilevel"/>
    <w:lvl w:ilvl="0">
      <w:lvlJc w:val="left"/>
      <w:lvlText w:val="(%1)"/>
      <w:numFmt w:val="lowerLetter"/>
      <w:start w:val="1"/>
    </w:lvl>
  </w:abstractNum>
  <w:abstractNum w:abstractNumId="439">
    <w:nsid w:val="3E1A864"/>
    <w:multiLevelType w:val="hybridMultilevel"/>
    <w:lvl w:ilvl="0">
      <w:lvlJc w:val="left"/>
      <w:lvlText w:val="(%1)"/>
      <w:numFmt w:val="lowerRoman"/>
      <w:start w:val="1"/>
    </w:lvl>
    <w:lvl w:ilvl="1">
      <w:lvlJc w:val="left"/>
      <w:lvlText w:val="(%2)"/>
      <w:numFmt w:val="upperLetter"/>
      <w:start w:val="1"/>
    </w:lvl>
  </w:abstractNum>
  <w:abstractNum w:abstractNumId="440">
    <w:nsid w:val="672FE0A8"/>
    <w:multiLevelType w:val="hybridMultilevel"/>
    <w:lvl w:ilvl="0">
      <w:lvlJc w:val="left"/>
      <w:lvlText w:val="(%1)"/>
      <w:numFmt w:val="lowerRoman"/>
      <w:start w:val="2"/>
    </w:lvl>
  </w:abstractNum>
  <w:abstractNum w:abstractNumId="441">
    <w:nsid w:val="31987F4D"/>
    <w:multiLevelType w:val="hybridMultilevel"/>
    <w:lvl w:ilvl="0">
      <w:lvlJc w:val="left"/>
      <w:lvlText w:val="(%1)"/>
      <w:numFmt w:val="lowerLetter"/>
      <w:start w:val="1"/>
    </w:lvl>
    <w:lvl w:ilvl="1">
      <w:lvlJc w:val="left"/>
      <w:lvlText w:val="(%2)"/>
      <w:numFmt w:val="lowerRoman"/>
      <w:start w:val="1"/>
    </w:lvl>
  </w:abstractNum>
  <w:abstractNum w:abstractNumId="442">
    <w:nsid w:val="48C0A800"/>
    <w:multiLevelType w:val="hybridMultilevel"/>
    <w:lvl w:ilvl="0">
      <w:lvlJc w:val="left"/>
      <w:lvlText w:val="(%1)"/>
      <w:numFmt w:val="lowerLetter"/>
      <w:start w:val="1"/>
    </w:lvl>
  </w:abstractNum>
  <w:abstractNum w:abstractNumId="443">
    <w:nsid w:val="717B226"/>
    <w:multiLevelType w:val="hybridMultilevel"/>
    <w:lvl w:ilvl="0">
      <w:lvlJc w:val="left"/>
      <w:lvlText w:val="(%1)"/>
      <w:numFmt w:val="lowerLetter"/>
      <w:start w:val="1"/>
    </w:lvl>
  </w:abstractNum>
  <w:abstractNum w:abstractNumId="444">
    <w:nsid w:val="4642A7B"/>
    <w:multiLevelType w:val="hybridMultilevel"/>
    <w:lvl w:ilvl="0">
      <w:lvlJc w:val="left"/>
      <w:lvlText w:val="(%1)"/>
      <w:numFmt w:val="lowerLetter"/>
      <w:start w:val="1"/>
    </w:lvl>
  </w:abstractNum>
  <w:abstractNum w:abstractNumId="445">
    <w:nsid w:val="632808EF"/>
    <w:multiLevelType w:val="hybridMultilevel"/>
    <w:lvl w:ilvl="0">
      <w:lvlJc w:val="left"/>
      <w:lvlText w:val="(%1)"/>
      <w:numFmt w:val="lowerLetter"/>
      <w:start w:val="1"/>
    </w:lvl>
  </w:abstractNum>
  <w:abstractNum w:abstractNumId="446">
    <w:nsid w:val="656A762B"/>
    <w:multiLevelType w:val="hybridMultilevel"/>
    <w:lvl w:ilvl="0">
      <w:lvlJc w:val="left"/>
      <w:lvlText w:val="(%1)"/>
      <w:numFmt w:val="lowerLetter"/>
      <w:start w:val="1"/>
    </w:lvl>
  </w:abstractNum>
  <w:abstractNum w:abstractNumId="447">
    <w:nsid w:val="4AC8EC3"/>
    <w:multiLevelType w:val="hybridMultilevel"/>
    <w:lvl w:ilvl="0">
      <w:lvlJc w:val="left"/>
      <w:lvlText w:val="(%1)"/>
      <w:numFmt w:val="lowerLetter"/>
      <w:start w:val="1"/>
    </w:lvl>
  </w:abstractNum>
  <w:abstractNum w:abstractNumId="448">
    <w:nsid w:val="4511160D"/>
    <w:multiLevelType w:val="hybridMultilevel"/>
    <w:lvl w:ilvl="0">
      <w:lvlJc w:val="left"/>
      <w:lvlText w:val="(%1)"/>
      <w:numFmt w:val="lowerLetter"/>
      <w:start w:val="1"/>
    </w:lvl>
  </w:abstractNum>
  <w:abstractNum w:abstractNumId="449">
    <w:nsid w:val="2A27DE11"/>
    <w:multiLevelType w:val="hybridMultilevel"/>
    <w:lvl w:ilvl="0">
      <w:lvlJc w:val="left"/>
      <w:lvlText w:val="(%1)"/>
      <w:numFmt w:val="lowerLetter"/>
      <w:start w:val="1"/>
    </w:lvl>
  </w:abstractNum>
  <w:abstractNum w:abstractNumId="450">
    <w:nsid w:val="36FD9196"/>
    <w:multiLevelType w:val="hybridMultilevel"/>
    <w:lvl w:ilvl="0">
      <w:lvlJc w:val="left"/>
      <w:lvlText w:val="(%1)"/>
      <w:numFmt w:val="lowerLetter"/>
      <w:start w:val="1"/>
    </w:lvl>
  </w:abstractNum>
  <w:abstractNum w:abstractNumId="451">
    <w:nsid w:val="2A68FC8"/>
    <w:multiLevelType w:val="hybridMultilevel"/>
    <w:lvl w:ilvl="0">
      <w:lvlJc w:val="left"/>
      <w:lvlText w:val="(%1)"/>
      <w:numFmt w:val="lowerRoman"/>
      <w:start w:val="1"/>
    </w:lvl>
    <w:lvl w:ilvl="1">
      <w:lvlJc w:val="left"/>
      <w:lvlText w:val="(%2)"/>
      <w:numFmt w:val="upperLetter"/>
      <w:start w:val="1"/>
    </w:lvl>
  </w:abstractNum>
  <w:abstractNum w:abstractNumId="452">
    <w:nsid w:val="34F52A23"/>
    <w:multiLevelType w:val="hybridMultilevel"/>
    <w:lvl w:ilvl="0">
      <w:lvlJc w:val="left"/>
      <w:lvlText w:val="(%1)"/>
      <w:numFmt w:val="lowerRoman"/>
      <w:start w:val="2"/>
    </w:lvl>
  </w:abstractNum>
  <w:abstractNum w:abstractNumId="453">
    <w:nsid w:val="4815A966"/>
    <w:multiLevelType w:val="hybridMultilevel"/>
    <w:lvl w:ilvl="0">
      <w:lvlJc w:val="left"/>
      <w:lvlText w:val="(%1)"/>
      <w:numFmt w:val="lowerLetter"/>
      <w:start w:val="1"/>
    </w:lvl>
    <w:lvl w:ilvl="1">
      <w:lvlJc w:val="left"/>
      <w:lvlText w:val="(%2)"/>
      <w:numFmt w:val="lowerRoman"/>
      <w:start w:val="1"/>
    </w:lvl>
  </w:abstractNum>
  <w:abstractNum w:abstractNumId="454">
    <w:nsid w:val="796F4530"/>
    <w:multiLevelType w:val="hybridMultilevel"/>
    <w:lvl w:ilvl="0">
      <w:lvlJc w:val="left"/>
      <w:lvlText w:val="(%1)"/>
      <w:numFmt w:val="lowerLetter"/>
      <w:start w:val="1"/>
    </w:lvl>
  </w:abstractNum>
  <w:abstractNum w:abstractNumId="455">
    <w:nsid w:val="6FC1A0D4"/>
    <w:multiLevelType w:val="hybridMultilevel"/>
    <w:lvl w:ilvl="0">
      <w:lvlJc w:val="left"/>
      <w:lvlText w:val="(%1)"/>
      <w:numFmt w:val="lowerLetter"/>
      <w:start w:val="1"/>
    </w:lvl>
  </w:abstractNum>
  <w:abstractNum w:abstractNumId="456">
    <w:nsid w:val="20A0C5E2"/>
    <w:multiLevelType w:val="hybridMultilevel"/>
    <w:lvl w:ilvl="0">
      <w:lvlJc w:val="left"/>
      <w:lvlText w:val="(%1)"/>
      <w:numFmt w:val="lowerLetter"/>
      <w:start w:val="1"/>
    </w:lvl>
  </w:abstractNum>
  <w:abstractNum w:abstractNumId="457">
    <w:nsid w:val="5BD772BB"/>
    <w:multiLevelType w:val="hybridMultilevel"/>
    <w:lvl w:ilvl="0">
      <w:lvlJc w:val="left"/>
      <w:lvlText w:val="(%1)"/>
      <w:numFmt w:val="lowerLetter"/>
      <w:start w:val="1"/>
    </w:lvl>
  </w:abstractNum>
  <w:abstractNum w:abstractNumId="458">
    <w:nsid w:val="3330B1EE"/>
    <w:multiLevelType w:val="hybridMultilevel"/>
    <w:lvl w:ilvl="0">
      <w:lvlJc w:val="left"/>
      <w:lvlText w:val="(%1)"/>
      <w:numFmt w:val="lowerLetter"/>
      <w:start w:val="1"/>
    </w:lvl>
  </w:abstractNum>
  <w:abstractNum w:abstractNumId="459">
    <w:nsid w:val="533A7CFD"/>
    <w:multiLevelType w:val="hybridMultilevel"/>
    <w:lvl w:ilvl="0">
      <w:lvlJc w:val="left"/>
      <w:lvlText w:val="(%1)"/>
      <w:numFmt w:val="lowerLetter"/>
      <w:start w:val="1"/>
    </w:lvl>
    <w:lvl w:ilvl="1">
      <w:lvlJc w:val="left"/>
      <w:lvlText w:val="(%2)"/>
      <w:numFmt w:val="lowerRoman"/>
      <w:start w:val="1"/>
    </w:lvl>
  </w:abstractNum>
  <w:abstractNum w:abstractNumId="460">
    <w:nsid w:val="5A7ED215"/>
    <w:multiLevelType w:val="hybridMultilevel"/>
    <w:lvl w:ilvl="0">
      <w:lvlJc w:val="left"/>
      <w:lvlText w:val="(%1)"/>
      <w:numFmt w:val="lowerLetter"/>
      <w:start w:val="2"/>
    </w:lvl>
  </w:abstractNum>
  <w:abstractNum w:abstractNumId="461">
    <w:nsid w:val="777250E7"/>
    <w:multiLevelType w:val="hybridMultilevel"/>
    <w:lvl w:ilvl="0">
      <w:lvlJc w:val="left"/>
      <w:lvlText w:val="(%1)"/>
      <w:numFmt w:val="lowerLetter"/>
      <w:start w:val="1"/>
    </w:lvl>
  </w:abstractNum>
  <w:abstractNum w:abstractNumId="462">
    <w:nsid w:val="B726EDC"/>
    <w:multiLevelType w:val="hybridMultilevel"/>
    <w:lvl w:ilvl="0">
      <w:lvlJc w:val="left"/>
      <w:lvlText w:val="(%1)"/>
      <w:numFmt w:val="lowerLetter"/>
      <w:start w:val="1"/>
    </w:lvl>
  </w:abstractNum>
  <w:abstractNum w:abstractNumId="463">
    <w:nsid w:val="365EFC5A"/>
    <w:multiLevelType w:val="hybridMultilevel"/>
    <w:lvl w:ilvl="0">
      <w:lvlJc w:val="left"/>
      <w:lvlText w:val="(%1)"/>
      <w:numFmt w:val="lowerLetter"/>
      <w:start w:val="1"/>
    </w:lvl>
  </w:abstractNum>
  <w:abstractNum w:abstractNumId="464">
    <w:nsid w:val="41A8106C"/>
    <w:multiLevelType w:val="hybridMultilevel"/>
    <w:lvl w:ilvl="0">
      <w:lvlJc w:val="left"/>
      <w:lvlText w:val="(%1)"/>
      <w:numFmt w:val="lowerLetter"/>
      <w:start w:val="1"/>
    </w:lvl>
  </w:abstractNum>
  <w:abstractNum w:abstractNumId="465">
    <w:nsid w:val="3FB97188"/>
    <w:multiLevelType w:val="hybridMultilevel"/>
    <w:lvl w:ilvl="0">
      <w:lvlJc w:val="left"/>
      <w:lvlText w:val="(%1)"/>
      <w:numFmt w:val="lowerLetter"/>
      <w:start w:val="2"/>
    </w:lvl>
  </w:abstractNum>
  <w:abstractNum w:abstractNumId="466">
    <w:nsid w:val="382EA874"/>
    <w:multiLevelType w:val="hybridMultilevel"/>
    <w:lvl w:ilvl="0">
      <w:lvlJc w:val="left"/>
      <w:lvlText w:val="(%1)"/>
      <w:numFmt w:val="lowerLetter"/>
      <w:start w:val="1"/>
    </w:lvl>
  </w:abstractNum>
  <w:abstractNum w:abstractNumId="467">
    <w:nsid w:val="21856507"/>
    <w:multiLevelType w:val="hybridMultilevel"/>
    <w:lvl w:ilvl="0">
      <w:lvlJc w:val="left"/>
      <w:lvlText w:val="(%1)"/>
      <w:numFmt w:val="lowerLetter"/>
      <w:start w:val="1"/>
    </w:lvl>
  </w:abstractNum>
  <w:abstractNum w:abstractNumId="468">
    <w:nsid w:val="78B6E496"/>
    <w:multiLevelType w:val="hybridMultilevel"/>
    <w:lvl w:ilvl="0">
      <w:lvlJc w:val="left"/>
      <w:lvlText w:val="(%1)"/>
      <w:numFmt w:val="lowerLetter"/>
      <w:start w:val="1"/>
    </w:lvl>
  </w:abstractNum>
  <w:abstractNum w:abstractNumId="469">
    <w:nsid w:val="B1595B1"/>
    <w:multiLevelType w:val="hybridMultilevel"/>
    <w:lvl w:ilvl="0">
      <w:lvlJc w:val="left"/>
      <w:lvlText w:val="(%1)"/>
      <w:numFmt w:val="lowerLetter"/>
      <w:start w:val="2"/>
    </w:lvl>
  </w:abstractNum>
  <w:abstractNum w:abstractNumId="470">
    <w:nsid w:val="25670D6B"/>
    <w:multiLevelType w:val="hybridMultilevel"/>
    <w:lvl w:ilvl="0">
      <w:lvlJc w:val="left"/>
      <w:lvlText w:val="(%1)"/>
      <w:numFmt w:val="lowerLetter"/>
      <w:start w:val="1"/>
    </w:lvl>
  </w:abstractNum>
  <w:abstractNum w:abstractNumId="471">
    <w:nsid w:val="5FE6C53F"/>
    <w:multiLevelType w:val="hybridMultilevel"/>
    <w:lvl w:ilvl="0">
      <w:lvlJc w:val="left"/>
      <w:lvlText w:val="(%1)"/>
      <w:numFmt w:val="lowerRoman"/>
      <w:start w:val="1"/>
    </w:lvl>
  </w:abstractNum>
  <w:abstractNum w:abstractNumId="472">
    <w:nsid w:val="3CAE14FE"/>
    <w:multiLevelType w:val="hybridMultilevel"/>
    <w:lvl w:ilvl="0">
      <w:lvlJc w:val="left"/>
      <w:lvlText w:val="(%1)"/>
      <w:numFmt w:val="lowerLetter"/>
      <w:start w:val="1"/>
    </w:lvl>
  </w:abstractNum>
  <w:abstractNum w:abstractNumId="473">
    <w:nsid w:val="6E27B56B"/>
    <w:multiLevelType w:val="hybridMultilevel"/>
    <w:lvl w:ilvl="0">
      <w:lvlJc w:val="left"/>
      <w:lvlText w:val="(%1)"/>
      <w:numFmt w:val="lowerLetter"/>
      <w:start w:val="1"/>
    </w:lvl>
  </w:abstractNum>
  <w:abstractNum w:abstractNumId="474">
    <w:nsid w:val="66FE7765"/>
    <w:multiLevelType w:val="hybridMultilevel"/>
    <w:lvl w:ilvl="0">
      <w:lvlJc w:val="left"/>
      <w:lvlText w:val="(%1)"/>
      <w:numFmt w:val="lowerLetter"/>
      <w:start w:val="1"/>
    </w:lvl>
  </w:abstractNum>
  <w:abstractNum w:abstractNumId="475">
    <w:nsid w:val="41123F79"/>
    <w:multiLevelType w:val="hybridMultilevel"/>
    <w:lvl w:ilvl="0">
      <w:lvlJc w:val="left"/>
      <w:lvlText w:val="(%1)"/>
      <w:numFmt w:val="lowerLetter"/>
      <w:start w:val="1"/>
    </w:lvl>
  </w:abstractNum>
  <w:abstractNum w:abstractNumId="476">
    <w:nsid w:val="514FBE5A"/>
    <w:multiLevelType w:val="hybridMultilevel"/>
    <w:lvl w:ilvl="0">
      <w:lvlJc w:val="left"/>
      <w:lvlText w:val="(%1)"/>
      <w:numFmt w:val="lowerLetter"/>
      <w:start w:val="1"/>
    </w:lvl>
    <w:lvl w:ilvl="1">
      <w:lvlJc w:val="left"/>
      <w:lvlText w:val="(%2)"/>
      <w:numFmt w:val="lowerRoman"/>
      <w:start w:val="1"/>
    </w:lvl>
  </w:abstractNum>
  <w:abstractNum w:abstractNumId="477">
    <w:nsid w:val="4C68ED90"/>
    <w:multiLevelType w:val="hybridMultilevel"/>
    <w:lvl w:ilvl="0">
      <w:lvlJc w:val="left"/>
      <w:lvlText w:val="%1"/>
      <w:numFmt w:val="lowerLetter"/>
      <w:start w:val="1"/>
    </w:lvl>
    <w:lvl w:ilvl="1">
      <w:lvlJc w:val="left"/>
      <w:lvlText w:val="(%2)"/>
      <w:numFmt w:val="lowerRoman"/>
      <w:start w:val="9"/>
    </w:lvl>
  </w:abstractNum>
  <w:abstractNum w:abstractNumId="478">
    <w:nsid w:val="45BECE3C"/>
    <w:multiLevelType w:val="hybridMultilevel"/>
    <w:lvl w:ilvl="0">
      <w:lvlJc w:val="left"/>
      <w:lvlText w:val="(%1)"/>
      <w:numFmt w:val="lowerLetter"/>
      <w:start w:val="2"/>
    </w:lvl>
    <w:lvl w:ilvl="1">
      <w:lvlJc w:val="left"/>
      <w:lvlText w:val="(%2)"/>
      <w:numFmt w:val="lowerRoman"/>
      <w:start w:val="1"/>
    </w:lvl>
  </w:abstractNum>
  <w:abstractNum w:abstractNumId="479">
    <w:nsid w:val="1660D468"/>
    <w:multiLevelType w:val="hybridMultilevel"/>
    <w:lvl w:ilvl="0">
      <w:lvlJc w:val="left"/>
      <w:lvlText w:val="(%1)"/>
      <w:numFmt w:val="lowerLetter"/>
      <w:start w:val="1"/>
    </w:lvl>
  </w:abstractNum>
  <w:abstractNum w:abstractNumId="480">
    <w:nsid w:val="7690CBA1"/>
    <w:multiLevelType w:val="hybridMultilevel"/>
    <w:lvl w:ilvl="0">
      <w:lvlJc w:val="left"/>
      <w:lvlText w:val="(%1)"/>
      <w:numFmt w:val="lowerLetter"/>
      <w:start w:val="2"/>
    </w:lvl>
  </w:abstractNum>
  <w:abstractNum w:abstractNumId="481">
    <w:nsid w:val="7CBC5FD3"/>
    <w:multiLevelType w:val="hybridMultilevel"/>
    <w:lvl w:ilvl="0">
      <w:lvlJc w:val="left"/>
      <w:lvlText w:val="(%1)"/>
      <w:numFmt w:val="lowerLetter"/>
      <w:start w:val="1"/>
    </w:lvl>
  </w:abstractNum>
  <w:abstractNum w:abstractNumId="482">
    <w:nsid w:val="19076430"/>
    <w:multiLevelType w:val="hybridMultilevel"/>
    <w:lvl w:ilvl="0">
      <w:lvlJc w:val="left"/>
      <w:lvlText w:val="%1."/>
      <w:numFmt w:val="decimal"/>
      <w:start w:val="2"/>
    </w:lvl>
  </w:abstractNum>
  <w:abstractNum w:abstractNumId="483">
    <w:nsid w:val="2B85F5C4"/>
    <w:multiLevelType w:val="hybridMultilevel"/>
    <w:lvl w:ilvl="0">
      <w:lvlJc w:val="left"/>
      <w:lvlText w:val="(%1)"/>
      <w:numFmt w:val="lowerLetter"/>
      <w:start w:val="1"/>
    </w:lvl>
  </w:abstractNum>
  <w:abstractNum w:abstractNumId="484">
    <w:nsid w:val="44D20939"/>
    <w:multiLevelType w:val="hybridMultilevel"/>
    <w:lvl w:ilvl="0">
      <w:lvlJc w:val="left"/>
      <w:lvlText w:val="(%1)"/>
      <w:numFmt w:val="lowerLetter"/>
      <w:start w:val="1"/>
    </w:lvl>
  </w:abstractNum>
  <w:abstractNum w:abstractNumId="485">
    <w:nsid w:val="1276A960"/>
    <w:multiLevelType w:val="hybridMultilevel"/>
    <w:lvl w:ilvl="0">
      <w:lvlJc w:val="left"/>
      <w:lvlText w:val="%1"/>
      <w:numFmt w:val="lowerLetter"/>
      <w:start w:val="1"/>
    </w:lvl>
    <w:lvl w:ilvl="1">
      <w:lvlJc w:val="left"/>
      <w:lvlText w:val="(%2)"/>
      <w:numFmt w:val="lowerRoman"/>
      <w:start w:val="1"/>
    </w:lvl>
  </w:abstractNum>
  <w:abstractNum w:abstractNumId="486">
    <w:nsid w:val="1B479698"/>
    <w:multiLevelType w:val="hybridMultilevel"/>
    <w:lvl w:ilvl="0">
      <w:lvlJc w:val="left"/>
      <w:lvlText w:val="(%1)"/>
      <w:numFmt w:val="lowerLetter"/>
      <w:start w:val="2"/>
    </w:lvl>
    <w:lvl w:ilvl="1">
      <w:lvlJc w:val="left"/>
      <w:lvlText w:val="(%2)"/>
      <w:numFmt w:val="lowerRoman"/>
      <w:start w:val="1"/>
    </w:lvl>
  </w:abstractNum>
  <w:abstractNum w:abstractNumId="487">
    <w:nsid w:val="6572CF1B"/>
    <w:multiLevelType w:val="hybridMultilevel"/>
    <w:lvl w:ilvl="0">
      <w:lvlJc w:val="left"/>
      <w:lvlText w:val="(%1)"/>
      <w:numFmt w:val="lowerRoman"/>
      <w:start w:val="1"/>
    </w:lvl>
  </w:abstractNum>
  <w:abstractNum w:abstractNumId="488">
    <w:nsid w:val="6E4E1C1B"/>
    <w:multiLevelType w:val="hybridMultilevel"/>
    <w:lvl w:ilvl="0">
      <w:lvlJc w:val="left"/>
      <w:lvlText w:val="%1."/>
      <w:numFmt w:val="decimal"/>
      <w:start w:val="3"/>
    </w:lvl>
    <w:lvl w:ilvl="1">
      <w:lvlJc w:val="left"/>
      <w:lvlText w:val="(%2)"/>
      <w:numFmt w:val="lowerLetter"/>
      <w:start w:val="1"/>
    </w:lvl>
  </w:abstractNum>
  <w:abstractNum w:abstractNumId="489">
    <w:nsid w:val="4E784887"/>
    <w:multiLevelType w:val="hybridMultilevel"/>
    <w:lvl w:ilvl="0">
      <w:lvlJc w:val="left"/>
      <w:lvlText w:val="%1."/>
      <w:numFmt w:val="decimal"/>
      <w:start w:val="4"/>
    </w:lvl>
  </w:abstractNum>
  <w:abstractNum w:abstractNumId="490">
    <w:nsid w:val="38AD4C18"/>
    <w:multiLevelType w:val="hybridMultilevel"/>
    <w:lvl w:ilvl="0">
      <w:lvlJc w:val="left"/>
      <w:lvlText w:val="(%1)"/>
      <w:numFmt w:val="lowerLetter"/>
      <w:start w:val="1"/>
    </w:lvl>
  </w:abstractNum>
  <w:abstractNum w:abstractNumId="491">
    <w:nsid w:val="48CCEE31"/>
    <w:multiLevelType w:val="hybridMultilevel"/>
    <w:lvl w:ilvl="0">
      <w:lvlJc w:val="left"/>
      <w:lvlText w:val="(%1)"/>
      <w:numFmt w:val="lowerLetter"/>
      <w:start w:val="1"/>
    </w:lvl>
  </w:abstractNum>
  <w:abstractNum w:abstractNumId="492">
    <w:nsid w:val="45EA996E"/>
    <w:multiLevelType w:val="hybridMultilevel"/>
    <w:lvl w:ilvl="0">
      <w:lvlJc w:val="left"/>
      <w:lvlText w:val="(%1)"/>
      <w:numFmt w:val="lowerLetter"/>
      <w:start w:val="1"/>
    </w:lvl>
  </w:abstractNum>
  <w:abstractNum w:abstractNumId="493">
    <w:nsid w:val="441FBAF4"/>
    <w:multiLevelType w:val="hybridMultilevel"/>
    <w:lvl w:ilvl="0">
      <w:lvlJc w:val="left"/>
      <w:lvlText w:val="(%1)"/>
      <w:numFmt w:val="lowerLetter"/>
      <w:start w:val="1"/>
    </w:lvl>
  </w:abstractNum>
  <w:abstractNum w:abstractNumId="494">
    <w:nsid w:val="7F2BEA8B"/>
    <w:multiLevelType w:val="hybridMultilevel"/>
    <w:lvl w:ilvl="0">
      <w:lvlJc w:val="left"/>
      <w:lvlText w:val="(%1)"/>
      <w:numFmt w:val="lowerLetter"/>
      <w:start w:val="2"/>
    </w:lvl>
    <w:lvl w:ilvl="1">
      <w:lvlJc w:val="left"/>
      <w:lvlText w:val="(%2)"/>
      <w:numFmt w:val="lowerRoman"/>
      <w:start w:val="1"/>
    </w:lvl>
  </w:abstractNum>
  <w:abstractNum w:abstractNumId="495">
    <w:nsid w:val="792A9DB"/>
    <w:multiLevelType w:val="hybridMultilevel"/>
    <w:lvl w:ilvl="0">
      <w:lvlJc w:val="left"/>
      <w:lvlText w:val="(%1)"/>
      <w:numFmt w:val="lowerLetter"/>
      <w:start w:val="1"/>
    </w:lvl>
    <w:lvl w:ilvl="1">
      <w:lvlJc w:val="left"/>
      <w:lvlText w:val="(%2)"/>
      <w:numFmt w:val="lowerRoman"/>
      <w:start w:val="1"/>
    </w:lvl>
  </w:abstractNum>
  <w:abstractNum w:abstractNumId="496">
    <w:nsid w:val="3D92C7D"/>
    <w:multiLevelType w:val="hybridMultilevel"/>
    <w:lvl w:ilvl="0">
      <w:lvlJc w:val="left"/>
      <w:lvlText w:val="%1."/>
      <w:numFmt w:val="decimal"/>
      <w:start w:val="5"/>
    </w:lvl>
  </w:abstractNum>
  <w:abstractNum w:abstractNumId="497">
    <w:nsid w:val="375A92FF"/>
    <w:multiLevelType w:val="hybridMultilevel"/>
    <w:lvl w:ilvl="0">
      <w:lvlJc w:val="left"/>
      <w:lvlText w:val="(%1)"/>
      <w:numFmt w:val="lowerLetter"/>
      <w:start w:val="1"/>
    </w:lvl>
    <w:lvl w:ilvl="1">
      <w:lvlJc w:val="left"/>
      <w:lvlText w:val="(%2)"/>
      <w:numFmt w:val="lowerRoman"/>
      <w:start w:val="1"/>
    </w:lvl>
  </w:abstractNum>
  <w:abstractNum w:abstractNumId="498">
    <w:nsid w:val="29180EE2"/>
    <w:multiLevelType w:val="hybridMultilevel"/>
    <w:lvl w:ilvl="0">
      <w:lvlJc w:val="left"/>
      <w:lvlText w:val="%1"/>
      <w:numFmt w:val="lowerLetter"/>
      <w:start w:val="1"/>
    </w:lvl>
    <w:lvl w:ilvl="1">
      <w:lvlJc w:val="left"/>
      <w:lvlText w:val="(%2)"/>
      <w:numFmt w:val="lowerRoman"/>
      <w:start w:val="4"/>
    </w:lvl>
  </w:abstractNum>
  <w:abstractNum w:abstractNumId="499">
    <w:nsid w:val="7C901113"/>
    <w:multiLevelType w:val="hybridMultilevel"/>
    <w:lvl w:ilvl="0">
      <w:lvlJc w:val="left"/>
      <w:lvlText w:val="(%1)"/>
      <w:numFmt w:val="lowerLetter"/>
      <w:start w:val="2"/>
    </w:lvl>
    <w:lvl w:ilvl="1">
      <w:lvlJc w:val="left"/>
      <w:lvlText w:val="%2"/>
      <w:numFmt w:val="lowerRoman"/>
      <w:start w:val="1"/>
    </w:lvl>
  </w:abstractNum>
  <w:abstractNum w:abstractNumId="500">
    <w:nsid w:val="427028B0"/>
    <w:multiLevelType w:val="hybridMultilevel"/>
    <w:lvl w:ilvl="0">
      <w:lvlJc w:val="left"/>
      <w:lvlText w:val="(%1)"/>
      <w:numFmt w:val="lowerLetter"/>
      <w:start w:val="1"/>
    </w:lvl>
  </w:abstractNum>
  <w:abstractNum w:abstractNumId="501">
    <w:nsid w:val="4E7F1C4D"/>
    <w:multiLevelType w:val="hybridMultilevel"/>
    <w:lvl w:ilvl="0">
      <w:lvlJc w:val="left"/>
      <w:lvlText w:val="(%1)"/>
      <w:numFmt w:val="lowerLetter"/>
      <w:start w:val="1"/>
    </w:lvl>
  </w:abstractNum>
  <w:abstractNum w:abstractNumId="502">
    <w:nsid w:val="5C76D652"/>
    <w:multiLevelType w:val="hybridMultilevel"/>
    <w:lvl w:ilvl="0">
      <w:lvlJc w:val="left"/>
      <w:lvlText w:val="%1."/>
      <w:numFmt w:val="decimal"/>
      <w:start w:val="6"/>
    </w:lvl>
  </w:abstractNum>
  <w:abstractNum w:abstractNumId="503">
    <w:nsid w:val="7F1E3DAE"/>
    <w:multiLevelType w:val="hybridMultilevel"/>
    <w:lvl w:ilvl="0">
      <w:lvlJc w:val="left"/>
      <w:lvlText w:val="(%1)"/>
      <w:numFmt w:val="lowerLetter"/>
      <w:start w:val="1"/>
    </w:lvl>
  </w:abstractNum>
  <w:abstractNum w:abstractNumId="504">
    <w:nsid w:val="3CA6D1B9"/>
    <w:multiLevelType w:val="hybridMultilevel"/>
    <w:lvl w:ilvl="0">
      <w:lvlJc w:val="left"/>
      <w:lvlText w:val="%1."/>
      <w:numFmt w:val="decimal"/>
      <w:start w:val="7"/>
    </w:lvl>
  </w:abstractNum>
  <w:abstractNum w:abstractNumId="505">
    <w:nsid w:val="43754DB7"/>
    <w:multiLevelType w:val="hybridMultilevel"/>
    <w:lvl w:ilvl="0">
      <w:lvlJc w:val="left"/>
      <w:lvlText w:val="(%1)"/>
      <w:numFmt w:val="lowerLetter"/>
      <w:start w:val="1"/>
    </w:lvl>
  </w:abstractNum>
  <w:abstractNum w:abstractNumId="506">
    <w:nsid w:val="40307D27"/>
    <w:multiLevelType w:val="hybridMultilevel"/>
    <w:lvl w:ilvl="0">
      <w:lvlJc w:val="left"/>
      <w:lvlText w:val="(%1)"/>
      <w:numFmt w:val="lowerLetter"/>
      <w:start w:val="1"/>
    </w:lvl>
  </w:abstractNum>
  <w:abstractNum w:abstractNumId="507">
    <w:nsid w:val="DF69013"/>
    <w:multiLevelType w:val="hybridMultilevel"/>
    <w:lvl w:ilvl="0">
      <w:lvlJc w:val="left"/>
      <w:lvlText w:val="(%1)"/>
      <w:numFmt w:val="lowerLetter"/>
      <w:start w:val="1"/>
    </w:lvl>
  </w:abstractNum>
  <w:abstractNum w:abstractNumId="508">
    <w:nsid w:val="FDE3B47"/>
    <w:multiLevelType w:val="hybridMultilevel"/>
    <w:lvl w:ilvl="0">
      <w:lvlJc w:val="left"/>
      <w:lvlText w:val="(%1)"/>
      <w:numFmt w:val="lowerLetter"/>
      <w:start w:val="1"/>
    </w:lvl>
    <w:lvl w:ilvl="1">
      <w:lvlJc w:val="left"/>
      <w:lvlText w:val="(%2)"/>
      <w:numFmt w:val="lowerRoman"/>
      <w:start w:val="1"/>
    </w:lvl>
  </w:abstractNum>
  <w:abstractNum w:abstractNumId="509">
    <w:nsid w:val="5EF4B64"/>
    <w:multiLevelType w:val="hybridMultilevel"/>
    <w:lvl w:ilvl="0">
      <w:lvlJc w:val="left"/>
      <w:lvlText w:val="(%1)"/>
      <w:numFmt w:val="lowerLetter"/>
      <w:start w:val="2"/>
    </w:lvl>
    <w:lvl w:ilvl="1">
      <w:lvlJc w:val="left"/>
      <w:lvlText w:val="(%2)"/>
      <w:numFmt w:val="lowerLetter"/>
      <w:start w:val="1"/>
    </w:lvl>
  </w:abstractNum>
  <w:abstractNum w:abstractNumId="510">
    <w:nsid w:val="2457647B"/>
    <w:multiLevelType w:val="hybridMultilevel"/>
    <w:lvl w:ilvl="0">
      <w:lvlJc w:val="left"/>
      <w:lvlText w:val="%1"/>
      <w:numFmt w:val="lowerLetter"/>
      <w:start w:val="1"/>
    </w:lvl>
    <w:lvl w:ilvl="1">
      <w:lvlJc w:val="left"/>
      <w:lvlText w:val="(%2)"/>
      <w:numFmt w:val="lowerLetter"/>
      <w:start w:val="9"/>
    </w:lvl>
  </w:abstractNum>
  <w:abstractNum w:abstractNumId="511">
    <w:nsid w:val="66F06E9"/>
    <w:multiLevelType w:val="hybridMultilevel"/>
    <w:lvl w:ilvl="0">
      <w:lvlJc w:val="left"/>
      <w:lvlText w:val="(%1)"/>
      <w:numFmt w:val="lowerRoman"/>
      <w:start w:val="2"/>
    </w:lvl>
  </w:abstractNum>
  <w:abstractNum w:abstractNumId="512">
    <w:nsid w:val="2ABAB37"/>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13">
    <w:nsid w:val="3D5EC8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4">
    <w:nsid w:val="31F4FCAD"/>
    <w:multiLevelType w:val="hybridMultilevel"/>
    <w:lvl w:ilvl="0">
      <w:lvlJc w:val="left"/>
      <w:lvlText w:val="(%1)"/>
      <w:numFmt w:val="lowerLetter"/>
      <w:start w:val="2"/>
    </w:lvl>
    <w:lvl w:ilvl="1">
      <w:lvlJc w:val="left"/>
      <w:lvlText w:val="(%2)"/>
      <w:numFmt w:val="lowerRoman"/>
      <w:start w:val="1"/>
    </w:lvl>
  </w:abstractNum>
  <w:abstractNum w:abstractNumId="515">
    <w:nsid w:val="477DB470"/>
    <w:multiLevelType w:val="hybridMultilevel"/>
    <w:lvl w:ilvl="0">
      <w:lvlJc w:val="left"/>
      <w:lvlText w:val="(%1)"/>
      <w:numFmt w:val="lowerRoman"/>
      <w:start w:val="1"/>
    </w:lvl>
    <w:lvl w:ilvl="1">
      <w:lvlJc w:val="left"/>
      <w:lvlText w:val="(%2)"/>
      <w:numFmt w:val="upperLetter"/>
      <w:start w:val="1"/>
    </w:lvl>
  </w:abstractNum>
  <w:abstractNum w:abstractNumId="516">
    <w:nsid w:val="4FD5720B"/>
    <w:multiLevelType w:val="hybridMultilevel"/>
    <w:lvl w:ilvl="0">
      <w:lvlJc w:val="left"/>
      <w:lvlText w:val="(%1)"/>
      <w:numFmt w:val="lowerLetter"/>
      <w:start w:val="1"/>
    </w:lvl>
  </w:abstractNum>
  <w:abstractNum w:abstractNumId="517">
    <w:nsid w:val="4D3C9346"/>
    <w:multiLevelType w:val="hybridMultilevel"/>
    <w:lvl w:ilvl="0">
      <w:lvlJc w:val="left"/>
      <w:lvlText w:val="%1."/>
      <w:numFmt w:val="decimal"/>
      <w:start w:val="8"/>
    </w:lvl>
  </w:abstractNum>
  <w:abstractNum w:abstractNumId="518">
    <w:nsid w:val="2CF0838B"/>
    <w:multiLevelType w:val="hybridMultilevel"/>
    <w:lvl w:ilvl="0">
      <w:lvlJc w:val="left"/>
      <w:lvlText w:val="(%1)"/>
      <w:numFmt w:val="lowerLetter"/>
      <w:start w:val="1"/>
    </w:lvl>
  </w:abstractNum>
  <w:abstractNum w:abstractNumId="519">
    <w:nsid w:val="3E238E27"/>
    <w:multiLevelType w:val="hybridMultilevel"/>
    <w:lvl w:ilvl="0">
      <w:lvlJc w:val="left"/>
      <w:lvlText w:val="(%1)"/>
      <w:numFmt w:val="lowerLetter"/>
      <w:start w:val="1"/>
    </w:lvl>
  </w:abstractNum>
  <w:abstractNum w:abstractNumId="520">
    <w:nsid w:val="1BB4DBCD"/>
    <w:multiLevelType w:val="hybridMultilevel"/>
    <w:lvl w:ilvl="0">
      <w:lvlJc w:val="left"/>
      <w:lvlText w:val="%1."/>
      <w:numFmt w:val="decimal"/>
      <w:start w:val="9"/>
    </w:lvl>
  </w:abstractNum>
  <w:abstractNum w:abstractNumId="521">
    <w:nsid w:val="659DCFA3"/>
    <w:multiLevelType w:val="hybridMultilevel"/>
    <w:lvl w:ilvl="0">
      <w:lvlJc w:val="left"/>
      <w:lvlText w:val="(%1)"/>
      <w:numFmt w:val="lowerLetter"/>
      <w:start w:val="1"/>
    </w:lvl>
    <w:lvl w:ilvl="1">
      <w:lvlJc w:val="left"/>
      <w:lvlText w:val="(%2)"/>
      <w:numFmt w:val="lowerRoman"/>
      <w:start w:val="1"/>
    </w:lvl>
  </w:abstractNum>
  <w:abstractNum w:abstractNumId="522">
    <w:nsid w:val="6F07C58"/>
    <w:multiLevelType w:val="hybridMultilevel"/>
    <w:lvl w:ilvl="0">
      <w:lvlJc w:val="left"/>
      <w:lvlText w:val="(%1)"/>
      <w:numFmt w:val="lowerLetter"/>
      <w:start w:val="1"/>
    </w:lvl>
  </w:abstractNum>
  <w:abstractNum w:abstractNumId="523">
    <w:nsid w:val="619F753B"/>
    <w:multiLevelType w:val="hybridMultilevel"/>
    <w:lvl w:ilvl="0">
      <w:lvlJc w:val="left"/>
      <w:lvlText w:val="%1."/>
      <w:numFmt w:val="decimal"/>
      <w:start w:val="10"/>
    </w:lvl>
  </w:abstractNum>
  <w:abstractNum w:abstractNumId="524">
    <w:nsid w:val="29BD8A97"/>
    <w:multiLevelType w:val="hybridMultilevel"/>
    <w:lvl w:ilvl="0">
      <w:lvlJc w:val="left"/>
      <w:lvlText w:val="(%1)"/>
      <w:numFmt w:val="lowerLetter"/>
      <w:start w:val="1"/>
    </w:lvl>
  </w:abstractNum>
  <w:abstractNum w:abstractNumId="525">
    <w:nsid w:val="61C66E3"/>
    <w:multiLevelType w:val="hybridMultilevel"/>
    <w:lvl w:ilvl="0">
      <w:lvlJc w:val="left"/>
      <w:lvlText w:val="(%1)"/>
      <w:numFmt w:val="lowerLetter"/>
      <w:start w:val="1"/>
    </w:lvl>
  </w:abstractNum>
  <w:abstractNum w:abstractNumId="526">
    <w:nsid w:val="69321F16"/>
    <w:multiLevelType w:val="hybridMultilevel"/>
    <w:lvl w:ilvl="0">
      <w:lvlJc w:val="left"/>
      <w:lvlText w:val="(%1)"/>
      <w:numFmt w:val="lowerLetter"/>
      <w:start w:val="1"/>
    </w:lvl>
    <w:lvl w:ilvl="1">
      <w:lvlJc w:val="left"/>
      <w:lvlText w:val="(%2)"/>
      <w:numFmt w:val="lowerRoman"/>
      <w:start w:val="1"/>
    </w:lvl>
  </w:abstractNum>
  <w:abstractNum w:abstractNumId="527">
    <w:nsid w:val="2D96B714"/>
    <w:multiLevelType w:val="hybridMultilevel"/>
    <w:lvl w:ilvl="0">
      <w:lvlJc w:val="left"/>
      <w:lvlText w:val="%1."/>
      <w:numFmt w:val="decimal"/>
      <w:start w:val="11"/>
    </w:lvl>
  </w:abstractNum>
  <w:abstractNum w:abstractNumId="528">
    <w:nsid w:val="3D76F9E2"/>
    <w:multiLevelType w:val="hybridMultilevel"/>
    <w:lvl w:ilvl="0">
      <w:lvlJc w:val="left"/>
      <w:lvlText w:val="%1."/>
      <w:numFmt w:val="decimal"/>
      <w:start w:val="12"/>
    </w:lvl>
  </w:abstractNum>
  <w:abstractNum w:abstractNumId="529">
    <w:nsid w:val="124A2DF8"/>
    <w:multiLevelType w:val="hybridMultilevel"/>
    <w:lvl w:ilvl="0">
      <w:lvlJc w:val="left"/>
      <w:lvlText w:val="(%1)"/>
      <w:numFmt w:val="lowerLetter"/>
      <w:start w:val="1"/>
    </w:lvl>
  </w:abstractNum>
  <w:abstractNum w:abstractNumId="530">
    <w:nsid w:val="2A26C828"/>
    <w:multiLevelType w:val="hybridMultilevel"/>
    <w:lvl w:ilvl="0">
      <w:lvlJc w:val="left"/>
      <w:lvlText w:val="(%1)"/>
      <w:numFmt w:val="lowerLetter"/>
      <w:start w:val="1"/>
    </w:lvl>
  </w:abstractNum>
  <w:abstractNum w:abstractNumId="531">
    <w:nsid w:val="7FE72292"/>
    <w:multiLevelType w:val="hybridMultilevel"/>
    <w:lvl w:ilvl="0">
      <w:lvlJc w:val="left"/>
      <w:lvlText w:val="(%1)"/>
      <w:numFmt w:val="lowerLetter"/>
      <w:start w:val="1"/>
    </w:lvl>
    <w:lvl w:ilvl="1">
      <w:lvlJc w:val="left"/>
      <w:lvlText w:val="(%2)"/>
      <w:numFmt w:val="lowerRoman"/>
      <w:start w:val="1"/>
    </w:lvl>
  </w:abstractNum>
  <w:abstractNum w:abstractNumId="532">
    <w:nsid w:val="60C94A4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33">
    <w:nsid w:val="69D9E7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4">
    <w:nsid w:val="7F056040"/>
    <w:multiLevelType w:val="hybridMultilevel"/>
    <w:lvl w:ilvl="0">
      <w:lvlJc w:val="left"/>
      <w:lvlText w:val="(%1)"/>
      <w:numFmt w:val="lowerLetter"/>
      <w:start w:val="1"/>
    </w:lvl>
  </w:abstractNum>
  <w:abstractNum w:abstractNumId="535">
    <w:nsid w:val="1D701BFF"/>
    <w:multiLevelType w:val="hybridMultilevel"/>
    <w:lvl w:ilvl="0">
      <w:lvlJc w:val="left"/>
      <w:lvlText w:val="(%1)"/>
      <w:numFmt w:val="lowerLetter"/>
      <w:start w:val="1"/>
    </w:lvl>
  </w:abstractNum>
  <w:abstractNum w:abstractNumId="536">
    <w:nsid w:val="4A12EC32"/>
    <w:multiLevelType w:val="hybridMultilevel"/>
    <w:lvl w:ilvl="0">
      <w:lvlJc w:val="left"/>
      <w:lvlText w:val="(%1)"/>
      <w:numFmt w:val="lowerLetter"/>
      <w:start w:val="1"/>
    </w:lvl>
    <w:lvl w:ilvl="1">
      <w:lvlJc w:val="left"/>
      <w:lvlText w:val="(%2)"/>
      <w:numFmt w:val="lowerRoman"/>
      <w:start w:val="1"/>
    </w:lvl>
  </w:abstractNum>
  <w:abstractNum w:abstractNumId="537">
    <w:nsid w:val="3F35DD67"/>
    <w:multiLevelType w:val="hybridMultilevel"/>
    <w:lvl w:ilvl="0">
      <w:lvlJc w:val="left"/>
      <w:lvlText w:val="%1"/>
      <w:numFmt w:val="lowerLetter"/>
      <w:start w:val="1"/>
    </w:lvl>
    <w:lvl w:ilvl="1">
      <w:lvlJc w:val="left"/>
      <w:lvlText w:val="(%2)"/>
      <w:numFmt w:val="lowerLetter"/>
      <w:start w:val="35"/>
    </w:lvl>
  </w:abstractNum>
  <w:abstractNum w:abstractNumId="538">
    <w:nsid w:val="2B66AC12"/>
    <w:multiLevelType w:val="hybridMultilevel"/>
    <w:lvl w:ilvl="0">
      <w:lvlJc w:val="left"/>
      <w:lvlText w:val="(%1)"/>
      <w:numFmt w:val="lowerLetter"/>
      <w:start w:val="3"/>
    </w:lvl>
    <w:lvl w:ilvl="1">
      <w:lvlJc w:val="left"/>
      <w:lvlText w:val="%2"/>
      <w:numFmt w:val="lowerLetter"/>
      <w:start w:val="1"/>
    </w:lvl>
  </w:abstractNum>
  <w:abstractNum w:abstractNumId="539">
    <w:nsid w:val="59F127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0">
    <w:nsid w:val="452528CB"/>
    <w:multiLevelType w:val="hybridMultilevel"/>
    <w:lvl w:ilvl="0">
      <w:lvlJc w:val="left"/>
      <w:lvlText w:val="(%1)"/>
      <w:numFmt w:val="lowerRoman"/>
      <w:start w:val="1"/>
    </w:lvl>
  </w:abstractNum>
  <w:abstractNum w:abstractNumId="541">
    <w:nsid w:val="4FBE108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42">
    <w:nsid w:val="60602E62"/>
    <w:multiLevelType w:val="hybridMultilevel"/>
    <w:lvl w:ilvl="0">
      <w:lvlJc w:val="left"/>
      <w:lvlText w:val="(%1)"/>
      <w:numFmt w:val="lowerLetter"/>
      <w:start w:val="6"/>
    </w:lvl>
    <w:lvl w:ilvl="1">
      <w:lvlJc w:val="left"/>
      <w:lvlText w:val="(%2)"/>
      <w:numFmt w:val="lowerLetter"/>
      <w:start w:val="5"/>
    </w:lvl>
    <w:lvl w:ilvl="2">
      <w:lvlJc w:val="left"/>
      <w:lvlText w:val="%3"/>
      <w:numFmt w:val="upperLetter"/>
      <w:start w:val="1"/>
    </w:lvl>
  </w:abstractNum>
  <w:abstractNum w:abstractNumId="543">
    <w:nsid w:val="47D0D402"/>
    <w:multiLevelType w:val="hybridMultilevel"/>
    <w:lvl w:ilvl="0">
      <w:lvlJc w:val="left"/>
      <w:lvlText w:val="(%1)"/>
      <w:numFmt w:val="lowerLetter"/>
      <w:start w:val="1"/>
    </w:lvl>
  </w:abstractNum>
  <w:abstractNum w:abstractNumId="544">
    <w:nsid w:val="D1CD939"/>
    <w:multiLevelType w:val="hybridMultilevel"/>
    <w:lvl w:ilvl="0">
      <w:lvlJc w:val="left"/>
      <w:lvlText w:val="%1."/>
      <w:numFmt w:val="decimal"/>
      <w:start w:val="13"/>
    </w:lvl>
  </w:abstractNum>
  <w:abstractNum w:abstractNumId="545">
    <w:nsid w:val="12552B10"/>
    <w:multiLevelType w:val="hybridMultilevel"/>
    <w:lvl w:ilvl="0">
      <w:lvlJc w:val="left"/>
      <w:lvlText w:val="(%1)"/>
      <w:numFmt w:val="lowerLetter"/>
      <w:start w:val="1"/>
    </w:lvl>
    <w:lvl w:ilvl="1">
      <w:lvlJc w:val="left"/>
      <w:lvlText w:val="(%2)"/>
      <w:numFmt w:val="lowerRoman"/>
      <w:start w:val="1"/>
    </w:lvl>
  </w:abstractNum>
  <w:abstractNum w:abstractNumId="546">
    <w:nsid w:val="F4E8872"/>
    <w:multiLevelType w:val="hybridMultilevel"/>
    <w:lvl w:ilvl="0">
      <w:lvlJc w:val="left"/>
      <w:lvlText w:val="(%1)"/>
      <w:numFmt w:val="lowerLetter"/>
      <w:start w:val="2"/>
    </w:lvl>
  </w:abstractNum>
  <w:abstractNum w:abstractNumId="547">
    <w:nsid w:val="5CF24B45"/>
    <w:multiLevelType w:val="hybridMultilevel"/>
    <w:lvl w:ilvl="0">
      <w:lvlJc w:val="left"/>
      <w:lvlText w:val="(%1)"/>
      <w:numFmt w:val="lowerLetter"/>
      <w:start w:val="1"/>
    </w:lvl>
  </w:abstractNum>
  <w:abstractNum w:abstractNumId="548">
    <w:nsid w:val="5F91BE56"/>
    <w:multiLevelType w:val="hybridMultilevel"/>
    <w:lvl w:ilvl="0">
      <w:lvlJc w:val="left"/>
      <w:lvlText w:val="(%1)"/>
      <w:numFmt w:val="lowerLetter"/>
      <w:start w:val="1"/>
    </w:lvl>
  </w:abstractNum>
  <w:abstractNum w:abstractNumId="549">
    <w:nsid w:val="3C3F0BFD"/>
    <w:multiLevelType w:val="hybridMultilevel"/>
    <w:lvl w:ilvl="0">
      <w:lvlJc w:val="left"/>
      <w:lvlText w:val="(%1)"/>
      <w:numFmt w:val="lowerLetter"/>
      <w:start w:val="1"/>
    </w:lvl>
  </w:abstractNum>
  <w:abstractNum w:abstractNumId="550">
    <w:nsid w:val="1B15D96C"/>
    <w:multiLevelType w:val="hybridMultilevel"/>
    <w:lvl w:ilvl="0">
      <w:lvlJc w:val="left"/>
      <w:lvlText w:val="(%1)"/>
      <w:numFmt w:val="lowerLetter"/>
      <w:start w:val="1"/>
    </w:lvl>
  </w:abstractNum>
  <w:abstractNum w:abstractNumId="551">
    <w:nsid w:val="7B469A23"/>
    <w:multiLevelType w:val="hybridMultilevel"/>
    <w:lvl w:ilvl="0">
      <w:lvlJc w:val="left"/>
      <w:lvlText w:val="(%1)"/>
      <w:numFmt w:val="lowerLetter"/>
      <w:start w:val="1"/>
    </w:lvl>
  </w:abstractNum>
  <w:abstractNum w:abstractNumId="552">
    <w:nsid w:val="21DCDBA0"/>
    <w:multiLevelType w:val="hybridMultilevel"/>
    <w:lvl w:ilvl="0">
      <w:lvlJc w:val="left"/>
      <w:lvlText w:val="%1"/>
      <w:numFmt w:val="decimal"/>
      <w:start w:val="1"/>
    </w:lvl>
    <w:lvl w:ilvl="1">
      <w:lvlJc w:val="left"/>
      <w:lvlText w:val="(%2)"/>
      <w:numFmt w:val="lowerLetter"/>
      <w:start w:val="1"/>
    </w:lvl>
  </w:abstractNum>
  <w:abstractNum w:abstractNumId="553">
    <w:nsid w:val="220655C4"/>
    <w:multiLevelType w:val="hybridMultilevel"/>
    <w:lvl w:ilvl="0">
      <w:lvlJc w:val="left"/>
      <w:lvlText w:val="%1."/>
      <w:numFmt w:val="decimal"/>
      <w:start w:val="14"/>
    </w:lvl>
    <w:lvl w:ilvl="1">
      <w:lvlJc w:val="left"/>
      <w:lvlText w:val="%2"/>
      <w:numFmt w:val="lowerLetter"/>
      <w:start w:val="1"/>
    </w:lvl>
  </w:abstractNum>
  <w:abstractNum w:abstractNumId="554">
    <w:nsid w:val="5CE60F5E"/>
    <w:multiLevelType w:val="hybridMultilevel"/>
    <w:lvl w:ilvl="0">
      <w:lvlJc w:val="left"/>
      <w:lvlText w:val="(%1)"/>
      <w:numFmt w:val="lowerLetter"/>
      <w:start w:val="1"/>
    </w:lvl>
  </w:abstractNum>
  <w:abstractNum w:abstractNumId="555">
    <w:nsid w:val="4B9A6638"/>
    <w:multiLevelType w:val="hybridMultilevel"/>
    <w:lvl w:ilvl="0">
      <w:lvlJc w:val="left"/>
      <w:lvlText w:val="(%1)"/>
      <w:numFmt w:val="lowerLetter"/>
      <w:start w:val="1"/>
    </w:lvl>
  </w:abstractNum>
  <w:abstractNum w:abstractNumId="556">
    <w:nsid w:val="2822BCA7"/>
    <w:multiLevelType w:val="hybridMultilevel"/>
    <w:lvl w:ilvl="0">
      <w:lvlJc w:val="left"/>
      <w:lvlText w:val="%1"/>
      <w:numFmt w:val="decimal"/>
      <w:start w:val="1"/>
    </w:lvl>
    <w:lvl w:ilvl="1">
      <w:lvlJc w:val="left"/>
      <w:lvlText w:val="(%2)"/>
      <w:numFmt w:val="lowerLetter"/>
      <w:start w:val="1"/>
    </w:lvl>
  </w:abstractNum>
  <w:abstractNum w:abstractNumId="557">
    <w:nsid w:val="46182E75"/>
    <w:multiLevelType w:val="hybridMultilevel"/>
    <w:lvl w:ilvl="0">
      <w:lvlJc w:val="left"/>
      <w:lvlText w:val="%1."/>
      <w:numFmt w:val="decimal"/>
      <w:start w:val="15"/>
    </w:lvl>
    <w:lvl w:ilvl="1">
      <w:lvlJc w:val="left"/>
      <w:lvlText w:val="%2"/>
      <w:numFmt w:val="lowerLetter"/>
      <w:start w:val="1"/>
    </w:lvl>
  </w:abstractNum>
  <w:abstractNum w:abstractNumId="558">
    <w:nsid w:val="79311D4C"/>
    <w:multiLevelType w:val="hybridMultilevel"/>
    <w:lvl w:ilvl="0">
      <w:lvlJc w:val="left"/>
      <w:lvlText w:val="%1."/>
      <w:numFmt w:val="decimal"/>
      <w:start w:val="16"/>
    </w:lvl>
  </w:abstractNum>
  <w:abstractNum w:abstractNumId="559">
    <w:nsid w:val="6599B689"/>
    <w:multiLevelType w:val="hybridMultilevel"/>
    <w:lvl w:ilvl="0">
      <w:lvlJc w:val="left"/>
      <w:lvlText w:val="%1."/>
      <w:numFmt w:val="decimal"/>
      <w:start w:val="18"/>
    </w:lvl>
  </w:abstractNum>
  <w:abstractNum w:abstractNumId="560">
    <w:nsid w:val="58625C6D"/>
    <w:multiLevelType w:val="hybridMultilevel"/>
    <w:lvl w:ilvl="0">
      <w:lvlJc w:val="left"/>
      <w:lvlText w:val="%1."/>
      <w:numFmt w:val="decimal"/>
      <w:start w:val="19"/>
    </w:lvl>
  </w:abstractNum>
  <w:abstractNum w:abstractNumId="561">
    <w:nsid w:val="2357E574"/>
    <w:multiLevelType w:val="hybridMultilevel"/>
    <w:lvl w:ilvl="0">
      <w:lvlJc w:val="left"/>
      <w:lvlText w:val="%1."/>
      <w:numFmt w:val="decimal"/>
      <w:start w:val="20"/>
    </w:lvl>
  </w:abstractNum>
  <w:abstractNum w:abstractNumId="562">
    <w:nsid w:val="6580D91B"/>
    <w:multiLevelType w:val="hybridMultilevel"/>
    <w:lvl w:ilvl="0">
      <w:lvlJc w:val="left"/>
      <w:lvlText w:val="%1."/>
      <w:numFmt w:val="decimal"/>
      <w:start w:val="21"/>
    </w:lvl>
  </w:abstractNum>
  <w:abstractNum w:abstractNumId="563">
    <w:nsid w:val="392BA6B3"/>
    <w:multiLevelType w:val="hybridMultilevel"/>
    <w:lvl w:ilvl="0">
      <w:lvlJc w:val="left"/>
      <w:lvlText w:val="%1."/>
      <w:numFmt w:val="decimal"/>
      <w:start w:val="22"/>
    </w:lvl>
  </w:abstractNum>
  <w:abstractNum w:abstractNumId="564">
    <w:nsid w:val="29F583EF"/>
    <w:multiLevelType w:val="hybridMultilevel"/>
    <w:lvl w:ilvl="0">
      <w:lvlJc w:val="left"/>
      <w:lvlText w:val="%1."/>
      <w:numFmt w:val="decimal"/>
      <w:start w:val="23"/>
    </w:lvl>
  </w:abstractNum>
  <w:abstractNum w:abstractNumId="565">
    <w:nsid w:val="6486395B"/>
    <w:multiLevelType w:val="hybridMultilevel"/>
    <w:lvl w:ilvl="0">
      <w:lvlJc w:val="left"/>
      <w:lvlText w:val="(%1)"/>
      <w:numFmt w:val="lowerLetter"/>
      <w:start w:val="1"/>
    </w:lvl>
  </w:abstractNum>
  <w:abstractNum w:abstractNumId="566">
    <w:nsid w:val="569BC2B2"/>
    <w:multiLevelType w:val="hybridMultilevel"/>
    <w:lvl w:ilvl="0">
      <w:lvlJc w:val="left"/>
      <w:lvlText w:val="(%1)"/>
      <w:numFmt w:val="lowerLetter"/>
      <w:start w:val="1"/>
    </w:lvl>
    <w:lvl w:ilvl="1">
      <w:lvlJc w:val="left"/>
      <w:lvlText w:val="(%2)"/>
      <w:numFmt w:val="lowerRoman"/>
      <w:start w:val="1"/>
    </w:lvl>
  </w:abstractNum>
  <w:abstractNum w:abstractNumId="567">
    <w:nsid w:val="74087021"/>
    <w:multiLevelType w:val="hybridMultilevel"/>
    <w:lvl w:ilvl="0">
      <w:lvlJc w:val="left"/>
      <w:lvlText w:val="(%1)"/>
      <w:numFmt w:val="lowerLetter"/>
      <w:start w:val="4"/>
    </w:lvl>
    <w:lvl w:ilvl="1">
      <w:lvlJc w:val="left"/>
      <w:lvlText w:val="(%2)"/>
      <w:numFmt w:val="lowerRoman"/>
      <w:start w:val="1"/>
    </w:lvl>
  </w:abstractNum>
  <w:abstractNum w:abstractNumId="568">
    <w:nsid w:val="23BC16C2"/>
    <w:multiLevelType w:val="hybridMultilevel"/>
    <w:lvl w:ilvl="0">
      <w:lvlJc w:val="left"/>
      <w:lvlText w:val="(%1)"/>
      <w:numFmt w:val="lowerLetter"/>
      <w:start w:val="9"/>
    </w:lvl>
  </w:abstractNum>
  <w:abstractNum w:abstractNumId="569">
    <w:nsid w:val="2026EC5"/>
    <w:multiLevelType w:val="hybridMultilevel"/>
    <w:lvl w:ilvl="0">
      <w:lvlJc w:val="left"/>
      <w:lvlText w:val="(%1)"/>
      <w:numFmt w:val="lowerLetter"/>
      <w:start w:val="1"/>
    </w:lvl>
  </w:abstractNum>
  <w:abstractNum w:abstractNumId="570">
    <w:nsid w:val="4DF9979A"/>
    <w:multiLevelType w:val="hybridMultilevel"/>
    <w:lvl w:ilvl="0">
      <w:lvlJc w:val="left"/>
      <w:lvlText w:val="(%1)"/>
      <w:numFmt w:val="lowerLetter"/>
      <w:start w:val="1"/>
    </w:lvl>
    <w:lvl w:ilvl="1">
      <w:lvlJc w:val="left"/>
      <w:lvlText w:val="(%2)"/>
      <w:numFmt w:val="lowerLetter"/>
      <w:start w:val="9"/>
    </w:lvl>
  </w:abstractNum>
  <w:abstractNum w:abstractNumId="571">
    <w:nsid w:val="68E13F8E"/>
    <w:multiLevelType w:val="hybridMultilevel"/>
    <w:lvl w:ilvl="0">
      <w:lvlJc w:val="left"/>
      <w:lvlText w:val="%1"/>
      <w:numFmt w:val="lowerLetter"/>
      <w:start w:val="1"/>
    </w:lvl>
    <w:lvl w:ilvl="1">
      <w:lvlJc w:val="left"/>
      <w:lvlText w:val="(%2)"/>
      <w:numFmt w:val="lowerRoman"/>
      <w:start w:val="2"/>
    </w:lvl>
  </w:abstractNum>
  <w:abstractNum w:abstractNumId="572">
    <w:nsid w:val="51C07F53"/>
    <w:multiLevelType w:val="hybridMultilevel"/>
    <w:lvl w:ilvl="0">
      <w:lvlJc w:val="left"/>
      <w:lvlText w:val="(%1)"/>
      <w:numFmt w:val="lowerLetter"/>
      <w:start w:val="2"/>
    </w:lvl>
    <w:lvl w:ilvl="1">
      <w:lvlJc w:val="left"/>
      <w:lvlText w:val="(%2)"/>
      <w:numFmt w:val="lowerRoman"/>
      <w:start w:val="1"/>
    </w:lvl>
  </w:abstractNum>
  <w:abstractNum w:abstractNumId="573">
    <w:nsid w:val="2E59C5FD"/>
    <w:multiLevelType w:val="hybridMultilevel"/>
    <w:lvl w:ilvl="0">
      <w:lvlJc w:val="left"/>
      <w:lvlText w:val="(%1)"/>
      <w:numFmt w:val="lowerLetter"/>
      <w:start w:val="1"/>
    </w:lvl>
    <w:lvl w:ilvl="1">
      <w:lvlJc w:val="left"/>
      <w:lvlText w:val="(%2)"/>
      <w:numFmt w:val="lowerRoman"/>
      <w:start w:val="1"/>
    </w:lvl>
  </w:abstractNum>
  <w:abstractNum w:abstractNumId="574">
    <w:nsid w:val="30B21390"/>
    <w:multiLevelType w:val="hybridMultilevel"/>
    <w:lvl w:ilvl="0">
      <w:lvlJc w:val="left"/>
      <w:lvlText w:val="(%1)"/>
      <w:numFmt w:val="lowerLetter"/>
      <w:start w:val="4"/>
    </w:lvl>
  </w:abstractNum>
  <w:abstractNum w:abstractNumId="575">
    <w:nsid w:val="5EDD588C"/>
    <w:multiLevelType w:val="hybridMultilevel"/>
    <w:lvl w:ilvl="0">
      <w:lvlJc w:val="left"/>
      <w:lvlText w:val="(%1)"/>
      <w:numFmt w:val="lowerLetter"/>
      <w:start w:val="1"/>
    </w:lvl>
    <w:lvl w:ilvl="1">
      <w:lvlJc w:val="left"/>
      <w:lvlText w:val="(%2)"/>
      <w:numFmt w:val="lowerRoman"/>
      <w:start w:val="1"/>
    </w:lvl>
  </w:abstractNum>
  <w:abstractNum w:abstractNumId="576">
    <w:nsid w:val="40AEF10D"/>
    <w:multiLevelType w:val="hybridMultilevel"/>
    <w:lvl w:ilvl="0">
      <w:lvlJc w:val="left"/>
      <w:lvlText w:val="(%1)"/>
      <w:numFmt w:val="lowerLetter"/>
      <w:start w:val="1"/>
    </w:lvl>
  </w:abstractNum>
  <w:abstractNum w:abstractNumId="577">
    <w:nsid w:val="40009C03"/>
    <w:multiLevelType w:val="hybridMultilevel"/>
    <w:lvl w:ilvl="0">
      <w:lvlJc w:val="left"/>
      <w:lvlText w:val="(%1)"/>
      <w:numFmt w:val="lowerLetter"/>
      <w:start w:val="1"/>
    </w:lvl>
  </w:abstractNum>
  <w:abstractNum w:abstractNumId="578">
    <w:nsid w:val="3BCFA3D1"/>
    <w:multiLevelType w:val="hybridMultilevel"/>
    <w:lvl w:ilvl="0">
      <w:lvlJc w:val="left"/>
      <w:lvlText w:val="(%1)"/>
      <w:numFmt w:val="lowerRoman"/>
      <w:start w:val="1"/>
    </w:lvl>
  </w:abstractNum>
  <w:abstractNum w:abstractNumId="579">
    <w:nsid w:val="2040AF63"/>
    <w:multiLevelType w:val="hybridMultilevel"/>
    <w:lvl w:ilvl="0">
      <w:lvlJc w:val="left"/>
      <w:lvlText w:val="%1."/>
      <w:numFmt w:val="decimal"/>
      <w:start w:val="24"/>
    </w:lvl>
  </w:abstractNum>
  <w:abstractNum w:abstractNumId="580">
    <w:nsid w:val="7C3FA800"/>
    <w:multiLevelType w:val="hybridMultilevel"/>
    <w:lvl w:ilvl="0">
      <w:lvlJc w:val="left"/>
      <w:lvlText w:val="%1."/>
      <w:numFmt w:val="decimal"/>
      <w:start w:val="25"/>
    </w:lvl>
  </w:abstractNum>
  <w:abstractNum w:abstractNumId="581">
    <w:nsid w:val="56E57D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2">
    <w:nsid w:val="1B874986"/>
    <w:multiLevelType w:val="hybridMultilevel"/>
    <w:lvl w:ilvl="0">
      <w:lvlJc w:val="left"/>
      <w:lvlText w:val="(%1)"/>
      <w:numFmt w:val="lowerLetter"/>
      <w:start w:val="3"/>
    </w:lvl>
  </w:abstractNum>
  <w:abstractNum w:abstractNumId="583">
    <w:nsid w:val="1E1C83A1"/>
    <w:multiLevelType w:val="hybridMultilevel"/>
    <w:lvl w:ilvl="0">
      <w:lvlJc w:val="left"/>
      <w:lvlText w:val="(%1)"/>
      <w:numFmt w:val="lowerLetter"/>
      <w:start w:val="1"/>
    </w:lvl>
  </w:abstractNum>
  <w:abstractNum w:abstractNumId="584">
    <w:nsid w:val="78EBD301"/>
    <w:multiLevelType w:val="hybridMultilevel"/>
    <w:lvl w:ilvl="0">
      <w:lvlJc w:val="left"/>
      <w:lvlText w:val=" "/>
      <w:numFmt w:val="bullet"/>
      <w:start w:val="1"/>
    </w:lvl>
  </w:abstractNum>
  <w:abstractNum w:abstractNumId="585">
    <w:nsid w:val="786D58E4"/>
    <w:multiLevelType w:val="hybridMultilevel"/>
    <w:lvl w:ilvl="0">
      <w:lvlJc w:val="left"/>
      <w:lvlText w:val="(%1)"/>
      <w:numFmt w:val="lowerLetter"/>
      <w:start w:val="2"/>
    </w:lvl>
    <w:lvl w:ilvl="1">
      <w:lvlJc w:val="left"/>
      <w:lvlText w:val="(%2)"/>
      <w:numFmt w:val="lowerRoman"/>
      <w:start w:val="1"/>
    </w:lvl>
  </w:abstractNum>
  <w:abstractNum w:abstractNumId="586">
    <w:nsid w:val="69B6E9D9"/>
    <w:multiLevelType w:val="hybridMultilevel"/>
    <w:lvl w:ilvl="0">
      <w:lvlJc w:val="left"/>
      <w:lvlText w:val="%1"/>
      <w:numFmt w:val="lowerLetter"/>
      <w:start w:val="1"/>
    </w:lvl>
    <w:lvl w:ilvl="1">
      <w:lvlJc w:val="left"/>
      <w:lvlText w:val="(%2)"/>
      <w:numFmt w:val="lowerRoman"/>
      <w:start w:val="2"/>
    </w:lvl>
  </w:abstractNum>
  <w:abstractNum w:abstractNumId="587">
    <w:nsid w:val="210E8FA8"/>
    <w:multiLevelType w:val="hybridMultilevel"/>
    <w:lvl w:ilvl="0">
      <w:lvlJc w:val="left"/>
      <w:lvlText w:val="(%1)"/>
      <w:numFmt w:val="lowerLetter"/>
      <w:start w:val="5"/>
    </w:lvl>
    <w:lvl w:ilvl="1">
      <w:lvlJc w:val="left"/>
      <w:lvlText w:val="(%2)"/>
      <w:numFmt w:val="lowerRoman"/>
      <w:start w:val="1"/>
    </w:lvl>
  </w:abstractNum>
  <w:abstractNum w:abstractNumId="588">
    <w:nsid w:val="3E858759"/>
    <w:multiLevelType w:val="hybridMultilevel"/>
    <w:lvl w:ilvl="0">
      <w:lvlJc w:val="left"/>
      <w:lvlText w:val="%1."/>
      <w:numFmt w:val="decimal"/>
      <w:start w:val="26"/>
    </w:lvl>
  </w:abstractNum>
  <w:abstractNum w:abstractNumId="589">
    <w:nsid w:val="62E80725"/>
    <w:multiLevelType w:val="hybridMultilevel"/>
    <w:lvl w:ilvl="0">
      <w:lvlJc w:val="left"/>
      <w:lvlText w:val="(%1)"/>
      <w:numFmt w:val="lowerLetter"/>
      <w:start w:val="1"/>
    </w:lvl>
    <w:lvl w:ilvl="1">
      <w:lvlJc w:val="left"/>
      <w:lvlText w:val="(%2)"/>
      <w:numFmt w:val="lowerRoman"/>
      <w:start w:val="1"/>
    </w:lvl>
  </w:abstractNum>
  <w:abstractNum w:abstractNumId="590">
    <w:nsid w:val="6A84631"/>
    <w:multiLevelType w:val="hybridMultilevel"/>
    <w:lvl w:ilvl="0">
      <w:lvlJc w:val="left"/>
      <w:lvlText w:val="(%1)"/>
      <w:numFmt w:val="lowerLetter"/>
      <w:start w:val="4"/>
    </w:lvl>
  </w:abstractNum>
  <w:abstractNum w:abstractNumId="591">
    <w:nsid w:val="16E7E3C7"/>
    <w:multiLevelType w:val="hybridMultilevel"/>
    <w:lvl w:ilvl="0">
      <w:lvlJc w:val="left"/>
      <w:lvlText w:val="(%1)"/>
      <w:numFmt w:val="lowerLetter"/>
      <w:start w:val="1"/>
    </w:lvl>
  </w:abstractNum>
  <w:abstractNum w:abstractNumId="592">
    <w:nsid w:val="63FEC9A"/>
    <w:multiLevelType w:val="hybridMultilevel"/>
    <w:lvl w:ilvl="0">
      <w:lvlJc w:val="left"/>
      <w:lvlText w:val="(%1)"/>
      <w:numFmt w:val="lowerLetter"/>
      <w:start w:val="1"/>
    </w:lvl>
  </w:abstractNum>
  <w:abstractNum w:abstractNumId="593">
    <w:nsid w:val="6C291F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4">
    <w:nsid w:val="50138A7A"/>
    <w:multiLevelType w:val="hybridMultilevel"/>
    <w:lvl w:ilvl="0">
      <w:lvlJc w:val="left"/>
      <w:lvlText w:val="(%1)"/>
      <w:numFmt w:val="lowerRoman"/>
      <w:start w:val="3"/>
    </w:lvl>
    <w:lvl w:ilvl="1">
      <w:lvlJc w:val="left"/>
      <w:lvlText w:val="(%2)"/>
      <w:numFmt w:val="upperLetter"/>
      <w:start w:val="1"/>
    </w:lvl>
  </w:abstractNum>
  <w:abstractNum w:abstractNumId="595">
    <w:nsid w:val="30357089"/>
    <w:multiLevelType w:val="hybridMultilevel"/>
    <w:lvl w:ilvl="0">
      <w:lvlJc w:val="left"/>
      <w:lvlText w:val="(%1)"/>
      <w:numFmt w:val="lowerLetter"/>
      <w:start w:val="2"/>
    </w:lvl>
    <w:lvl w:ilvl="1">
      <w:lvlJc w:val="left"/>
      <w:lvlText w:val="(%2)"/>
      <w:numFmt w:val="lowerRoman"/>
      <w:start w:val="1"/>
    </w:lvl>
  </w:abstractNum>
  <w:abstractNum w:abstractNumId="596">
    <w:nsid w:val="50AF58A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7">
    <w:nsid w:val="26AF4D2D"/>
    <w:multiLevelType w:val="hybridMultilevel"/>
    <w:lvl w:ilvl="0">
      <w:lvlJc w:val="left"/>
      <w:lvlText w:val="(%1)"/>
      <w:numFmt w:val="lowerLetter"/>
      <w:start w:val="3"/>
    </w:lvl>
  </w:abstractNum>
  <w:abstractNum w:abstractNumId="598">
    <w:nsid w:val="243DE0AA"/>
    <w:multiLevelType w:val="hybridMultilevel"/>
    <w:lvl w:ilvl="0">
      <w:lvlJc w:val="left"/>
      <w:lvlText w:val="(%1)"/>
      <w:numFmt w:val="lowerLetter"/>
      <w:start w:val="1"/>
    </w:lvl>
  </w:abstractNum>
  <w:abstractNum w:abstractNumId="599">
    <w:nsid w:val="746B6F6A"/>
    <w:multiLevelType w:val="hybridMultilevel"/>
    <w:lvl w:ilvl="0">
      <w:lvlJc w:val="left"/>
      <w:lvlText w:val="(%1)"/>
      <w:numFmt w:val="lowerLetter"/>
      <w:start w:val="1"/>
    </w:lvl>
  </w:abstractNum>
  <w:abstractNum w:abstractNumId="600">
    <w:nsid w:val="28B1BB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01">
    <w:nsid w:val="72377844"/>
    <w:multiLevelType w:val="hybridMultilevel"/>
    <w:lvl w:ilvl="0">
      <w:lvlJc w:val="left"/>
      <w:lvlText w:val="(%1)"/>
      <w:numFmt w:val="lowerLetter"/>
      <w:start w:val="2"/>
    </w:lvl>
    <w:lvl w:ilvl="1">
      <w:lvlJc w:val="left"/>
      <w:lvlText w:val="(%2)"/>
      <w:numFmt w:val="lowerRoman"/>
      <w:start w:val="1"/>
    </w:lvl>
  </w:abstractNum>
  <w:abstractNum w:abstractNumId="602">
    <w:nsid w:val="5D4CAEF8"/>
    <w:multiLevelType w:val="hybridMultilevel"/>
    <w:lvl w:ilvl="0">
      <w:lvlJc w:val="left"/>
      <w:lvlText w:val="(%1)"/>
      <w:numFmt w:val="lowerLetter"/>
      <w:start w:val="1"/>
    </w:lvl>
  </w:abstractNum>
  <w:abstractNum w:abstractNumId="603">
    <w:nsid w:val="7A723B45"/>
    <w:multiLevelType w:val="hybridMultilevel"/>
    <w:lvl w:ilvl="0">
      <w:lvlJc w:val="left"/>
      <w:lvlText w:val="(%1)"/>
      <w:numFmt w:val="lowerLetter"/>
      <w:start w:val="1"/>
    </w:lvl>
  </w:abstractNum>
  <w:abstractNum w:abstractNumId="604">
    <w:nsid w:val="20913E41"/>
    <w:multiLevelType w:val="hybridMultilevel"/>
    <w:lvl w:ilvl="0">
      <w:lvlJc w:val="left"/>
      <w:lvlText w:val="(%1)"/>
      <w:numFmt w:val="lowerLetter"/>
      <w:start w:val="4"/>
    </w:lvl>
    <w:lvl w:ilvl="1">
      <w:lvlJc w:val="left"/>
      <w:lvlText w:val="(%2)"/>
      <w:numFmt w:val="lowerLetter"/>
      <w:start w:val="2"/>
    </w:lvl>
  </w:abstractNum>
  <w:abstractNum w:abstractNumId="605">
    <w:nsid w:val="DFEC288"/>
    <w:multiLevelType w:val="hybridMultilevel"/>
    <w:lvl w:ilvl="0">
      <w:lvlJc w:val="left"/>
      <w:lvlText w:val="%1"/>
      <w:numFmt w:val="lowerLetter"/>
      <w:start w:val="1"/>
    </w:lvl>
    <w:lvl w:ilvl="1">
      <w:lvlJc w:val="left"/>
      <w:lvlText w:val="(%2)"/>
      <w:numFmt w:val="lowerLetter"/>
      <w:start w:val="9"/>
    </w:lvl>
  </w:abstractNum>
  <w:abstractNum w:abstractNumId="606">
    <w:nsid w:val="594F93D1"/>
    <w:multiLevelType w:val="hybridMultilevel"/>
    <w:lvl w:ilvl="0">
      <w:lvlJc w:val="left"/>
      <w:lvlText w:val="(%1)"/>
      <w:numFmt w:val="lowerRoman"/>
      <w:start w:val="2"/>
    </w:lvl>
  </w:abstractNum>
  <w:abstractNum w:abstractNumId="607">
    <w:nsid w:val="61402F4E"/>
    <w:multiLevelType w:val="hybridMultilevel"/>
    <w:lvl w:ilvl="0">
      <w:lvlJc w:val="left"/>
      <w:lvlText w:val="(%1)"/>
      <w:numFmt w:val="lowerLetter"/>
      <w:start w:val="1"/>
    </w:lvl>
  </w:abstractNum>
  <w:abstractNum w:abstractNumId="608">
    <w:nsid w:val="4DFF5E8B"/>
    <w:multiLevelType w:val="hybridMultilevel"/>
    <w:lvl w:ilvl="0">
      <w:lvlJc w:val="left"/>
      <w:lvlText w:val="(%1)"/>
      <w:numFmt w:val="lowerLetter"/>
      <w:start w:val="1"/>
    </w:lvl>
    <w:lvl w:ilvl="1">
      <w:lvlJc w:val="left"/>
      <w:lvlText w:val="(%2)"/>
      <w:numFmt w:val="lowerRoman"/>
      <w:start w:val="1"/>
    </w:lvl>
  </w:abstractNum>
  <w:abstractNum w:abstractNumId="609">
    <w:nsid w:val="151F37A3"/>
    <w:multiLevelType w:val="hybridMultilevel"/>
    <w:lvl w:ilvl="0">
      <w:lvlJc w:val="left"/>
      <w:lvlText w:val="(%1)"/>
      <w:numFmt w:val="lowerLetter"/>
      <w:start w:val="2"/>
    </w:lvl>
  </w:abstractNum>
  <w:abstractNum w:abstractNumId="610">
    <w:nsid w:val="180DEB1"/>
    <w:multiLevelType w:val="hybridMultilevel"/>
    <w:lvl w:ilvl="0">
      <w:lvlJc w:val="left"/>
      <w:lvlText w:val="(%1)"/>
      <w:numFmt w:val="lowerLetter"/>
      <w:start w:val="1"/>
    </w:lvl>
  </w:abstractNum>
  <w:abstractNum w:abstractNumId="611">
    <w:nsid w:val="4A3F068C"/>
    <w:multiLevelType w:val="hybridMultilevel"/>
    <w:lvl w:ilvl="0">
      <w:lvlJc w:val="left"/>
      <w:lvlText w:val="(%1)"/>
      <w:numFmt w:val="lowerLetter"/>
      <w:start w:val="1"/>
    </w:lvl>
  </w:abstractNum>
  <w:abstractNum w:abstractNumId="612">
    <w:nsid w:val="6C04B4E0"/>
    <w:multiLevelType w:val="hybridMultilevel"/>
    <w:lvl w:ilvl="0">
      <w:lvlJc w:val="left"/>
      <w:lvlText w:val="(%1)"/>
      <w:numFmt w:val="lowerLetter"/>
      <w:start w:val="2"/>
    </w:lvl>
    <w:lvl w:ilvl="1">
      <w:lvlJc w:val="left"/>
      <w:lvlText w:val="(%2)"/>
      <w:numFmt w:val="lowerRoman"/>
      <w:start w:val="1"/>
    </w:lvl>
  </w:abstractNum>
  <w:abstractNum w:abstractNumId="613">
    <w:nsid w:val="1D082837"/>
    <w:multiLevelType w:val="hybridMultilevel"/>
    <w:lvl w:ilvl="0">
      <w:lvlJc w:val="left"/>
      <w:lvlText w:val="(%1)"/>
      <w:numFmt w:val="lowerLetter"/>
      <w:start w:val="3"/>
    </w:lvl>
  </w:abstractNum>
  <w:abstractNum w:abstractNumId="614">
    <w:nsid w:val="685B8A2D"/>
    <w:multiLevelType w:val="hybridMultilevel"/>
    <w:lvl w:ilvl="0">
      <w:lvlJc w:val="left"/>
      <w:lvlText w:val="(%1)"/>
      <w:numFmt w:val="lowerLetter"/>
      <w:start w:val="1"/>
    </w:lvl>
    <w:lvl w:ilvl="1">
      <w:lvlJc w:val="left"/>
      <w:lvlText w:val="(%2)"/>
      <w:numFmt w:val="lowerRoman"/>
      <w:start w:val="1"/>
    </w:lvl>
  </w:abstractNum>
  <w:abstractNum w:abstractNumId="615">
    <w:nsid w:val="64F087E2"/>
    <w:multiLevelType w:val="hybridMultilevel"/>
    <w:lvl w:ilvl="0">
      <w:lvlJc w:val="left"/>
      <w:lvlText w:val="(%1)"/>
      <w:numFmt w:val="lowerLetter"/>
      <w:start w:val="3"/>
    </w:lvl>
  </w:abstractNum>
  <w:abstractNum w:abstractNumId="616">
    <w:nsid w:val="1575811C"/>
    <w:multiLevelType w:val="hybridMultilevel"/>
    <w:lvl w:ilvl="0">
      <w:lvlJc w:val="left"/>
      <w:lvlText w:val="%1."/>
      <w:numFmt w:val="decimal"/>
      <w:start w:val="27"/>
    </w:lvl>
  </w:abstractNum>
  <w:abstractNum w:abstractNumId="617">
    <w:nsid w:val="52127406"/>
    <w:multiLevelType w:val="hybridMultilevel"/>
    <w:lvl w:ilvl="0">
      <w:lvlJc w:val="left"/>
      <w:lvlText w:val="(%1)"/>
      <w:numFmt w:val="lowerLetter"/>
      <w:start w:val="1"/>
    </w:lvl>
  </w:abstractNum>
  <w:abstractNum w:abstractNumId="618">
    <w:nsid w:val="5FF178A"/>
    <w:multiLevelType w:val="hybridMultilevel"/>
    <w:lvl w:ilvl="0">
      <w:lvlJc w:val="left"/>
      <w:lvlText w:val="(%1)"/>
      <w:numFmt w:val="lowerLetter"/>
      <w:start w:val="1"/>
    </w:lvl>
  </w:abstractNum>
  <w:abstractNum w:abstractNumId="619">
    <w:nsid w:val="53FB0875"/>
    <w:multiLevelType w:val="hybridMultilevel"/>
    <w:lvl w:ilvl="0">
      <w:lvlJc w:val="left"/>
      <w:lvlText w:val="(%1)"/>
      <w:numFmt w:val="lowerLetter"/>
      <w:start w:val="1"/>
    </w:lvl>
    <w:lvl w:ilvl="1">
      <w:lvlJc w:val="left"/>
      <w:lvlText w:val="(%2)"/>
      <w:numFmt w:val="lowerRoman"/>
      <w:start w:val="1"/>
    </w:lvl>
  </w:abstractNum>
  <w:abstractNum w:abstractNumId="620">
    <w:nsid w:val="34FA7B2B"/>
    <w:multiLevelType w:val="hybridMultilevel"/>
    <w:lvl w:ilvl="0">
      <w:lvlJc w:val="left"/>
      <w:lvlText w:val="%1."/>
      <w:numFmt w:val="decimal"/>
      <w:start w:val="28"/>
    </w:lvl>
  </w:abstractNum>
  <w:abstractNum w:abstractNumId="621">
    <w:nsid w:val="CA75DBC"/>
    <w:multiLevelType w:val="hybridMultilevel"/>
    <w:lvl w:ilvl="0">
      <w:lvlJc w:val="left"/>
      <w:lvlText w:val="(%1)"/>
      <w:numFmt w:val="lowerLetter"/>
      <w:start w:val="1"/>
    </w:lvl>
  </w:abstractNum>
  <w:abstractNum w:abstractNumId="622">
    <w:nsid w:val="6AE2EC3C"/>
    <w:multiLevelType w:val="hybridMultilevel"/>
    <w:lvl w:ilvl="0">
      <w:lvlJc w:val="left"/>
      <w:lvlText w:val="(%1)"/>
      <w:numFmt w:val="lowerLetter"/>
      <w:start w:val="1"/>
    </w:lvl>
  </w:abstractNum>
  <w:abstractNum w:abstractNumId="623">
    <w:nsid w:val="3B3A67C5"/>
    <w:multiLevelType w:val="hybridMultilevel"/>
    <w:lvl w:ilvl="0">
      <w:lvlJc w:val="left"/>
      <w:lvlText w:val="(%1)"/>
      <w:numFmt w:val="lowerLetter"/>
      <w:start w:val="1"/>
    </w:lvl>
  </w:abstractNum>
  <w:abstractNum w:abstractNumId="624">
    <w:nsid w:val="78D07D08"/>
    <w:multiLevelType w:val="hybridMultilevel"/>
    <w:lvl w:ilvl="0">
      <w:lvlJc w:val="left"/>
      <w:lvlText w:val="(%1)"/>
      <w:numFmt w:val="lowerLetter"/>
      <w:start w:val="1"/>
    </w:lvl>
    <w:lvl w:ilvl="1">
      <w:lvlJc w:val="left"/>
      <w:lvlText w:val="(%2)"/>
      <w:numFmt w:val="lowerRoman"/>
      <w:start w:val="1"/>
    </w:lvl>
  </w:abstractNum>
  <w:abstractNum w:abstractNumId="625">
    <w:nsid w:val="3AF676B7"/>
    <w:multiLevelType w:val="hybridMultilevel"/>
    <w:lvl w:ilvl="0">
      <w:lvlJc w:val="left"/>
      <w:lvlText w:val="(%1)"/>
      <w:numFmt w:val="lowerLetter"/>
      <w:start w:val="2"/>
    </w:lvl>
    <w:lvl w:ilvl="1">
      <w:lvlJc w:val="left"/>
      <w:lvlText w:val="(%2)"/>
      <w:numFmt w:val="lowerRoman"/>
      <w:start w:val="1"/>
    </w:lvl>
  </w:abstractNum>
  <w:abstractNum w:abstractNumId="626">
    <w:nsid w:val="6B6FD84E"/>
    <w:multiLevelType w:val="hybridMultilevel"/>
    <w:lvl w:ilvl="0">
      <w:lvlJc w:val="left"/>
      <w:lvlText w:val="(%1)"/>
      <w:numFmt w:val="lowerLetter"/>
      <w:start w:val="1"/>
    </w:lvl>
    <w:lvl w:ilvl="1">
      <w:lvlJc w:val="left"/>
      <w:lvlText w:val="(%2)"/>
      <w:numFmt w:val="lowerRoman"/>
      <w:start w:val="1"/>
    </w:lvl>
  </w:abstractNum>
  <w:abstractNum w:abstractNumId="627">
    <w:nsid w:val="497FD5B0"/>
    <w:multiLevelType w:val="hybridMultilevel"/>
    <w:lvl w:ilvl="0">
      <w:lvlJc w:val="left"/>
      <w:lvlText w:val="(%1)"/>
      <w:numFmt w:val="lowerLetter"/>
      <w:start w:val="1"/>
    </w:lvl>
  </w:abstractNum>
  <w:abstractNum w:abstractNumId="628">
    <w:nsid w:val="61A5C3E4"/>
    <w:multiLevelType w:val="hybridMultilevel"/>
    <w:lvl w:ilvl="0">
      <w:lvlJc w:val="left"/>
      <w:lvlText w:val="(%1)"/>
      <w:numFmt w:val="lowerLetter"/>
      <w:start w:val="1"/>
    </w:lvl>
  </w:abstractNum>
  <w:abstractNum w:abstractNumId="629">
    <w:nsid w:val="FADB8F8"/>
    <w:multiLevelType w:val="hybridMultilevel"/>
    <w:lvl w:ilvl="0">
      <w:lvlJc w:val="left"/>
      <w:lvlText w:val="(%1)"/>
      <w:numFmt w:val="lowerLetter"/>
      <w:start w:val="2"/>
    </w:lvl>
  </w:abstractNum>
  <w:abstractNum w:abstractNumId="630">
    <w:nsid w:val="3DEB451A"/>
    <w:multiLevelType w:val="hybridMultilevel"/>
    <w:lvl w:ilvl="0">
      <w:lvlJc w:val="left"/>
      <w:lvlText w:val="(%1)"/>
      <w:numFmt w:val="lowerLetter"/>
      <w:start w:val="1"/>
    </w:lvl>
    <w:lvl w:ilvl="1">
      <w:lvlJc w:val="left"/>
      <w:lvlText w:val="(%2)"/>
      <w:numFmt w:val="lowerRoman"/>
      <w:start w:val="1"/>
    </w:lvl>
  </w:abstractNum>
  <w:abstractNum w:abstractNumId="631">
    <w:nsid w:val="A577FD6"/>
    <w:multiLevelType w:val="hybridMultilevel"/>
    <w:lvl w:ilvl="0">
      <w:lvlJc w:val="left"/>
      <w:lvlText w:val="%1"/>
      <w:numFmt w:val="decimal"/>
      <w:start w:val="1"/>
    </w:lvl>
    <w:lvl w:ilvl="1">
      <w:lvlJc w:val="left"/>
      <w:lvlText w:val="(%2)"/>
      <w:numFmt w:val="lowerLetter"/>
      <w:start w:val="1"/>
    </w:lvl>
  </w:abstractNum>
  <w:abstractNum w:abstractNumId="632">
    <w:nsid w:val="1E5313D"/>
    <w:multiLevelType w:val="hybridMultilevel"/>
    <w:lvl w:ilvl="0">
      <w:lvlJc w:val="left"/>
      <w:lvlText w:val="%1."/>
      <w:numFmt w:val="decimal"/>
      <w:start w:val="29"/>
    </w:lvl>
    <w:lvl w:ilvl="1">
      <w:lvlJc w:val="left"/>
      <w:lvlText w:val="%2"/>
      <w:numFmt w:val="lowerLetter"/>
      <w:start w:val="1"/>
    </w:lvl>
  </w:abstractNum>
  <w:abstractNum w:abstractNumId="633">
    <w:nsid w:val="1B37F412"/>
    <w:multiLevelType w:val="hybridMultilevel"/>
    <w:lvl w:ilvl="0">
      <w:lvlJc w:val="left"/>
      <w:lvlText w:val="(%1)"/>
      <w:numFmt w:val="lowerLetter"/>
      <w:start w:val="1"/>
    </w:lvl>
  </w:abstractNum>
  <w:abstractNum w:abstractNumId="634">
    <w:nsid w:val="4C9BB1B"/>
    <w:multiLevelType w:val="hybridMultilevel"/>
    <w:lvl w:ilvl="0">
      <w:lvlJc w:val="left"/>
      <w:lvlText w:val="(%1)"/>
      <w:numFmt w:val="lowerLetter"/>
      <w:start w:val="1"/>
    </w:lvl>
    <w:lvl w:ilvl="1">
      <w:lvlJc w:val="left"/>
      <w:lvlText w:val="(%2)"/>
      <w:numFmt w:val="lowerRoman"/>
      <w:start w:val="1"/>
    </w:lvl>
  </w:abstractNum>
  <w:abstractNum w:abstractNumId="635">
    <w:nsid w:val="22766F7E"/>
    <w:multiLevelType w:val="hybridMultilevel"/>
    <w:lvl w:ilvl="0">
      <w:lvlJc w:val="left"/>
      <w:lvlText w:val="(%1)"/>
      <w:numFmt w:val="lowerLetter"/>
      <w:start w:val="2"/>
    </w:lvl>
  </w:abstractNum>
  <w:abstractNum w:abstractNumId="636">
    <w:nsid w:val="2936B69A"/>
    <w:multiLevelType w:val="hybridMultilevel"/>
    <w:lvl w:ilvl="0">
      <w:lvlJc w:val="left"/>
      <w:lvlText w:val="(%1)"/>
      <w:numFmt w:val="lowerLetter"/>
      <w:start w:val="1"/>
    </w:lvl>
    <w:lvl w:ilvl="1">
      <w:lvlJc w:val="left"/>
      <w:lvlText w:val="(%2)"/>
      <w:numFmt w:val="lowerRoman"/>
      <w:start w:val="1"/>
    </w:lvl>
  </w:abstractNum>
  <w:abstractNum w:abstractNumId="637">
    <w:nsid w:val="5E194EEC"/>
    <w:multiLevelType w:val="hybridMultilevel"/>
    <w:lvl w:ilvl="0">
      <w:lvlJc w:val="left"/>
      <w:lvlText w:val="%1."/>
      <w:numFmt w:val="decimal"/>
      <w:start w:val="31"/>
    </w:lvl>
  </w:abstractNum>
  <w:abstractNum w:abstractNumId="638">
    <w:nsid w:val="3B69ECD"/>
    <w:multiLevelType w:val="hybridMultilevel"/>
    <w:lvl w:ilvl="0">
      <w:lvlJc w:val="left"/>
      <w:lvlText w:val="%1."/>
      <w:numFmt w:val="decimal"/>
      <w:start w:val="32"/>
    </w:lvl>
  </w:abstractNum>
  <w:abstractNum w:abstractNumId="639">
    <w:nsid w:val="77361526"/>
    <w:multiLevelType w:val="hybridMultilevel"/>
    <w:lvl w:ilvl="0">
      <w:lvlJc w:val="left"/>
      <w:lvlText w:val="(%1)"/>
      <w:numFmt w:val="lowerLetter"/>
      <w:start w:val="1"/>
    </w:lvl>
  </w:abstractNum>
  <w:abstractNum w:abstractNumId="640">
    <w:nsid w:val="7338868F"/>
    <w:multiLevelType w:val="hybridMultilevel"/>
    <w:lvl w:ilvl="0">
      <w:lvlJc w:val="left"/>
      <w:lvlText w:val="(%1)"/>
      <w:numFmt w:val="lowerLetter"/>
      <w:start w:val="1"/>
    </w:lvl>
    <w:lvl w:ilvl="1">
      <w:lvlJc w:val="left"/>
      <w:lvlText w:val="(%2)"/>
      <w:numFmt w:val="lowerRoman"/>
      <w:start w:val="1"/>
    </w:lvl>
  </w:abstractNum>
  <w:abstractNum w:abstractNumId="641">
    <w:nsid w:val="5377D7E"/>
    <w:multiLevelType w:val="hybridMultilevel"/>
    <w:lvl w:ilvl="0">
      <w:lvlJc w:val="left"/>
      <w:lvlText w:val="(%1)"/>
      <w:numFmt w:val="lowerRoman"/>
      <w:start w:val="9"/>
    </w:lvl>
  </w:abstractNum>
  <w:abstractNum w:abstractNumId="642">
    <w:nsid w:val="41751BB2"/>
    <w:multiLevelType w:val="hybridMultilevel"/>
    <w:lvl w:ilvl="0">
      <w:lvlJc w:val="left"/>
      <w:lvlText w:val="(%1)"/>
      <w:numFmt w:val="lowerLetter"/>
      <w:start w:val="2"/>
    </w:lvl>
  </w:abstractNum>
  <w:abstractNum w:abstractNumId="643">
    <w:nsid w:val="5F3D3B70"/>
    <w:multiLevelType w:val="hybridMultilevel"/>
    <w:lvl w:ilvl="0">
      <w:lvlJc w:val="left"/>
      <w:lvlText w:val="(%1)"/>
      <w:numFmt w:val="lowerLetter"/>
      <w:start w:val="1"/>
    </w:lvl>
  </w:abstractNum>
  <w:abstractNum w:abstractNumId="644">
    <w:nsid w:val="223FA5B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45">
    <w:nsid w:val="29D0A5DF"/>
    <w:multiLevelType w:val="hybridMultilevel"/>
    <w:lvl w:ilvl="0">
      <w:lvlJc w:val="left"/>
      <w:lvlText w:val="%1"/>
      <w:numFmt w:val="lowerLetter"/>
      <w:start w:val="1"/>
    </w:lvl>
    <w:lvl w:ilvl="1">
      <w:lvlJc w:val="left"/>
      <w:lvlText w:val="(%2)"/>
      <w:numFmt w:val="lowerLetter"/>
      <w:start w:val="9"/>
    </w:lvl>
  </w:abstractNum>
  <w:abstractNum w:abstractNumId="646">
    <w:nsid w:val="442DC352"/>
    <w:multiLevelType w:val="hybridMultilevel"/>
    <w:lvl w:ilvl="0">
      <w:lvlJc w:val="left"/>
      <w:lvlText w:val="(%1)"/>
      <w:numFmt w:val="lowerLetter"/>
      <w:start w:val="2"/>
    </w:lvl>
    <w:lvl w:ilvl="1">
      <w:lvlJc w:val="left"/>
      <w:lvlText w:val="(%2)"/>
      <w:numFmt w:val="lowerLetter"/>
      <w:start w:val="9"/>
    </w:lvl>
  </w:abstractNum>
  <w:abstractNum w:abstractNumId="647">
    <w:nsid w:val="37B526D2"/>
    <w:multiLevelType w:val="hybridMultilevel"/>
    <w:lvl w:ilvl="0">
      <w:lvlJc w:val="left"/>
      <w:lvlText w:val="(%1)"/>
      <w:numFmt w:val="lowerRoman"/>
      <w:start w:val="2"/>
    </w:lvl>
  </w:abstractNum>
  <w:abstractNum w:abstractNumId="648">
    <w:nsid w:val="7BE319E5"/>
    <w:multiLevelType w:val="hybridMultilevel"/>
    <w:lvl w:ilvl="0">
      <w:lvlJc w:val="left"/>
      <w:lvlText w:val="(%1)"/>
      <w:numFmt w:val="lowerLetter"/>
      <w:start w:val="1"/>
    </w:lvl>
  </w:abstractNum>
  <w:abstractNum w:abstractNumId="649">
    <w:nsid w:val="4A2CDADC"/>
    <w:multiLevelType w:val="hybridMultilevel"/>
    <w:lvl w:ilvl="0">
      <w:lvlJc w:val="left"/>
      <w:lvlText w:val="(%1)"/>
      <w:numFmt w:val="lowerRoman"/>
      <w:start w:val="1"/>
    </w:lvl>
    <w:lvl w:ilvl="1">
      <w:lvlJc w:val="left"/>
      <w:lvlText w:val="(%2)"/>
      <w:numFmt w:val="upperLetter"/>
      <w:start w:val="1"/>
    </w:lvl>
  </w:abstractNum>
  <w:abstractNum w:abstractNumId="650">
    <w:nsid w:val="BB02F47"/>
    <w:multiLevelType w:val="hybridMultilevel"/>
    <w:lvl w:ilvl="0">
      <w:lvlJc w:val="left"/>
      <w:lvlText w:val="(%1)"/>
      <w:numFmt w:val="upperLetter"/>
      <w:start w:val="3"/>
    </w:lvl>
  </w:abstractNum>
  <w:abstractNum w:abstractNumId="651">
    <w:nsid w:val="30DD95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52">
    <w:nsid w:val="56D43898"/>
    <w:multiLevelType w:val="hybridMultilevel"/>
    <w:lvl w:ilvl="0">
      <w:lvlJc w:val="left"/>
      <w:lvlText w:val="(%1)"/>
      <w:numFmt w:val="lowerRoman"/>
      <w:start w:val="2"/>
    </w:lvl>
  </w:abstractNum>
  <w:abstractNum w:abstractNumId="653">
    <w:nsid w:val="76931B84"/>
    <w:multiLevelType w:val="hybridMultilevel"/>
    <w:lvl w:ilvl="0">
      <w:lvlJc w:val="left"/>
      <w:lvlText w:val="(%1)"/>
      <w:numFmt w:val="lowerRoman"/>
      <w:start w:val="1"/>
    </w:lvl>
  </w:abstractNum>
  <w:abstractNum w:abstractNumId="654">
    <w:nsid w:val="6C17FCD6"/>
    <w:multiLevelType w:val="hybridMultilevel"/>
    <w:lvl w:ilvl="0">
      <w:lvlJc w:val="left"/>
      <w:lvlText w:val="(%1)"/>
      <w:numFmt w:val="decimal"/>
      <w:start w:val="1"/>
    </w:lvl>
  </w:abstractNum>
  <w:abstractNum w:abstractNumId="655">
    <w:nsid w:val="4FA4B5A1"/>
    <w:multiLevelType w:val="hybridMultilevel"/>
    <w:lvl w:ilvl="0">
      <w:lvlJc w:val="left"/>
      <w:lvlText w:val="(%1)"/>
      <w:numFmt w:val="upperLetter"/>
      <w:start w:val="1"/>
    </w:lvl>
    <w:lvl w:ilvl="1">
      <w:lvlJc w:val="left"/>
      <w:lvlText w:val=" "/>
      <w:numFmt w:val="bullet"/>
      <w:start w:val="1"/>
    </w:lvl>
  </w:abstractNum>
  <w:abstractNum w:abstractNumId="656">
    <w:nsid w:val="3189923B"/>
    <w:multiLevelType w:val="hybridMultilevel"/>
    <w:lvl w:ilvl="0">
      <w:lvlJc w:val="left"/>
      <w:lvlText w:val="(%1)"/>
      <w:numFmt w:val="decimal"/>
      <w:start w:val="1"/>
    </w:lvl>
  </w:abstractNum>
  <w:abstractNum w:abstractNumId="657">
    <w:nsid w:val="5787D524"/>
    <w:multiLevelType w:val="hybridMultilevel"/>
    <w:lvl w:ilvl="0">
      <w:lvlJc w:val="left"/>
      <w:lvlText w:val="%1"/>
      <w:numFmt w:val="lowerRoman"/>
      <w:start w:val="1"/>
    </w:lvl>
    <w:lvl w:ilvl="1">
      <w:lvlJc w:val="left"/>
      <w:lvlText w:val="(%2)"/>
      <w:numFmt w:val="decimal"/>
      <w:start w:val="2"/>
    </w:lvl>
  </w:abstractNum>
  <w:abstractNum w:abstractNumId="658">
    <w:nsid w:val="19248B51"/>
    <w:multiLevelType w:val="hybridMultilevel"/>
    <w:lvl w:ilvl="0">
      <w:lvlJc w:val="left"/>
      <w:lvlText w:val="(%1)"/>
      <w:numFmt w:val="lowerRoman"/>
      <w:start w:val="3"/>
    </w:lvl>
    <w:lvl w:ilvl="1">
      <w:lvlJc w:val="left"/>
      <w:lvlText w:val="%2"/>
      <w:numFmt w:val="decimal"/>
      <w:start w:val="1"/>
    </w:lvl>
  </w:abstractNum>
  <w:abstractNum w:abstractNumId="659">
    <w:nsid w:val="132F561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60">
    <w:nsid w:val="67358E1D"/>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661">
    <w:nsid w:val="570FD06B"/>
    <w:multiLevelType w:val="hybridMultilevel"/>
    <w:lvl w:ilvl="0">
      <w:lvlJc w:val="left"/>
      <w:lvlText w:val="%1."/>
      <w:numFmt w:val="decimal"/>
      <w:start w:val="35"/>
    </w:lvl>
    <w:lvl w:ilvl="1">
      <w:lvlJc w:val="left"/>
      <w:lvlText w:val="%2"/>
      <w:numFmt w:val="lowerRoman"/>
      <w:start w:val="1"/>
    </w:lvl>
    <w:lvl w:ilvl="2">
      <w:lvlJc w:val="left"/>
      <w:lvlText w:val="%3"/>
      <w:numFmt w:val="upperLetter"/>
      <w:start w:val="1"/>
    </w:lvl>
  </w:abstractNum>
  <w:abstractNum w:abstractNumId="662">
    <w:nsid w:val="1D86D5F5"/>
    <w:multiLevelType w:val="hybridMultilevel"/>
    <w:lvl w:ilvl="0">
      <w:lvlJc w:val="left"/>
      <w:lvlText w:val="%1."/>
      <w:numFmt w:val="decimal"/>
      <w:start w:val="36"/>
    </w:lvl>
  </w:abstractNum>
  <w:abstractNum w:abstractNumId="663">
    <w:nsid w:val="691ABF5A"/>
    <w:multiLevelType w:val="hybridMultilevel"/>
    <w:lvl w:ilvl="0">
      <w:lvlJc w:val="left"/>
      <w:lvlText w:val="(%1)"/>
      <w:numFmt w:val="lowerLetter"/>
      <w:start w:val="1"/>
    </w:lvl>
    <w:lvl w:ilvl="1">
      <w:lvlJc w:val="left"/>
      <w:lvlText w:val="(%2)"/>
      <w:numFmt w:val="lowerRoman"/>
      <w:start w:val="1"/>
    </w:lvl>
  </w:abstractNum>
  <w:abstractNum w:abstractNumId="664">
    <w:nsid w:val="7247C47D"/>
    <w:multiLevelType w:val="hybridMultilevel"/>
    <w:lvl w:ilvl="0">
      <w:lvlJc w:val="left"/>
      <w:lvlText w:val="(%1)"/>
      <w:numFmt w:val="lowerLetter"/>
      <w:start w:val="2"/>
    </w:lvl>
  </w:abstractNum>
  <w:abstractNum w:abstractNumId="665">
    <w:nsid w:val="22509110"/>
    <w:multiLevelType w:val="hybridMultilevel"/>
    <w:lvl w:ilvl="0">
      <w:lvlJc w:val="left"/>
      <w:lvlText w:val="(%1)"/>
      <w:numFmt w:val="lowerLetter"/>
      <w:start w:val="1"/>
    </w:lvl>
  </w:abstractNum>
  <w:abstractNum w:abstractNumId="666">
    <w:nsid w:val="B912E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67">
    <w:nsid w:val="1B7E7B17"/>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668">
    <w:nsid w:val="69DFFC"/>
    <w:multiLevelType w:val="hybridMultilevel"/>
    <w:lvl w:ilvl="0">
      <w:lvlJc w:val="left"/>
      <w:lvlText w:val="(%1)"/>
      <w:numFmt w:val="lowerLetter"/>
      <w:start w:val="1"/>
    </w:lvl>
  </w:abstractNum>
  <w:abstractNum w:abstractNumId="669">
    <w:nsid w:val="F47CDA5"/>
    <w:multiLevelType w:val="hybridMultilevel"/>
    <w:lvl w:ilvl="0">
      <w:lvlJc w:val="left"/>
      <w:lvlText w:val="(%1)"/>
      <w:numFmt w:val="lowerLetter"/>
      <w:start w:val="2"/>
    </w:lvl>
  </w:abstractNum>
  <w:abstractNum w:abstractNumId="670">
    <w:nsid w:val="12B4903D"/>
    <w:multiLevelType w:val="hybridMultilevel"/>
    <w:lvl w:ilvl="0">
      <w:lvlJc w:val="left"/>
      <w:lvlText w:val="%1."/>
      <w:numFmt w:val="decimal"/>
      <w:start w:val="40"/>
    </w:lvl>
  </w:abstractNum>
  <w:abstractNum w:abstractNumId="671">
    <w:nsid w:val="73A2668C"/>
    <w:multiLevelType w:val="hybridMultilevel"/>
    <w:lvl w:ilvl="0">
      <w:lvlJc w:val="left"/>
      <w:lvlText w:val="(%1)"/>
      <w:numFmt w:val="lowerLetter"/>
      <w:start w:val="1"/>
    </w:lvl>
    <w:lvl w:ilvl="1">
      <w:lvlJc w:val="left"/>
      <w:lvlText w:val="(%2)"/>
      <w:numFmt w:val="lowerRoman"/>
      <w:start w:val="1"/>
    </w:lvl>
  </w:abstractNum>
  <w:abstractNum w:abstractNumId="672">
    <w:nsid w:val="147F4B24"/>
    <w:multiLevelType w:val="hybridMultilevel"/>
    <w:lvl w:ilvl="0">
      <w:lvlJc w:val="left"/>
      <w:lvlText w:val="(%1)"/>
      <w:numFmt w:val="lowerLetter"/>
      <w:start w:val="2"/>
    </w:lvl>
  </w:abstractNum>
  <w:abstractNum w:abstractNumId="673">
    <w:nsid w:val="5429ABEF"/>
    <w:multiLevelType w:val="hybridMultilevel"/>
    <w:lvl w:ilvl="0">
      <w:lvlJc w:val="left"/>
      <w:lvlText w:val="%1."/>
      <w:numFmt w:val="decimal"/>
      <w:start w:val="41"/>
    </w:lvl>
  </w:abstractNum>
  <w:abstractNum w:abstractNumId="674">
    <w:nsid w:val="52DFA1FC"/>
    <w:multiLevelType w:val="hybridMultilevel"/>
    <w:lvl w:ilvl="0">
      <w:lvlJc w:val="left"/>
      <w:lvlText w:val="(%1)"/>
      <w:numFmt w:val="lowerLetter"/>
      <w:start w:val="1"/>
    </w:lvl>
  </w:abstractNum>
  <w:abstractNum w:abstractNumId="675">
    <w:nsid w:val="36BEF0DA"/>
    <w:multiLevelType w:val="hybridMultilevel"/>
    <w:lvl w:ilvl="0">
      <w:lvlJc w:val="left"/>
      <w:lvlText w:val="(%1)"/>
      <w:numFmt w:val="lowerLetter"/>
      <w:start w:val="1"/>
    </w:lvl>
    <w:lvl w:ilvl="1">
      <w:lvlJc w:val="left"/>
      <w:lvlText w:val="(%2)"/>
      <w:numFmt w:val="lowerRoman"/>
      <w:start w:val="1"/>
    </w:lvl>
  </w:abstractNum>
  <w:abstractNum w:abstractNumId="676">
    <w:nsid w:val="7DFA51CE"/>
    <w:multiLevelType w:val="hybridMultilevel"/>
    <w:lvl w:ilvl="0">
      <w:lvlJc w:val="left"/>
      <w:lvlText w:val="(%1)"/>
      <w:numFmt w:val="lowerLetter"/>
      <w:start w:val="1"/>
    </w:lvl>
  </w:abstractNum>
  <w:abstractNum w:abstractNumId="677">
    <w:nsid w:val="170D654E"/>
    <w:multiLevelType w:val="hybridMultilevel"/>
    <w:lvl w:ilvl="0">
      <w:lvlJc w:val="left"/>
      <w:lvlText w:val="(%1)"/>
      <w:numFmt w:val="decimal"/>
      <w:start w:val="1"/>
    </w:lvl>
  </w:abstractNum>
  <w:abstractNum w:abstractNumId="678">
    <w:nsid w:val="6E7417AC"/>
    <w:multiLevelType w:val="hybridMultilevel"/>
    <w:lvl w:ilvl="0">
      <w:lvlJc w:val="left"/>
      <w:lvlText w:val="%1."/>
      <w:numFmt w:val="decimal"/>
      <w:start w:val="1"/>
    </w:lvl>
  </w:abstractNum>
  <w:abstractNum w:abstractNumId="679">
    <w:nsid w:val="79DD6BB3"/>
    <w:multiLevelType w:val="hybridMultilevel"/>
    <w:lvl w:ilvl="0">
      <w:lvlJc w:val="left"/>
      <w:lvlText w:val="(%1)"/>
      <w:numFmt w:val="lowerLetter"/>
      <w:start w:val="1"/>
    </w:lvl>
  </w:abstractNum>
  <w:abstractNum w:abstractNumId="680">
    <w:nsid w:val="613A402A"/>
    <w:multiLevelType w:val="hybridMultilevel"/>
    <w:lvl w:ilvl="0">
      <w:lvlJc w:val="left"/>
      <w:lvlText w:val="(%1)"/>
      <w:numFmt w:val="lowerLetter"/>
      <w:start w:val="1"/>
    </w:lvl>
  </w:abstractNum>
  <w:abstractNum w:abstractNumId="681">
    <w:nsid w:val="7A2446F3"/>
    <w:multiLevelType w:val="hybridMultilevel"/>
    <w:lvl w:ilvl="0">
      <w:lvlJc w:val="left"/>
      <w:lvlText w:val="(%1)"/>
      <w:numFmt w:val="lowerLetter"/>
      <w:start w:val="1"/>
    </w:lvl>
  </w:abstractNum>
  <w:abstractNum w:abstractNumId="682">
    <w:nsid w:val="2ABB00C4"/>
    <w:multiLevelType w:val="hybridMultilevel"/>
    <w:lvl w:ilvl="0">
      <w:lvlJc w:val="left"/>
      <w:lvlText w:val="(%1)"/>
      <w:numFmt w:val="lowerLetter"/>
      <w:start w:val="1"/>
    </w:lvl>
  </w:abstractNum>
  <w:abstractNum w:abstractNumId="683">
    <w:nsid w:val="380E78C3"/>
    <w:multiLevelType w:val="hybridMultilevel"/>
    <w:lvl w:ilvl="0">
      <w:lvlJc w:val="left"/>
      <w:lvlText w:val="(%1)"/>
      <w:numFmt w:val="lowerLetter"/>
      <w:start w:val="1"/>
    </w:lvl>
  </w:abstractNum>
  <w:abstractNum w:abstractNumId="684">
    <w:nsid w:val="70B76277"/>
    <w:multiLevelType w:val="hybridMultilevel"/>
    <w:lvl w:ilvl="0">
      <w:lvlJc w:val="left"/>
      <w:lvlText w:val="(%1)"/>
      <w:numFmt w:val="lowerLetter"/>
      <w:start w:val="2"/>
    </w:lvl>
  </w:abstractNum>
  <w:abstractNum w:abstractNumId="685">
    <w:nsid w:val="16D2FD9A"/>
    <w:multiLevelType w:val="hybridMultilevel"/>
    <w:lvl w:ilvl="0">
      <w:lvlJc w:val="left"/>
      <w:lvlText w:val="(%1)"/>
      <w:numFmt w:val="lowerLetter"/>
      <w:start w:val="1"/>
    </w:lvl>
  </w:abstractNum>
  <w:abstractNum w:abstractNumId="686">
    <w:nsid w:val="7B32E64"/>
    <w:multiLevelType w:val="hybridMultilevel"/>
    <w:lvl w:ilvl="0">
      <w:lvlJc w:val="left"/>
      <w:lvlText w:val="(%1)"/>
      <w:numFmt w:val="lowerLetter"/>
      <w:start w:val="2"/>
    </w:lvl>
  </w:abstractNum>
  <w:abstractNum w:abstractNumId="687">
    <w:nsid w:val="2240F4B2"/>
    <w:multiLevelType w:val="hybridMultilevel"/>
    <w:lvl w:ilvl="0">
      <w:lvlJc w:val="left"/>
      <w:lvlText w:val="(%1)"/>
      <w:numFmt w:val="lowerLetter"/>
      <w:start w:val="1"/>
    </w:lvl>
  </w:abstractNum>
  <w:abstractNum w:abstractNumId="688">
    <w:nsid w:val="6E5AD2BE"/>
    <w:multiLevelType w:val="hybridMultilevel"/>
    <w:lvl w:ilvl="0">
      <w:lvlJc w:val="left"/>
      <w:lvlText w:val="(%1)"/>
      <w:numFmt w:val="lowerRoman"/>
      <w:start w:val="1"/>
    </w:lvl>
  </w:abstractNum>
  <w:abstractNum w:abstractNumId="689">
    <w:nsid w:val="20D7B9B5"/>
    <w:multiLevelType w:val="hybridMultilevel"/>
    <w:lvl w:ilvl="0">
      <w:lvlJc w:val="left"/>
      <w:lvlText w:val="(%1)"/>
      <w:numFmt w:val="lowerLetter"/>
      <w:start w:val="1"/>
    </w:lvl>
  </w:abstractNum>
  <w:abstractNum w:abstractNumId="690">
    <w:nsid w:val="35704AD1"/>
    <w:multiLevelType w:val="hybridMultilevel"/>
    <w:lvl w:ilvl="0">
      <w:lvlJc w:val="left"/>
      <w:lvlText w:val="(%1)"/>
      <w:numFmt w:val="lowerLetter"/>
      <w:start w:val="1"/>
    </w:lvl>
  </w:abstractNum>
  <w:abstractNum w:abstractNumId="691">
    <w:nsid w:val="559060DB"/>
    <w:multiLevelType w:val="hybridMultilevel"/>
    <w:lvl w:ilvl="0">
      <w:lvlJc w:val="left"/>
      <w:lvlText w:val="(%1)"/>
      <w:numFmt w:val="lowerRoman"/>
      <w:start w:val="1"/>
    </w:lvl>
    <w:lvl w:ilvl="1">
      <w:lvlJc w:val="left"/>
      <w:lvlText w:val="(%2)"/>
      <w:numFmt w:val="upperLetter"/>
      <w:start w:val="1"/>
    </w:lvl>
  </w:abstractNum>
  <w:abstractNum w:abstractNumId="692">
    <w:nsid w:val="77E78A20"/>
    <w:multiLevelType w:val="hybridMultilevel"/>
    <w:lvl w:ilvl="0">
      <w:lvlJc w:val="left"/>
      <w:lvlText w:val="(%1)"/>
      <w:numFmt w:val="lowerRoman"/>
      <w:start w:val="2"/>
    </w:lvl>
  </w:abstractNum>
  <w:abstractNum w:abstractNumId="693">
    <w:nsid w:val="52F720C6"/>
    <w:multiLevelType w:val="hybridMultilevel"/>
    <w:lvl w:ilvl="0">
      <w:lvlJc w:val="left"/>
      <w:lvlText w:val="(%1)"/>
      <w:numFmt w:val="lowerLetter"/>
      <w:start w:val="1"/>
    </w:lvl>
    <w:lvl w:ilvl="1">
      <w:lvlJc w:val="left"/>
      <w:lvlText w:val="(%2)"/>
      <w:numFmt w:val="lowerRoman"/>
      <w:start w:val="1"/>
    </w:lvl>
  </w:abstractNum>
  <w:abstractNum w:abstractNumId="694">
    <w:nsid w:val="3EAB2035"/>
    <w:multiLevelType w:val="hybridMultilevel"/>
    <w:lvl w:ilvl="0">
      <w:lvlJc w:val="left"/>
      <w:lvlText w:val="(%1)"/>
      <w:numFmt w:val="lowerLetter"/>
      <w:start w:val="1"/>
    </w:lvl>
  </w:abstractNum>
  <w:abstractNum w:abstractNumId="695">
    <w:nsid w:val="6A2F4E9D"/>
    <w:multiLevelType w:val="hybridMultilevel"/>
    <w:lvl w:ilvl="0">
      <w:lvlJc w:val="left"/>
      <w:lvlText w:val="(%1)"/>
      <w:numFmt w:val="lowerLetter"/>
      <w:start w:val="1"/>
    </w:lvl>
  </w:abstractNum>
  <w:abstractNum w:abstractNumId="696">
    <w:nsid w:val="7547B1D6"/>
    <w:multiLevelType w:val="hybridMultilevel"/>
    <w:lvl w:ilvl="0">
      <w:lvlJc w:val="left"/>
      <w:lvlText w:val="(%1)"/>
      <w:numFmt w:val="lowerLetter"/>
      <w:start w:val="1"/>
    </w:lvl>
  </w:abstractNum>
  <w:abstractNum w:abstractNumId="697">
    <w:nsid w:val="4A3C4F0E"/>
    <w:multiLevelType w:val="hybridMultilevel"/>
    <w:lvl w:ilvl="0">
      <w:lvlJc w:val="left"/>
      <w:lvlText w:val="(%1)"/>
      <w:numFmt w:val="lowerLetter"/>
      <w:start w:val="1"/>
    </w:lvl>
  </w:abstractNum>
  <w:abstractNum w:abstractNumId="698">
    <w:nsid w:val="5ADC9B4"/>
    <w:multiLevelType w:val="hybridMultilevel"/>
    <w:lvl w:ilvl="0">
      <w:lvlJc w:val="left"/>
      <w:lvlText w:val="(%1)"/>
      <w:numFmt w:val="lowerLetter"/>
      <w:start w:val="1"/>
    </w:lvl>
  </w:abstractNum>
  <w:abstractNum w:abstractNumId="699">
    <w:nsid w:val="75B191D3"/>
    <w:multiLevelType w:val="hybridMultilevel"/>
    <w:lvl w:ilvl="0">
      <w:lvlJc w:val="left"/>
      <w:lvlText w:val="(%1)"/>
      <w:numFmt w:val="lowerLetter"/>
      <w:start w:val="1"/>
    </w:lvl>
  </w:abstractNum>
  <w:abstractNum w:abstractNumId="700">
    <w:nsid w:val="59841CB3"/>
    <w:multiLevelType w:val="hybridMultilevel"/>
    <w:lvl w:ilvl="0">
      <w:lvlJc w:val="left"/>
      <w:lvlText w:val="(%1)"/>
      <w:numFmt w:val="lowerLetter"/>
      <w:start w:val="1"/>
    </w:lvl>
  </w:abstractNum>
  <w:abstractNum w:abstractNumId="701">
    <w:nsid w:val="186259F2"/>
    <w:multiLevelType w:val="hybridMultilevel"/>
    <w:lvl w:ilvl="0">
      <w:lvlJc w:val="left"/>
      <w:lvlText w:val="(%1)"/>
      <w:numFmt w:val="lowerLetter"/>
      <w:start w:val="5"/>
    </w:lvl>
  </w:abstractNum>
  <w:abstractNum w:abstractNumId="702">
    <w:nsid w:val="6953F85F"/>
    <w:multiLevelType w:val="hybridMultilevel"/>
    <w:lvl w:ilvl="0">
      <w:lvlJc w:val="left"/>
      <w:lvlText w:val="(%1)"/>
      <w:numFmt w:val="lowerLetter"/>
      <w:start w:val="1"/>
    </w:lvl>
  </w:abstractNum>
  <w:abstractNum w:abstractNumId="703">
    <w:nsid w:val="6E0367D7"/>
    <w:multiLevelType w:val="hybridMultilevel"/>
    <w:lvl w:ilvl="0">
      <w:lvlJc w:val="left"/>
      <w:lvlText w:val="(%1)"/>
      <w:numFmt w:val="lowerLetter"/>
      <w:start w:val="1"/>
    </w:lvl>
  </w:abstractNum>
  <w:abstractNum w:abstractNumId="704">
    <w:nsid w:val="6C8C05E1"/>
    <w:multiLevelType w:val="hybridMultilevel"/>
    <w:lvl w:ilvl="0">
      <w:lvlJc w:val="left"/>
      <w:lvlText w:val="(%1)"/>
      <w:numFmt w:val="lowerLetter"/>
      <w:start w:val="4"/>
    </w:lvl>
  </w:abstractNum>
  <w:abstractNum w:abstractNumId="705">
    <w:nsid w:val="3C339A5B"/>
    <w:multiLevelType w:val="hybridMultilevel"/>
    <w:lvl w:ilvl="0">
      <w:lvlJc w:val="left"/>
      <w:lvlText w:val="(%1)"/>
      <w:numFmt w:val="lowerRoman"/>
      <w:start w:val="1"/>
    </w:lvl>
    <w:lvl w:ilvl="1">
      <w:lvlJc w:val="left"/>
      <w:lvlText w:val="(%2)"/>
      <w:numFmt w:val="upperLetter"/>
      <w:start w:val="1"/>
    </w:lvl>
  </w:abstractNum>
  <w:abstractNum w:abstractNumId="706">
    <w:nsid w:val="24C258B1"/>
    <w:multiLevelType w:val="hybridMultilevel"/>
    <w:lvl w:ilvl="0">
      <w:lvlJc w:val="left"/>
      <w:lvlText w:val="(%1)"/>
      <w:numFmt w:val="lowerRoman"/>
      <w:start w:val="2"/>
    </w:lvl>
  </w:abstractNum>
  <w:abstractNum w:abstractNumId="707">
    <w:nsid w:val="6A8657B0"/>
    <w:multiLevelType w:val="hybridMultilevel"/>
    <w:lvl w:ilvl="0">
      <w:lvlJc w:val="left"/>
      <w:lvlText w:val="(%1)"/>
      <w:numFmt w:val="lowerLetter"/>
      <w:start w:val="1"/>
    </w:lvl>
    <w:lvl w:ilvl="1">
      <w:lvlJc w:val="left"/>
      <w:lvlText w:val="(%2)"/>
      <w:numFmt w:val="lowerRoman"/>
      <w:start w:val="1"/>
    </w:lvl>
  </w:abstractNum>
  <w:abstractNum w:abstractNumId="708">
    <w:nsid w:val="5340FFA9"/>
    <w:multiLevelType w:val="hybridMultilevel"/>
    <w:lvl w:ilvl="0">
      <w:lvlJc w:val="left"/>
      <w:lvlText w:val="(%1)"/>
      <w:numFmt w:val="lowerLetter"/>
      <w:start w:val="1"/>
    </w:lvl>
  </w:abstractNum>
  <w:abstractNum w:abstractNumId="709">
    <w:nsid w:val="1336705D"/>
    <w:multiLevelType w:val="hybridMultilevel"/>
    <w:lvl w:ilvl="0">
      <w:lvlJc w:val="left"/>
      <w:lvlText w:val="(%1)"/>
      <w:numFmt w:val="lowerLetter"/>
      <w:start w:val="1"/>
    </w:lvl>
  </w:abstractNum>
  <w:abstractNum w:abstractNumId="710">
    <w:nsid w:val="6463C363"/>
    <w:multiLevelType w:val="hybridMultilevel"/>
    <w:lvl w:ilvl="0">
      <w:lvlJc w:val="left"/>
      <w:lvlText w:val="(%1)"/>
      <w:numFmt w:val="lowerLetter"/>
      <w:start w:val="1"/>
    </w:lvl>
  </w:abstractNum>
  <w:abstractNum w:abstractNumId="711">
    <w:nsid w:val="347B3FD3"/>
    <w:multiLevelType w:val="hybridMultilevel"/>
    <w:lvl w:ilvl="0">
      <w:lvlJc w:val="left"/>
      <w:lvlText w:val="(%1)"/>
      <w:numFmt w:val="lowerLetter"/>
      <w:start w:val="1"/>
    </w:lvl>
  </w:abstractNum>
  <w:abstractNum w:abstractNumId="712">
    <w:nsid w:val="D5AB751"/>
    <w:multiLevelType w:val="hybridMultilevel"/>
    <w:lvl w:ilvl="0">
      <w:lvlJc w:val="left"/>
      <w:lvlText w:val="(%1)"/>
      <w:numFmt w:val="lowerLetter"/>
      <w:start w:val="1"/>
    </w:lvl>
  </w:abstractNum>
  <w:abstractNum w:abstractNumId="713">
    <w:nsid w:val="F1EC427"/>
    <w:multiLevelType w:val="hybridMultilevel"/>
    <w:lvl w:ilvl="0">
      <w:lvlJc w:val="left"/>
      <w:lvlText w:val="(%1)"/>
      <w:numFmt w:val="lowerLetter"/>
      <w:start w:val="1"/>
    </w:lvl>
    <w:lvl w:ilvl="1">
      <w:lvlJc w:val="left"/>
      <w:lvlText w:val="(%2)"/>
      <w:numFmt w:val="lowerRoman"/>
      <w:start w:val="1"/>
    </w:lvl>
  </w:abstractNum>
  <w:abstractNum w:abstractNumId="714">
    <w:nsid w:val="6C89B896"/>
    <w:multiLevelType w:val="hybridMultilevel"/>
    <w:lvl w:ilvl="0">
      <w:lvlJc w:val="left"/>
      <w:lvlText w:val="(%1)"/>
      <w:numFmt w:val="lowerLetter"/>
      <w:start w:val="1"/>
    </w:lvl>
  </w:abstractNum>
  <w:abstractNum w:abstractNumId="715">
    <w:nsid w:val="7E1219C8"/>
    <w:multiLevelType w:val="hybridMultilevel"/>
    <w:lvl w:ilvl="0">
      <w:lvlJc w:val="left"/>
      <w:lvlText w:val="(%1)"/>
      <w:numFmt w:val="lowerLetter"/>
      <w:start w:val="1"/>
    </w:lvl>
  </w:abstractNum>
  <w:abstractNum w:abstractNumId="716">
    <w:nsid w:val="25F1C1C1"/>
    <w:multiLevelType w:val="hybridMultilevel"/>
    <w:lvl w:ilvl="0">
      <w:lvlJc w:val="left"/>
      <w:lvlText w:val="(%1)"/>
      <w:numFmt w:val="lowerLetter"/>
      <w:start w:val="1"/>
    </w:lvl>
  </w:abstractNum>
  <w:abstractNum w:abstractNumId="717">
    <w:nsid w:val="743CE6FA"/>
    <w:multiLevelType w:val="hybridMultilevel"/>
    <w:lvl w:ilvl="0">
      <w:lvlJc w:val="left"/>
      <w:lvlText w:val="(%1)"/>
      <w:numFmt w:val="lowerLetter"/>
      <w:start w:val="1"/>
    </w:lvl>
  </w:abstractNum>
  <w:abstractNum w:abstractNumId="718">
    <w:nsid w:val="20530E7B"/>
    <w:multiLevelType w:val="hybridMultilevel"/>
    <w:lvl w:ilvl="0">
      <w:lvlJc w:val="left"/>
      <w:lvlText w:val="(%1)"/>
      <w:numFmt w:val="lowerLetter"/>
      <w:start w:val="1"/>
    </w:lvl>
  </w:abstractNum>
  <w:abstractNum w:abstractNumId="719">
    <w:nsid w:val="144C9480"/>
    <w:multiLevelType w:val="hybridMultilevel"/>
    <w:lvl w:ilvl="0">
      <w:lvlJc w:val="left"/>
      <w:lvlText w:val="(%1)"/>
      <w:numFmt w:val="lowerLetter"/>
      <w:start w:val="1"/>
    </w:lvl>
  </w:abstractNum>
  <w:abstractNum w:abstractNumId="720">
    <w:nsid w:val="1514A0AF"/>
    <w:multiLevelType w:val="hybridMultilevel"/>
    <w:lvl w:ilvl="0">
      <w:lvlJc w:val="left"/>
      <w:lvlText w:val="(%1)"/>
      <w:numFmt w:val="lowerLetter"/>
      <w:start w:val="6"/>
    </w:lvl>
  </w:abstractNum>
  <w:abstractNum w:abstractNumId="721">
    <w:nsid w:val="55C3594C"/>
    <w:multiLevelType w:val="hybridMultilevel"/>
    <w:lvl w:ilvl="0">
      <w:lvlJc w:val="left"/>
      <w:lvlText w:val="(%1)"/>
      <w:numFmt w:val="lowerLetter"/>
      <w:start w:val="1"/>
    </w:lvl>
  </w:abstractNum>
  <w:abstractNum w:abstractNumId="722">
    <w:nsid w:val="69DCF55B"/>
    <w:multiLevelType w:val="hybridMultilevel"/>
    <w:lvl w:ilvl="0">
      <w:lvlJc w:val="left"/>
      <w:lvlText w:val="(%1)"/>
      <w:numFmt w:val="lowerRoman"/>
      <w:start w:val="1"/>
    </w:lvl>
  </w:abstractNum>
  <w:abstractNum w:abstractNumId="723">
    <w:nsid w:val="CFC2ACF"/>
    <w:multiLevelType w:val="hybridMultilevel"/>
    <w:lvl w:ilvl="0">
      <w:lvlJc w:val="left"/>
      <w:lvlText w:val="(%1)"/>
      <w:numFmt w:val="lowerLetter"/>
      <w:start w:val="1"/>
    </w:lvl>
  </w:abstractNum>
  <w:abstractNum w:abstractNumId="724">
    <w:nsid w:val="28BA7A13"/>
    <w:multiLevelType w:val="hybridMultilevel"/>
    <w:lvl w:ilvl="0">
      <w:lvlJc w:val="left"/>
      <w:lvlText w:val="(%1)"/>
      <w:numFmt w:val="lowerLetter"/>
      <w:start w:val="1"/>
    </w:lvl>
  </w:abstractNum>
  <w:abstractNum w:abstractNumId="725">
    <w:nsid w:val="28881591"/>
    <w:multiLevelType w:val="hybridMultilevel"/>
    <w:lvl w:ilvl="0">
      <w:lvlJc w:val="left"/>
      <w:lvlText w:val="(%1)"/>
      <w:numFmt w:val="lowerLetter"/>
      <w:start w:val="1"/>
    </w:lvl>
  </w:abstractNum>
  <w:abstractNum w:abstractNumId="726">
    <w:nsid w:val="772B796C"/>
    <w:multiLevelType w:val="hybridMultilevel"/>
    <w:lvl w:ilvl="0">
      <w:lvlJc w:val="left"/>
      <w:lvlText w:val="(%1)"/>
      <w:numFmt w:val="lowerLetter"/>
      <w:start w:val="1"/>
    </w:lvl>
  </w:abstractNum>
  <w:abstractNum w:abstractNumId="727">
    <w:nsid w:val="1E022BE9"/>
    <w:multiLevelType w:val="hybridMultilevel"/>
    <w:lvl w:ilvl="0">
      <w:lvlJc w:val="left"/>
      <w:lvlText w:val="(%1)"/>
      <w:numFmt w:val="lowerLetter"/>
      <w:start w:val="1"/>
    </w:lvl>
    <w:lvl w:ilvl="1">
      <w:lvlJc w:val="left"/>
      <w:lvlText w:val="(%2)"/>
      <w:numFmt w:val="lowerRoman"/>
      <w:start w:val="1"/>
    </w:lvl>
  </w:abstractNum>
  <w:abstractNum w:abstractNumId="728">
    <w:nsid w:val="72C4649F"/>
    <w:multiLevelType w:val="hybridMultilevel"/>
    <w:lvl w:ilvl="0">
      <w:lvlJc w:val="left"/>
      <w:lvlText w:val="%1"/>
      <w:numFmt w:val="lowerLetter"/>
      <w:start w:val="1"/>
    </w:lvl>
    <w:lvl w:ilvl="1">
      <w:lvlJc w:val="left"/>
      <w:lvlText w:val="(%2)"/>
      <w:numFmt w:val="lowerRoman"/>
      <w:start w:val="9"/>
    </w:lvl>
  </w:abstractNum>
  <w:abstractNum w:abstractNumId="729">
    <w:nsid w:val="7CD94321"/>
    <w:multiLevelType w:val="hybridMultilevel"/>
    <w:lvl w:ilvl="0">
      <w:lvlJc w:val="left"/>
      <w:lvlText w:val="(%1)"/>
      <w:numFmt w:val="lowerLetter"/>
      <w:start w:val="2"/>
    </w:lvl>
    <w:lvl w:ilvl="1">
      <w:lvlJc w:val="left"/>
      <w:lvlText w:val="(%2)"/>
      <w:numFmt w:val="lowerRoman"/>
      <w:start w:val="1"/>
    </w:lvl>
  </w:abstractNum>
  <w:abstractNum w:abstractNumId="730">
    <w:nsid w:val="13B3BDBC"/>
    <w:multiLevelType w:val="hybridMultilevel"/>
    <w:lvl w:ilvl="0">
      <w:lvlJc w:val="left"/>
      <w:lvlText w:val="(%1)"/>
      <w:numFmt w:val="lowerLetter"/>
      <w:start w:val="1"/>
    </w:lvl>
  </w:abstractNum>
  <w:abstractNum w:abstractNumId="731">
    <w:nsid w:val="4C488152"/>
    <w:multiLevelType w:val="hybridMultilevel"/>
    <w:lvl w:ilvl="0">
      <w:lvlJc w:val="left"/>
      <w:lvlText w:val="(%1)"/>
      <w:numFmt w:val="lowerLetter"/>
      <w:start w:val="2"/>
    </w:lvl>
  </w:abstractNum>
  <w:abstractNum w:abstractNumId="732">
    <w:nsid w:val="153B9D13"/>
    <w:multiLevelType w:val="hybridMultilevel"/>
    <w:lvl w:ilvl="0">
      <w:lvlJc w:val="left"/>
      <w:lvlText w:val="(%1)"/>
      <w:numFmt w:val="lowerLetter"/>
      <w:start w:val="1"/>
    </w:lvl>
  </w:abstractNum>
  <w:abstractNum w:abstractNumId="733">
    <w:nsid w:val="7D07B61B"/>
    <w:multiLevelType w:val="hybridMultilevel"/>
    <w:lvl w:ilvl="0">
      <w:lvlJc w:val="left"/>
      <w:lvlText w:val="%1."/>
      <w:numFmt w:val="decimal"/>
      <w:start w:val="2"/>
    </w:lvl>
  </w:abstractNum>
  <w:abstractNum w:abstractNumId="734">
    <w:nsid w:val="3A4BE92A"/>
    <w:multiLevelType w:val="hybridMultilevel"/>
    <w:lvl w:ilvl="0">
      <w:lvlJc w:val="left"/>
      <w:lvlText w:val="(%1)"/>
      <w:numFmt w:val="lowerLetter"/>
      <w:start w:val="1"/>
    </w:lvl>
  </w:abstractNum>
  <w:abstractNum w:abstractNumId="735">
    <w:nsid w:val="1C7A2F4"/>
    <w:multiLevelType w:val="hybridMultilevel"/>
    <w:lvl w:ilvl="0">
      <w:lvlJc w:val="left"/>
      <w:lvlText w:val="(%1)"/>
      <w:numFmt w:val="lowerLetter"/>
      <w:start w:val="1"/>
    </w:lvl>
    <w:lvl w:ilvl="1">
      <w:lvlJc w:val="left"/>
      <w:lvlText w:val="(%2)"/>
      <w:numFmt w:val="lowerRoman"/>
      <w:start w:val="1"/>
    </w:lvl>
  </w:abstractNum>
  <w:abstractNum w:abstractNumId="736">
    <w:nsid w:val="393B5076"/>
    <w:multiLevelType w:val="hybridMultilevel"/>
    <w:lvl w:ilvl="0">
      <w:lvlJc w:val="left"/>
      <w:lvlText w:val="(%1)"/>
      <w:numFmt w:val="lowerLetter"/>
      <w:start w:val="8"/>
    </w:lvl>
    <w:lvl w:ilvl="1">
      <w:lvlJc w:val="left"/>
      <w:lvlText w:val="(%2)"/>
      <w:numFmt w:val="lowerRoman"/>
      <w:start w:val="1"/>
    </w:lvl>
  </w:abstractNum>
  <w:abstractNum w:abstractNumId="737">
    <w:nsid w:val="5F0E41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38">
    <w:nsid w:val="6C4DFAA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39">
    <w:nsid w:val="C7C501F"/>
    <w:multiLevelType w:val="hybridMultilevel"/>
    <w:lvl w:ilvl="0">
      <w:lvlJc w:val="left"/>
      <w:lvlText w:val="%1."/>
      <w:numFmt w:val="upperLetter"/>
      <w:start w:val="9"/>
    </w:lvl>
  </w:abstractNum>
  <w:abstractNum w:abstractNumId="740">
    <w:nsid w:val="7244B239"/>
    <w:multiLevelType w:val="hybridMultilevel"/>
    <w:lvl w:ilvl="0">
      <w:lvlJc w:val="left"/>
      <w:lvlText w:val="%1."/>
      <w:numFmt w:val="upperLetter"/>
      <w:start w:val="35"/>
    </w:lvl>
  </w:abstractNum>
  <w:abstractNum w:abstractNumId="741">
    <w:nsid w:val="50B1BE08"/>
    <w:multiLevelType w:val="hybridMultilevel"/>
    <w:lvl w:ilvl="0">
      <w:lvlJc w:val="left"/>
      <w:lvlText w:val="%1."/>
      <w:numFmt w:val="upperLetter"/>
      <w:start w:val="61"/>
    </w:lvl>
  </w:abstractNum>
  <w:abstractNum w:abstractNumId="742">
    <w:nsid w:val="40F78FF3"/>
    <w:multiLevelType w:val="hybridMultilevel"/>
    <w:lvl w:ilvl="0">
      <w:lvlJc w:val="left"/>
      <w:lvlText w:val="%1"/>
      <w:numFmt w:val="lowerLetter"/>
      <w:start w:val="1"/>
    </w:lvl>
    <w:lvl w:ilvl="1">
      <w:lvlJc w:val="left"/>
      <w:lvlText w:val="(%2)"/>
      <w:numFmt w:val="lowerLetter"/>
      <w:start w:val="35"/>
    </w:lvl>
  </w:abstractNum>
  <w:abstractNum w:abstractNumId="743">
    <w:nsid w:val="7F9F698A"/>
    <w:multiLevelType w:val="hybridMultilevel"/>
    <w:lvl w:ilvl="0">
      <w:lvlJc w:val="left"/>
      <w:lvlText w:val="(%1)"/>
      <w:numFmt w:val="lowerLetter"/>
      <w:start w:val="7"/>
    </w:lvl>
    <w:lvl w:ilvl="1">
      <w:lvlJc w:val="left"/>
      <w:lvlText w:val="%2"/>
      <w:numFmt w:val="lowerLetter"/>
      <w:start w:val="1"/>
    </w:lvl>
  </w:abstractNum>
  <w:abstractNum w:abstractNumId="744">
    <w:nsid w:val="5FD0822F"/>
    <w:multiLevelType w:val="hybridMultilevel"/>
    <w:lvl w:ilvl="0">
      <w:lvlJc w:val="left"/>
      <w:lvlText w:val="%1."/>
      <w:numFmt w:val="decimal"/>
      <w:start w:val="3"/>
    </w:lvl>
    <w:lvl w:ilvl="1">
      <w:lvlJc w:val="left"/>
      <w:lvlText w:val="(%2)"/>
      <w:numFmt w:val="lowerLetter"/>
      <w:start w:val="1"/>
    </w:lvl>
  </w:abstractNum>
  <w:abstractNum w:abstractNumId="745">
    <w:nsid w:val="2D814889"/>
    <w:multiLevelType w:val="hybridMultilevel"/>
    <w:lvl w:ilvl="0">
      <w:lvlJc w:val="left"/>
      <w:lvlText w:val="%1."/>
      <w:numFmt w:val="decimal"/>
      <w:start w:val="4"/>
    </w:lvl>
  </w:abstractNum>
  <w:abstractNum w:abstractNumId="746">
    <w:nsid w:val="7DB18352"/>
    <w:multiLevelType w:val="hybridMultilevel"/>
    <w:lvl w:ilvl="0">
      <w:lvlJc w:val="left"/>
      <w:lvlText w:val="(%1)"/>
      <w:numFmt w:val="lowerLetter"/>
      <w:start w:val="1"/>
    </w:lvl>
  </w:abstractNum>
  <w:abstractNum w:abstractNumId="747">
    <w:nsid w:val="5C243F1"/>
    <w:multiLevelType w:val="hybridMultilevel"/>
    <w:lvl w:ilvl="0">
      <w:lvlJc w:val="left"/>
      <w:lvlText w:val="(%1)"/>
      <w:numFmt w:val="lowerLetter"/>
      <w:start w:val="1"/>
    </w:lvl>
  </w:abstractNum>
  <w:abstractNum w:abstractNumId="748">
    <w:nsid w:val="21BE2F84"/>
    <w:multiLevelType w:val="hybridMultilevel"/>
    <w:lvl w:ilvl="0">
      <w:lvlJc w:val="left"/>
      <w:lvlText w:val="(%1)"/>
      <w:numFmt w:val="lowerLetter"/>
      <w:start w:val="1"/>
    </w:lvl>
  </w:abstractNum>
  <w:abstractNum w:abstractNumId="749">
    <w:nsid w:val="1E0491CD"/>
    <w:multiLevelType w:val="hybridMultilevel"/>
    <w:lvl w:ilvl="0">
      <w:lvlJc w:val="left"/>
      <w:lvlText w:val="%1."/>
      <w:numFmt w:val="decimal"/>
      <w:start w:val="5"/>
    </w:lvl>
  </w:abstractNum>
  <w:abstractNum w:abstractNumId="750">
    <w:nsid w:val="1A0ED871"/>
    <w:multiLevelType w:val="hybridMultilevel"/>
    <w:lvl w:ilvl="0">
      <w:lvlJc w:val="left"/>
      <w:lvlText w:val="(%1)"/>
      <w:numFmt w:val="lowerLetter"/>
      <w:start w:val="1"/>
    </w:lvl>
    <w:lvl w:ilvl="1">
      <w:lvlJc w:val="left"/>
      <w:lvlText w:val="(%2)"/>
      <w:numFmt w:val="lowerRoman"/>
      <w:start w:val="1"/>
    </w:lvl>
  </w:abstractNum>
  <w:abstractNum w:abstractNumId="751">
    <w:nsid w:val="36D2D033"/>
    <w:multiLevelType w:val="hybridMultilevel"/>
    <w:lvl w:ilvl="0">
      <w:lvlJc w:val="left"/>
      <w:lvlText w:val="(%1)"/>
      <w:numFmt w:val="lowerLetter"/>
      <w:start w:val="1"/>
    </w:lvl>
  </w:abstractNum>
  <w:abstractNum w:abstractNumId="752">
    <w:nsid w:val="73C7EB1A"/>
    <w:multiLevelType w:val="hybridMultilevel"/>
    <w:lvl w:ilvl="0">
      <w:lvlJc w:val="left"/>
      <w:lvlText w:val="(%1)"/>
      <w:numFmt w:val="lowerLetter"/>
      <w:start w:val="1"/>
    </w:lvl>
  </w:abstractNum>
  <w:abstractNum w:abstractNumId="753">
    <w:nsid w:val="3EBCDCC"/>
    <w:multiLevelType w:val="hybridMultilevel"/>
    <w:lvl w:ilvl="0">
      <w:lvlJc w:val="left"/>
      <w:lvlText w:val="%1."/>
      <w:numFmt w:val="decimal"/>
      <w:start w:val="6"/>
    </w:lvl>
  </w:abstractNum>
  <w:abstractNum w:abstractNumId="754">
    <w:nsid w:val="43CEFB03"/>
    <w:multiLevelType w:val="hybridMultilevel"/>
    <w:lvl w:ilvl="0">
      <w:lvlJc w:val="left"/>
      <w:lvlText w:val="(%1)"/>
      <w:numFmt w:val="lowerLetter"/>
      <w:start w:val="1"/>
    </w:lvl>
  </w:abstractNum>
  <w:abstractNum w:abstractNumId="755">
    <w:nsid w:val="1C82652D"/>
    <w:multiLevelType w:val="hybridMultilevel"/>
    <w:lvl w:ilvl="0">
      <w:lvlJc w:val="left"/>
      <w:lvlText w:val="%1."/>
      <w:numFmt w:val="decimal"/>
      <w:start w:val="7"/>
    </w:lvl>
  </w:abstractNum>
  <w:abstractNum w:abstractNumId="756">
    <w:nsid w:val="2C73E35D"/>
    <w:multiLevelType w:val="hybridMultilevel"/>
    <w:lvl w:ilvl="0">
      <w:lvlJc w:val="left"/>
      <w:lvlText w:val="(%1)"/>
      <w:numFmt w:val="lowerLetter"/>
      <w:start w:val="1"/>
    </w:lvl>
  </w:abstractNum>
  <w:abstractNum w:abstractNumId="757">
    <w:nsid w:val="3AFA746F"/>
    <w:multiLevelType w:val="hybridMultilevel"/>
    <w:lvl w:ilvl="0">
      <w:lvlJc w:val="left"/>
      <w:lvlText w:val="(%1)"/>
      <w:numFmt w:val="lowerLetter"/>
      <w:start w:val="1"/>
    </w:lvl>
  </w:abstractNum>
  <w:abstractNum w:abstractNumId="758">
    <w:nsid w:val="3A849116"/>
    <w:multiLevelType w:val="hybridMultilevel"/>
    <w:lvl w:ilvl="0">
      <w:lvlJc w:val="left"/>
      <w:lvlText w:val="(%1)"/>
      <w:numFmt w:val="lowerLetter"/>
      <w:start w:val="1"/>
    </w:lvl>
  </w:abstractNum>
  <w:abstractNum w:abstractNumId="759">
    <w:nsid w:val="1F3847FC"/>
    <w:multiLevelType w:val="hybridMultilevel"/>
    <w:lvl w:ilvl="0">
      <w:lvlJc w:val="left"/>
      <w:lvlText w:val="(%1)"/>
      <w:numFmt w:val="lowerLetter"/>
      <w:start w:val="1"/>
    </w:lvl>
    <w:lvl w:ilvl="1">
      <w:lvlJc w:val="left"/>
      <w:lvlText w:val="(%2)"/>
      <w:numFmt w:val="lowerRoman"/>
      <w:start w:val="1"/>
    </w:lvl>
  </w:abstractNum>
  <w:abstractNum w:abstractNumId="760">
    <w:nsid w:val="37D3B790"/>
    <w:multiLevelType w:val="hybridMultilevel"/>
    <w:lvl w:ilvl="0">
      <w:lvlJc w:val="left"/>
      <w:lvlText w:val="(%1)"/>
      <w:numFmt w:val="lowerLetter"/>
      <w:start w:val="2"/>
    </w:lvl>
  </w:abstractNum>
  <w:abstractNum w:abstractNumId="761">
    <w:nsid w:val="4E384ED3"/>
    <w:multiLevelType w:val="hybridMultilevel"/>
    <w:lvl w:ilvl="0">
      <w:lvlJc w:val="left"/>
      <w:lvlText w:val="(%1)"/>
      <w:numFmt w:val="lowerLetter"/>
      <w:start w:val="3"/>
    </w:lvl>
    <w:lvl w:ilvl="1">
      <w:lvlJc w:val="left"/>
      <w:lvlText w:val="(%2)"/>
      <w:numFmt w:val="lowerLetter"/>
      <w:start w:val="1"/>
    </w:lvl>
  </w:abstractNum>
  <w:abstractNum w:abstractNumId="762">
    <w:nsid w:val="6B80C94F"/>
    <w:multiLevelType w:val="hybridMultilevel"/>
    <w:lvl w:ilvl="0">
      <w:lvlJc w:val="left"/>
      <w:lvlText w:val="%1"/>
      <w:numFmt w:val="lowerLetter"/>
      <w:start w:val="1"/>
    </w:lvl>
    <w:lvl w:ilvl="1">
      <w:lvlJc w:val="left"/>
      <w:lvlText w:val="(%2)"/>
      <w:numFmt w:val="lowerLetter"/>
      <w:start w:val="9"/>
    </w:lvl>
  </w:abstractNum>
  <w:abstractNum w:abstractNumId="763">
    <w:nsid w:val="4D0F54A3"/>
    <w:multiLevelType w:val="hybridMultilevel"/>
    <w:lvl w:ilvl="0">
      <w:lvlJc w:val="left"/>
      <w:lvlText w:val="(%1)"/>
      <w:numFmt w:val="lowerRoman"/>
      <w:start w:val="2"/>
    </w:lvl>
  </w:abstractNum>
  <w:abstractNum w:abstractNumId="764">
    <w:nsid w:val="4B4004EE"/>
    <w:multiLevelType w:val="hybridMultilevel"/>
    <w:lvl w:ilvl="0">
      <w:lvlJc w:val="left"/>
      <w:lvlText w:val="(%1)"/>
      <w:numFmt w:val="lowerLetter"/>
      <w:start w:val="5"/>
    </w:lvl>
    <w:lvl w:ilvl="1">
      <w:lvlJc w:val="left"/>
      <w:lvlText w:val="(%2)"/>
      <w:numFmt w:val="lowerRoman"/>
      <w:start w:val="1"/>
    </w:lvl>
  </w:abstractNum>
  <w:abstractNum w:abstractNumId="765">
    <w:nsid w:val="25CCB279"/>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766">
    <w:nsid w:val="4ED6F79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67">
    <w:nsid w:val="47B556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8">
    <w:nsid w:val="4DAF454"/>
    <w:multiLevelType w:val="hybridMultilevel"/>
    <w:lvl w:ilvl="0">
      <w:lvlJc w:val="left"/>
      <w:lvlText w:val="(%1)"/>
      <w:numFmt w:val="lowerRoman"/>
      <w:start w:val="1"/>
    </w:lvl>
    <w:lvl w:ilvl="1">
      <w:lvlJc w:val="left"/>
      <w:lvlText w:val="(%2)"/>
      <w:numFmt w:val="upperLetter"/>
      <w:start w:val="1"/>
    </w:lvl>
  </w:abstractNum>
  <w:abstractNum w:abstractNumId="769">
    <w:nsid w:val="3B24F23C"/>
    <w:multiLevelType w:val="hybridMultilevel"/>
    <w:lvl w:ilvl="0">
      <w:lvlJc w:val="left"/>
      <w:lvlText w:val="(%1)"/>
      <w:numFmt w:val="lowerLetter"/>
      <w:start w:val="1"/>
    </w:lvl>
  </w:abstractNum>
  <w:abstractNum w:abstractNumId="770">
    <w:nsid w:val="10F7A584"/>
    <w:multiLevelType w:val="hybridMultilevel"/>
    <w:lvl w:ilvl="0">
      <w:lvlJc w:val="left"/>
      <w:lvlText w:val="%1."/>
      <w:numFmt w:val="decimal"/>
      <w:start w:val="8"/>
    </w:lvl>
  </w:abstractNum>
  <w:abstractNum w:abstractNumId="771">
    <w:nsid w:val="771FA68D"/>
    <w:multiLevelType w:val="hybridMultilevel"/>
    <w:lvl w:ilvl="0">
      <w:lvlJc w:val="left"/>
      <w:lvlText w:val="(%1)"/>
      <w:numFmt w:val="lowerLetter"/>
      <w:start w:val="1"/>
    </w:lvl>
  </w:abstractNum>
  <w:abstractNum w:abstractNumId="772">
    <w:nsid w:val="BD6B044"/>
    <w:multiLevelType w:val="hybridMultilevel"/>
    <w:lvl w:ilvl="0">
      <w:lvlJc w:val="left"/>
      <w:lvlText w:val="(%1)"/>
      <w:numFmt w:val="lowerLetter"/>
      <w:start w:val="1"/>
    </w:lvl>
  </w:abstractNum>
  <w:abstractNum w:abstractNumId="773">
    <w:nsid w:val="51EF3577"/>
    <w:multiLevelType w:val="hybridMultilevel"/>
    <w:lvl w:ilvl="0">
      <w:lvlJc w:val="left"/>
      <w:lvlText w:val="%1."/>
      <w:numFmt w:val="decimal"/>
      <w:start w:val="9"/>
    </w:lvl>
  </w:abstractNum>
  <w:abstractNum w:abstractNumId="774">
    <w:nsid w:val="76BF1017"/>
    <w:multiLevelType w:val="hybridMultilevel"/>
    <w:lvl w:ilvl="0">
      <w:lvlJc w:val="left"/>
      <w:lvlText w:val="(%1)"/>
      <w:numFmt w:val="lowerLetter"/>
      <w:start w:val="1"/>
    </w:lvl>
    <w:lvl w:ilvl="1">
      <w:lvlJc w:val="left"/>
      <w:lvlText w:val="(%2)"/>
      <w:numFmt w:val="lowerRoman"/>
      <w:start w:val="1"/>
    </w:lvl>
  </w:abstractNum>
  <w:abstractNum w:abstractNumId="775">
    <w:nsid w:val="6BA73274"/>
    <w:multiLevelType w:val="hybridMultilevel"/>
    <w:lvl w:ilvl="0">
      <w:lvlJc w:val="left"/>
      <w:lvlText w:val="%1"/>
      <w:numFmt w:val="lowerLetter"/>
      <w:start w:val="1"/>
    </w:lvl>
    <w:lvl w:ilvl="1">
      <w:lvlJc w:val="left"/>
      <w:lvlText w:val="(%2)"/>
      <w:numFmt w:val="lowerRoman"/>
      <w:start w:val="4"/>
    </w:lvl>
  </w:abstractNum>
  <w:abstractNum w:abstractNumId="776">
    <w:nsid w:val="7F707E01"/>
    <w:multiLevelType w:val="hybridMultilevel"/>
    <w:lvl w:ilvl="0">
      <w:lvlJc w:val="left"/>
      <w:lvlText w:val="(%1)"/>
      <w:numFmt w:val="lowerLetter"/>
      <w:start w:val="2"/>
    </w:lvl>
    <w:lvl w:ilvl="1">
      <w:lvlJc w:val="left"/>
      <w:lvlText w:val="%2"/>
      <w:numFmt w:val="lowerRoman"/>
      <w:start w:val="1"/>
    </w:lvl>
  </w:abstractNum>
  <w:abstractNum w:abstractNumId="777">
    <w:nsid w:val="7470936A"/>
    <w:multiLevelType w:val="hybridMultilevel"/>
    <w:lvl w:ilvl="0">
      <w:lvlJc w:val="left"/>
      <w:lvlText w:val="(%1)"/>
      <w:numFmt w:val="lowerLetter"/>
      <w:start w:val="1"/>
    </w:lvl>
  </w:abstractNum>
  <w:abstractNum w:abstractNumId="778">
    <w:nsid w:val="71697665"/>
    <w:multiLevelType w:val="hybridMultilevel"/>
    <w:lvl w:ilvl="0">
      <w:lvlJc w:val="left"/>
      <w:lvlText w:val="%1."/>
      <w:numFmt w:val="decimal"/>
      <w:start w:val="10"/>
    </w:lvl>
  </w:abstractNum>
  <w:abstractNum w:abstractNumId="779">
    <w:nsid w:val="212EAD85"/>
    <w:multiLevelType w:val="hybridMultilevel"/>
    <w:lvl w:ilvl="0">
      <w:lvlJc w:val="left"/>
      <w:lvlText w:val="(%1)"/>
      <w:numFmt w:val="lowerLetter"/>
      <w:start w:val="1"/>
    </w:lvl>
  </w:abstractNum>
  <w:abstractNum w:abstractNumId="780">
    <w:nsid w:val="12752537"/>
    <w:multiLevelType w:val="hybridMultilevel"/>
    <w:lvl w:ilvl="0">
      <w:lvlJc w:val="left"/>
      <w:lvlText w:val="(%1)"/>
      <w:numFmt w:val="lowerLetter"/>
      <w:start w:val="1"/>
    </w:lvl>
  </w:abstractNum>
  <w:abstractNum w:abstractNumId="781">
    <w:nsid w:val="B784ED6"/>
    <w:multiLevelType w:val="hybridMultilevel"/>
    <w:lvl w:ilvl="0">
      <w:lvlJc w:val="left"/>
      <w:lvlText w:val="(%1)"/>
      <w:numFmt w:val="lowerLetter"/>
      <w:start w:val="1"/>
    </w:lvl>
    <w:lvl w:ilvl="1">
      <w:lvlJc w:val="left"/>
      <w:lvlText w:val="(%2)"/>
      <w:numFmt w:val="lowerRoman"/>
      <w:start w:val="1"/>
    </w:lvl>
  </w:abstractNum>
  <w:abstractNum w:abstractNumId="782">
    <w:nsid w:val="58017DB8"/>
    <w:multiLevelType w:val="hybridMultilevel"/>
    <w:lvl w:ilvl="0">
      <w:lvlJc w:val="left"/>
      <w:lvlText w:val="%1."/>
      <w:numFmt w:val="decimal"/>
      <w:start w:val="11"/>
    </w:lvl>
  </w:abstractNum>
  <w:abstractNum w:abstractNumId="783">
    <w:nsid w:val="63D1051"/>
    <w:multiLevelType w:val="hybridMultilevel"/>
    <w:lvl w:ilvl="0">
      <w:lvlJc w:val="left"/>
      <w:lvlText w:val="%1."/>
      <w:numFmt w:val="decimal"/>
      <w:start w:val="12"/>
    </w:lvl>
  </w:abstractNum>
  <w:abstractNum w:abstractNumId="784">
    <w:nsid w:val="F641CA2"/>
    <w:multiLevelType w:val="hybridMultilevel"/>
    <w:lvl w:ilvl="0">
      <w:lvlJc w:val="left"/>
      <w:lvlText w:val="(%1)"/>
      <w:numFmt w:val="lowerLetter"/>
      <w:start w:val="1"/>
    </w:lvl>
  </w:abstractNum>
  <w:abstractNum w:abstractNumId="785">
    <w:nsid w:val="1BD078BB"/>
    <w:multiLevelType w:val="hybridMultilevel"/>
    <w:lvl w:ilvl="0">
      <w:lvlJc w:val="left"/>
      <w:lvlText w:val="(%1)"/>
      <w:numFmt w:val="lowerLetter"/>
      <w:start w:val="1"/>
    </w:lvl>
  </w:abstractNum>
  <w:abstractNum w:abstractNumId="786">
    <w:nsid w:val="22BF757E"/>
    <w:multiLevelType w:val="hybridMultilevel"/>
    <w:lvl w:ilvl="0">
      <w:lvlJc w:val="left"/>
      <w:lvlText w:val="(%1)"/>
      <w:numFmt w:val="lowerLetter"/>
      <w:start w:val="2"/>
    </w:lvl>
  </w:abstractNum>
  <w:abstractNum w:abstractNumId="787">
    <w:nsid w:val="3BD800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8">
    <w:nsid w:val="56CAED2B"/>
    <w:multiLevelType w:val="hybridMultilevel"/>
    <w:lvl w:ilvl="0">
      <w:lvlJc w:val="left"/>
      <w:lvlText w:val="(%1)"/>
      <w:numFmt w:val="lowerLetter"/>
      <w:start w:val="1"/>
    </w:lvl>
  </w:abstractNum>
  <w:abstractNum w:abstractNumId="789">
    <w:nsid w:val="5D440695"/>
    <w:multiLevelType w:val="hybridMultilevel"/>
    <w:lvl w:ilvl="0">
      <w:lvlJc w:val="left"/>
      <w:lvlText w:val="(%1)"/>
      <w:numFmt w:val="lowerLetter"/>
      <w:start w:val="1"/>
    </w:lvl>
  </w:abstractNum>
  <w:abstractNum w:abstractNumId="790">
    <w:nsid w:val="5B1047F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91">
    <w:nsid w:val="E9EA4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92">
    <w:nsid w:val="2B7C5568"/>
    <w:multiLevelType w:val="hybridMultilevel"/>
    <w:lvl w:ilvl="0">
      <w:lvlJc w:val="left"/>
      <w:lvlText w:val="%1"/>
      <w:numFmt w:val="lowerLetter"/>
      <w:start w:val="1"/>
    </w:lvl>
    <w:lvl w:ilvl="1">
      <w:lvlJc w:val="left"/>
      <w:lvlText w:val="(%2)"/>
      <w:numFmt w:val="lowerLetter"/>
      <w:start w:val="61"/>
    </w:lvl>
  </w:abstractNum>
  <w:abstractNum w:abstractNumId="793">
    <w:nsid w:val="4691114B"/>
    <w:multiLevelType w:val="hybridMultilevel"/>
    <w:lvl w:ilvl="0">
      <w:lvlJc w:val="left"/>
      <w:lvlText w:val="(%1)"/>
      <w:numFmt w:val="lowerLetter"/>
      <w:start w:val="2"/>
    </w:lvl>
    <w:lvl w:ilvl="1">
      <w:lvlJc w:val="left"/>
      <w:lvlText w:val="(%2)"/>
      <w:numFmt w:val="lowerLetter"/>
      <w:start w:val="9"/>
    </w:lvl>
  </w:abstractNum>
  <w:abstractNum w:abstractNumId="794">
    <w:nsid w:val="5BADF95F"/>
    <w:multiLevelType w:val="hybridMultilevel"/>
    <w:lvl w:ilvl="0">
      <w:lvlJc w:val="left"/>
      <w:lvlText w:val="%1"/>
      <w:numFmt w:val="lowerLetter"/>
      <w:start w:val="1"/>
    </w:lvl>
    <w:lvl w:ilvl="1">
      <w:lvlJc w:val="left"/>
      <w:lvlText w:val="(%2)"/>
      <w:numFmt w:val="lowerRoman"/>
      <w:start w:val="2"/>
    </w:lvl>
  </w:abstractNum>
  <w:abstractNum w:abstractNumId="795">
    <w:nsid w:val="76BC5A56"/>
    <w:multiLevelType w:val="hybridMultilevel"/>
    <w:lvl w:ilvl="0">
      <w:lvlJc w:val="left"/>
      <w:lvlText w:val="(%1)"/>
      <w:numFmt w:val="lowerLetter"/>
      <w:start w:val="4"/>
    </w:lvl>
    <w:lvl w:ilvl="1">
      <w:lvlJc w:val="left"/>
      <w:lvlText w:val="(%2)"/>
      <w:numFmt w:val="lowerRoman"/>
      <w:start w:val="1"/>
    </w:lvl>
  </w:abstractNum>
  <w:abstractNum w:abstractNumId="796">
    <w:nsid w:val="6C5DC3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797">
    <w:nsid w:val="2A84F0F7"/>
    <w:multiLevelType w:val="hybridMultilevel"/>
    <w:lvl w:ilvl="0">
      <w:lvlJc w:val="left"/>
      <w:lvlText w:val="(%1)"/>
      <w:numFmt w:val="lowerLetter"/>
      <w:start w:val="6"/>
    </w:lvl>
    <w:lvl w:ilvl="1">
      <w:lvlJc w:val="left"/>
      <w:lvlText w:val="(%2)"/>
      <w:numFmt w:val="lowerLetter"/>
      <w:start w:val="5"/>
    </w:lvl>
    <w:lvl w:ilvl="2">
      <w:lvlJc w:val="left"/>
      <w:lvlText w:val="%3"/>
      <w:numFmt w:val="upperLetter"/>
      <w:start w:val="1"/>
    </w:lvl>
  </w:abstractNum>
  <w:abstractNum w:abstractNumId="798">
    <w:nsid w:val="7B37AFBB"/>
    <w:multiLevelType w:val="hybridMultilevel"/>
    <w:lvl w:ilvl="0">
      <w:lvlJc w:val="left"/>
      <w:lvlText w:val="(%1)"/>
      <w:numFmt w:val="lowerLetter"/>
      <w:start w:val="1"/>
    </w:lvl>
  </w:abstractNum>
  <w:abstractNum w:abstractNumId="799">
    <w:nsid w:val="7138B819"/>
    <w:multiLevelType w:val="hybridMultilevel"/>
    <w:lvl w:ilvl="0">
      <w:lvlJc w:val="left"/>
      <w:lvlText w:val="%1."/>
      <w:numFmt w:val="decimal"/>
      <w:start w:val="13"/>
    </w:lvl>
  </w:abstractNum>
  <w:abstractNum w:abstractNumId="800">
    <w:nsid w:val="65A9E333"/>
    <w:multiLevelType w:val="hybridMultilevel"/>
    <w:lvl w:ilvl="0">
      <w:lvlJc w:val="left"/>
      <w:lvlText w:val="(%1)"/>
      <w:numFmt w:val="lowerLetter"/>
      <w:start w:val="1"/>
    </w:lvl>
    <w:lvl w:ilvl="1">
      <w:lvlJc w:val="left"/>
      <w:lvlText w:val="(%2)"/>
      <w:numFmt w:val="lowerRoman"/>
      <w:start w:val="1"/>
    </w:lvl>
  </w:abstractNum>
  <w:abstractNum w:abstractNumId="801">
    <w:nsid w:val="C2F5540"/>
    <w:multiLevelType w:val="hybridMultilevel"/>
    <w:lvl w:ilvl="0">
      <w:lvlJc w:val="left"/>
      <w:lvlText w:val="(%1)"/>
      <w:numFmt w:val="lowerLetter"/>
      <w:start w:val="2"/>
    </w:lvl>
    <w:lvl w:ilvl="1">
      <w:lvlJc w:val="left"/>
      <w:lvlText w:val="(%2)"/>
      <w:numFmt w:val="lowerLetter"/>
      <w:start w:val="1"/>
    </w:lvl>
  </w:abstractNum>
  <w:abstractNum w:abstractNumId="802">
    <w:nsid w:val="68585EA6"/>
    <w:multiLevelType w:val="hybridMultilevel"/>
    <w:lvl w:ilvl="0">
      <w:lvlJc w:val="left"/>
      <w:lvlText w:val="(%1)"/>
      <w:numFmt w:val="lowerLetter"/>
      <w:start w:val="1"/>
    </w:lvl>
  </w:abstractNum>
  <w:abstractNum w:abstractNumId="803">
    <w:nsid w:val="71809378"/>
    <w:multiLevelType w:val="hybridMultilevel"/>
    <w:lvl w:ilvl="0">
      <w:lvlJc w:val="left"/>
      <w:lvlText w:val="(%1)"/>
      <w:numFmt w:val="lowerLetter"/>
      <w:start w:val="1"/>
    </w:lvl>
  </w:abstractNum>
  <w:abstractNum w:abstractNumId="804">
    <w:nsid w:val="5E1E8AB7"/>
    <w:multiLevelType w:val="hybridMultilevel"/>
    <w:lvl w:ilvl="0">
      <w:lvlJc w:val="left"/>
      <w:lvlText w:val="(%1)"/>
      <w:numFmt w:val="lowerLetter"/>
      <w:start w:val="1"/>
    </w:lvl>
  </w:abstractNum>
  <w:abstractNum w:abstractNumId="805">
    <w:nsid w:val="5F176EBE"/>
    <w:multiLevelType w:val="hybridMultilevel"/>
    <w:lvl w:ilvl="0">
      <w:lvlJc w:val="left"/>
      <w:lvlText w:val="(%1)"/>
      <w:numFmt w:val="lowerLetter"/>
      <w:start w:val="3"/>
    </w:lvl>
  </w:abstractNum>
  <w:abstractNum w:abstractNumId="806">
    <w:nsid w:val="5D27C5EC"/>
    <w:multiLevelType w:val="hybridMultilevel"/>
    <w:lvl w:ilvl="0">
      <w:lvlJc w:val="left"/>
      <w:lvlText w:val="(%1)"/>
      <w:numFmt w:val="lowerLetter"/>
      <w:start w:val="1"/>
    </w:lvl>
  </w:abstractNum>
  <w:abstractNum w:abstractNumId="807">
    <w:nsid w:val="5D8F08B8"/>
    <w:multiLevelType w:val="hybridMultilevel"/>
    <w:lvl w:ilvl="0">
      <w:lvlJc w:val="left"/>
      <w:lvlText w:val="%1"/>
      <w:numFmt w:val="decimal"/>
      <w:start w:val="1"/>
    </w:lvl>
    <w:lvl w:ilvl="1">
      <w:lvlJc w:val="left"/>
      <w:lvlText w:val="(%2)"/>
      <w:numFmt w:val="lowerLetter"/>
      <w:start w:val="1"/>
    </w:lvl>
  </w:abstractNum>
  <w:abstractNum w:abstractNumId="808">
    <w:nsid w:val="53880228"/>
    <w:multiLevelType w:val="hybridMultilevel"/>
    <w:lvl w:ilvl="0">
      <w:lvlJc w:val="left"/>
      <w:lvlText w:val="%1."/>
      <w:numFmt w:val="decimal"/>
      <w:start w:val="14"/>
    </w:lvl>
    <w:lvl w:ilvl="1">
      <w:lvlJc w:val="left"/>
      <w:lvlText w:val="%2"/>
      <w:numFmt w:val="lowerLetter"/>
      <w:start w:val="1"/>
    </w:lvl>
  </w:abstractNum>
  <w:abstractNum w:abstractNumId="809">
    <w:nsid w:val="4E913C51"/>
    <w:multiLevelType w:val="hybridMultilevel"/>
    <w:lvl w:ilvl="0">
      <w:lvlJc w:val="left"/>
      <w:lvlText w:val="(%1)"/>
      <w:numFmt w:val="lowerLetter"/>
      <w:start w:val="1"/>
    </w:lvl>
  </w:abstractNum>
  <w:abstractNum w:abstractNumId="810">
    <w:nsid w:val="7EBDB63D"/>
    <w:multiLevelType w:val="hybridMultilevel"/>
    <w:lvl w:ilvl="0">
      <w:lvlJc w:val="left"/>
      <w:lvlText w:val="(%1)"/>
      <w:numFmt w:val="lowerLetter"/>
      <w:start w:val="1"/>
    </w:lvl>
  </w:abstractNum>
  <w:abstractNum w:abstractNumId="811">
    <w:nsid w:val="65FD275F"/>
    <w:multiLevelType w:val="hybridMultilevel"/>
    <w:lvl w:ilvl="0">
      <w:lvlJc w:val="left"/>
      <w:lvlText w:val="(%1)"/>
      <w:numFmt w:val="lowerLetter"/>
      <w:start w:val="1"/>
    </w:lvl>
  </w:abstractNum>
  <w:abstractNum w:abstractNumId="812">
    <w:nsid w:val="5A098B27"/>
    <w:multiLevelType w:val="hybridMultilevel"/>
    <w:lvl w:ilvl="0">
      <w:lvlJc w:val="left"/>
      <w:lvlText w:val="%1."/>
      <w:numFmt w:val="decimal"/>
      <w:start w:val="15"/>
    </w:lvl>
  </w:abstractNum>
  <w:abstractNum w:abstractNumId="813">
    <w:nsid w:val="56BF33F6"/>
    <w:multiLevelType w:val="hybridMultilevel"/>
    <w:lvl w:ilvl="0">
      <w:lvlJc w:val="left"/>
      <w:lvlText w:val="%1."/>
      <w:numFmt w:val="decimal"/>
      <w:start w:val="16"/>
    </w:lvl>
  </w:abstractNum>
  <w:abstractNum w:abstractNumId="814">
    <w:nsid w:val="6C3A37B1"/>
    <w:multiLevelType w:val="hybridMultilevel"/>
    <w:lvl w:ilvl="0">
      <w:lvlJc w:val="left"/>
      <w:lvlText w:val="%1."/>
      <w:numFmt w:val="decimal"/>
      <w:start w:val="17"/>
    </w:lvl>
  </w:abstractNum>
  <w:abstractNum w:abstractNumId="815">
    <w:nsid w:val="696DA7C9"/>
    <w:multiLevelType w:val="hybridMultilevel"/>
    <w:lvl w:ilvl="0">
      <w:lvlJc w:val="left"/>
      <w:lvlText w:val="%1."/>
      <w:numFmt w:val="decimal"/>
      <w:start w:val="18"/>
    </w:lvl>
  </w:abstractNum>
  <w:abstractNum w:abstractNumId="816">
    <w:nsid w:val="728FACB1"/>
    <w:multiLevelType w:val="hybridMultilevel"/>
    <w:lvl w:ilvl="0">
      <w:lvlJc w:val="left"/>
      <w:lvlText w:val="%1."/>
      <w:numFmt w:val="decimal"/>
      <w:start w:val="19"/>
    </w:lvl>
  </w:abstractNum>
  <w:abstractNum w:abstractNumId="817">
    <w:nsid w:val="EF9AD2F"/>
    <w:multiLevelType w:val="hybridMultilevel"/>
    <w:lvl w:ilvl="0">
      <w:lvlJc w:val="left"/>
      <w:lvlText w:val="%1."/>
      <w:numFmt w:val="decimal"/>
      <w:start w:val="20"/>
    </w:lvl>
  </w:abstractNum>
  <w:abstractNum w:abstractNumId="818">
    <w:nsid w:val="2545A7C9"/>
    <w:multiLevelType w:val="hybridMultilevel"/>
    <w:lvl w:ilvl="0">
      <w:lvlJc w:val="left"/>
      <w:lvlText w:val="%1."/>
      <w:numFmt w:val="decimal"/>
      <w:start w:val="21"/>
    </w:lvl>
  </w:abstractNum>
  <w:abstractNum w:abstractNumId="819">
    <w:nsid w:val="495A99DC"/>
    <w:multiLevelType w:val="hybridMultilevel"/>
    <w:lvl w:ilvl="0">
      <w:lvlJc w:val="left"/>
      <w:lvlText w:val="%1."/>
      <w:numFmt w:val="decimal"/>
      <w:start w:val="23"/>
    </w:lvl>
  </w:abstractNum>
  <w:abstractNum w:abstractNumId="820">
    <w:nsid w:val="6C3DB3C4"/>
    <w:multiLevelType w:val="hybridMultilevel"/>
    <w:lvl w:ilvl="0">
      <w:lvlJc w:val="left"/>
      <w:lvlText w:val="(%1)"/>
      <w:numFmt w:val="lowerLetter"/>
      <w:start w:val="1"/>
    </w:lvl>
  </w:abstractNum>
  <w:abstractNum w:abstractNumId="821">
    <w:nsid w:val="55EFC6"/>
    <w:multiLevelType w:val="hybridMultilevel"/>
    <w:lvl w:ilvl="0">
      <w:lvlJc w:val="left"/>
      <w:lvlText w:val="(%1)"/>
      <w:numFmt w:val="lowerLetter"/>
      <w:start w:val="1"/>
    </w:lvl>
    <w:lvl w:ilvl="1">
      <w:lvlJc w:val="left"/>
      <w:lvlText w:val="(%2)"/>
      <w:numFmt w:val="lowerRoman"/>
      <w:start w:val="1"/>
    </w:lvl>
  </w:abstractNum>
  <w:abstractNum w:abstractNumId="822">
    <w:nsid w:val="57F93E98"/>
    <w:multiLevelType w:val="hybridMultilevel"/>
    <w:lvl w:ilvl="0">
      <w:lvlJc w:val="left"/>
      <w:lvlText w:val="(%1)"/>
      <w:numFmt w:val="lowerLetter"/>
      <w:start w:val="4"/>
    </w:lvl>
    <w:lvl w:ilvl="1">
      <w:lvlJc w:val="left"/>
      <w:lvlText w:val="(%2)"/>
      <w:numFmt w:val="lowerRoman"/>
      <w:start w:val="1"/>
    </w:lvl>
  </w:abstractNum>
  <w:abstractNum w:abstractNumId="823">
    <w:nsid w:val="17BA092C"/>
    <w:multiLevelType w:val="hybridMultilevel"/>
    <w:lvl w:ilvl="0">
      <w:lvlJc w:val="left"/>
      <w:lvlText w:val="(%1)"/>
      <w:numFmt w:val="lowerLetter"/>
      <w:start w:val="9"/>
    </w:lvl>
  </w:abstractNum>
  <w:abstractNum w:abstractNumId="824">
    <w:nsid w:val="46E70111"/>
    <w:multiLevelType w:val="hybridMultilevel"/>
    <w:lvl w:ilvl="0">
      <w:lvlJc w:val="left"/>
      <w:lvlText w:val="(%1)"/>
      <w:numFmt w:val="lowerLetter"/>
      <w:start w:val="1"/>
    </w:lvl>
  </w:abstractNum>
  <w:abstractNum w:abstractNumId="825">
    <w:nsid w:val="33A737F7"/>
    <w:multiLevelType w:val="hybridMultilevel"/>
    <w:lvl w:ilvl="0">
      <w:lvlJc w:val="left"/>
      <w:lvlText w:val="(%1)"/>
      <w:numFmt w:val="lowerLetter"/>
      <w:start w:val="1"/>
    </w:lvl>
    <w:lvl w:ilvl="1">
      <w:lvlJc w:val="left"/>
      <w:lvlText w:val="(%2)"/>
      <w:numFmt w:val="lowerLetter"/>
      <w:start w:val="9"/>
    </w:lvl>
  </w:abstractNum>
  <w:abstractNum w:abstractNumId="826">
    <w:nsid w:val="E766383"/>
    <w:multiLevelType w:val="hybridMultilevel"/>
    <w:lvl w:ilvl="0">
      <w:lvlJc w:val="left"/>
      <w:lvlText w:val="%1"/>
      <w:numFmt w:val="lowerLetter"/>
      <w:start w:val="1"/>
    </w:lvl>
    <w:lvl w:ilvl="1">
      <w:lvlJc w:val="left"/>
      <w:lvlText w:val="(%2)"/>
      <w:numFmt w:val="lowerRoman"/>
      <w:start w:val="2"/>
    </w:lvl>
  </w:abstractNum>
  <w:abstractNum w:abstractNumId="827">
    <w:nsid w:val="3344C4D6"/>
    <w:multiLevelType w:val="hybridMultilevel"/>
    <w:lvl w:ilvl="0">
      <w:lvlJc w:val="left"/>
      <w:lvlText w:val="(%1)"/>
      <w:numFmt w:val="lowerLetter"/>
      <w:start w:val="2"/>
    </w:lvl>
    <w:lvl w:ilvl="1">
      <w:lvlJc w:val="left"/>
      <w:lvlText w:val="(%2)"/>
      <w:numFmt w:val="lowerRoman"/>
      <w:start w:val="1"/>
    </w:lvl>
  </w:abstractNum>
  <w:abstractNum w:abstractNumId="828">
    <w:nsid w:val="5E2C28EE"/>
    <w:multiLevelType w:val="hybridMultilevel"/>
    <w:lvl w:ilvl="0">
      <w:lvlJc w:val="left"/>
      <w:lvlText w:val="(%1)"/>
      <w:numFmt w:val="lowerLetter"/>
      <w:start w:val="1"/>
    </w:lvl>
    <w:lvl w:ilvl="1">
      <w:lvlJc w:val="left"/>
      <w:lvlText w:val="(%2)"/>
      <w:numFmt w:val="lowerRoman"/>
      <w:start w:val="1"/>
    </w:lvl>
  </w:abstractNum>
  <w:abstractNum w:abstractNumId="829">
    <w:nsid w:val="9AE133E"/>
    <w:multiLevelType w:val="hybridMultilevel"/>
    <w:lvl w:ilvl="0">
      <w:lvlJc w:val="left"/>
      <w:lvlText w:val="(%1)"/>
      <w:numFmt w:val="lowerLetter"/>
      <w:start w:val="4"/>
    </w:lvl>
  </w:abstractNum>
  <w:abstractNum w:abstractNumId="830">
    <w:nsid w:val="247D7CEF"/>
    <w:multiLevelType w:val="hybridMultilevel"/>
    <w:lvl w:ilvl="0">
      <w:lvlJc w:val="left"/>
      <w:lvlText w:val="(%1)"/>
      <w:numFmt w:val="lowerLetter"/>
      <w:start w:val="1"/>
    </w:lvl>
    <w:lvl w:ilvl="1">
      <w:lvlJc w:val="left"/>
      <w:lvlText w:val="(%2)"/>
      <w:numFmt w:val="lowerRoman"/>
      <w:start w:val="1"/>
    </w:lvl>
  </w:abstractNum>
  <w:abstractNum w:abstractNumId="831">
    <w:nsid w:val="43D60C21"/>
    <w:multiLevelType w:val="hybridMultilevel"/>
    <w:lvl w:ilvl="0">
      <w:lvlJc w:val="left"/>
      <w:lvlText w:val="(%1)"/>
      <w:numFmt w:val="lowerLetter"/>
      <w:start w:val="1"/>
    </w:lvl>
  </w:abstractNum>
  <w:abstractNum w:abstractNumId="832">
    <w:nsid w:val="15DD687E"/>
    <w:multiLevelType w:val="hybridMultilevel"/>
    <w:lvl w:ilvl="0">
      <w:lvlJc w:val="left"/>
      <w:lvlText w:val="(%1)"/>
      <w:numFmt w:val="lowerLetter"/>
      <w:start w:val="1"/>
    </w:lvl>
  </w:abstractNum>
  <w:abstractNum w:abstractNumId="833">
    <w:nsid w:val="CD5DB95"/>
    <w:multiLevelType w:val="hybridMultilevel"/>
    <w:lvl w:ilvl="0">
      <w:lvlJc w:val="left"/>
      <w:lvlText w:val="(%1)"/>
      <w:numFmt w:val="lowerRoman"/>
      <w:start w:val="1"/>
    </w:lvl>
  </w:abstractNum>
  <w:abstractNum w:abstractNumId="834">
    <w:nsid w:val="35569F99"/>
    <w:multiLevelType w:val="hybridMultilevel"/>
    <w:lvl w:ilvl="0">
      <w:lvlJc w:val="left"/>
      <w:lvlText w:val="%1."/>
      <w:numFmt w:val="decimal"/>
      <w:start w:val="24"/>
    </w:lvl>
  </w:abstractNum>
  <w:abstractNum w:abstractNumId="835">
    <w:nsid w:val="73FBF336"/>
    <w:multiLevelType w:val="hybridMultilevel"/>
    <w:lvl w:ilvl="0">
      <w:lvlJc w:val="left"/>
      <w:lvlText w:val="(%1)"/>
      <w:numFmt w:val="lowerLetter"/>
      <w:start w:val="1"/>
    </w:lvl>
    <w:lvl w:ilvl="1">
      <w:lvlJc w:val="left"/>
      <w:lvlText w:val="(%2)"/>
      <w:numFmt w:val="lowerRoman"/>
      <w:start w:val="1"/>
    </w:lvl>
  </w:abstractNum>
  <w:abstractNum w:abstractNumId="836">
    <w:nsid w:val="6BED4A53"/>
    <w:multiLevelType w:val="hybridMultilevel"/>
    <w:lvl w:ilvl="0">
      <w:lvlJc w:val="left"/>
      <w:lvlText w:val="(%1)"/>
      <w:numFmt w:val="lowerLetter"/>
      <w:start w:val="2"/>
    </w:lvl>
  </w:abstractNum>
  <w:abstractNum w:abstractNumId="837">
    <w:nsid w:val="127E6585"/>
    <w:multiLevelType w:val="hybridMultilevel"/>
    <w:lvl w:ilvl="0">
      <w:lvlJc w:val="left"/>
      <w:lvlText w:val="%1."/>
      <w:numFmt w:val="decimal"/>
      <w:start w:val="25"/>
    </w:lvl>
  </w:abstractNum>
  <w:abstractNum w:abstractNumId="838">
    <w:nsid w:val="518AFB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39">
    <w:nsid w:val="3F754C7B"/>
    <w:multiLevelType w:val="hybridMultilevel"/>
    <w:lvl w:ilvl="0">
      <w:lvlJc w:val="left"/>
      <w:lvlText w:val="%1"/>
      <w:numFmt w:val="lowerLetter"/>
      <w:start w:val="1"/>
    </w:lvl>
    <w:lvl w:ilvl="1">
      <w:lvlJc w:val="left"/>
      <w:lvlText w:val="(%2)"/>
      <w:numFmt w:val="upperLetter"/>
      <w:start w:val="2"/>
    </w:lvl>
  </w:abstractNum>
  <w:abstractNum w:abstractNumId="840">
    <w:nsid w:val="610FA1D6"/>
    <w:multiLevelType w:val="hybridMultilevel"/>
    <w:lvl w:ilvl="0">
      <w:lvlJc w:val="left"/>
      <w:lvlText w:val="(%1)"/>
      <w:numFmt w:val="lowerLetter"/>
      <w:start w:val="2"/>
    </w:lvl>
    <w:lvl w:ilvl="1">
      <w:lvlJc w:val="left"/>
      <w:lvlText w:val="%2"/>
      <w:numFmt w:val="upperLetter"/>
      <w:start w:val="1"/>
    </w:lvl>
  </w:abstractNum>
  <w:abstractNum w:abstractNumId="841">
    <w:nsid w:val="5048B22C"/>
    <w:multiLevelType w:val="hybridMultilevel"/>
    <w:lvl w:ilvl="0">
      <w:lvlJc w:val="left"/>
      <w:lvlText w:val="(%1)"/>
      <w:numFmt w:val="lowerLetter"/>
      <w:start w:val="1"/>
    </w:lvl>
  </w:abstractNum>
  <w:abstractNum w:abstractNumId="842">
    <w:nsid w:val="257273DB"/>
    <w:multiLevelType w:val="hybridMultilevel"/>
    <w:lvl w:ilvl="0">
      <w:lvlJc w:val="left"/>
      <w:lvlText w:val="(%1)"/>
      <w:numFmt w:val="lowerLetter"/>
      <w:start w:val="2"/>
    </w:lvl>
    <w:lvl w:ilvl="1">
      <w:lvlJc w:val="left"/>
      <w:lvlText w:val="(%2)"/>
      <w:numFmt w:val="lowerRoman"/>
      <w:start w:val="1"/>
    </w:lvl>
  </w:abstractNum>
  <w:abstractNum w:abstractNumId="843">
    <w:nsid w:val="3B192CFD"/>
    <w:multiLevelType w:val="hybridMultilevel"/>
    <w:lvl w:ilvl="0">
      <w:lvlJc w:val="left"/>
      <w:lvlText w:val="%1."/>
      <w:numFmt w:val="decimal"/>
      <w:start w:val="26"/>
    </w:lvl>
  </w:abstractNum>
  <w:abstractNum w:abstractNumId="844">
    <w:nsid w:val="2707E622"/>
    <w:multiLevelType w:val="hybridMultilevel"/>
    <w:lvl w:ilvl="0">
      <w:lvlJc w:val="left"/>
      <w:lvlText w:val="(%1)"/>
      <w:numFmt w:val="lowerLetter"/>
      <w:start w:val="1"/>
    </w:lvl>
    <w:lvl w:ilvl="1">
      <w:lvlJc w:val="left"/>
      <w:lvlText w:val="(%2)"/>
      <w:numFmt w:val="lowerRoman"/>
      <w:start w:val="1"/>
    </w:lvl>
  </w:abstractNum>
  <w:abstractNum w:abstractNumId="845">
    <w:nsid w:val="11ACAB8C"/>
    <w:multiLevelType w:val="hybridMultilevel"/>
    <w:lvl w:ilvl="0">
      <w:lvlJc w:val="left"/>
      <w:lvlText w:val="(%1)"/>
      <w:numFmt w:val="lowerLetter"/>
      <w:start w:val="1"/>
    </w:lvl>
  </w:abstractNum>
  <w:abstractNum w:abstractNumId="846">
    <w:nsid w:val="2486D4C7"/>
    <w:multiLevelType w:val="hybridMultilevel"/>
    <w:lvl w:ilvl="0">
      <w:lvlJc w:val="left"/>
      <w:lvlText w:val="(%1)"/>
      <w:numFmt w:val="lowerLetter"/>
      <w:start w:val="1"/>
    </w:lvl>
  </w:abstractNum>
  <w:abstractNum w:abstractNumId="847">
    <w:nsid w:val="199792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48">
    <w:nsid w:val="20A658BB"/>
    <w:multiLevelType w:val="hybridMultilevel"/>
    <w:lvl w:ilvl="0">
      <w:lvlJc w:val="left"/>
      <w:lvlText w:val="(%1)"/>
      <w:numFmt w:val="lowerLetter"/>
      <w:start w:val="2"/>
    </w:lvl>
    <w:lvl w:ilvl="1">
      <w:lvlJc w:val="left"/>
      <w:lvlText w:val="(%2)"/>
      <w:numFmt w:val="lowerRoman"/>
      <w:start w:val="1"/>
    </w:lvl>
  </w:abstractNum>
  <w:abstractNum w:abstractNumId="849">
    <w:nsid w:val="49CC7C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0">
    <w:nsid w:val="62F22CB0"/>
    <w:multiLevelType w:val="hybridMultilevel"/>
    <w:lvl w:ilvl="0">
      <w:lvlJc w:val="left"/>
      <w:lvlText w:val="(%1)"/>
      <w:numFmt w:val="lowerLetter"/>
      <w:start w:val="1"/>
    </w:lvl>
  </w:abstractNum>
  <w:abstractNum w:abstractNumId="851">
    <w:nsid w:val="CE40C80"/>
    <w:multiLevelType w:val="hybridMultilevel"/>
    <w:lvl w:ilvl="0">
      <w:lvlJc w:val="left"/>
      <w:lvlText w:val="(%1)"/>
      <w:numFmt w:val="lowerLetter"/>
      <w:start w:val="1"/>
    </w:lvl>
  </w:abstractNum>
  <w:abstractNum w:abstractNumId="852">
    <w:nsid w:val="4A226C5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53">
    <w:nsid w:val="3AEB6B48"/>
    <w:multiLevelType w:val="hybridMultilevel"/>
    <w:lvl w:ilvl="0">
      <w:lvlJc w:val="left"/>
      <w:lvlText w:val="(%1)"/>
      <w:numFmt w:val="lowerLetter"/>
      <w:start w:val="2"/>
    </w:lvl>
    <w:lvl w:ilvl="1">
      <w:lvlJc w:val="left"/>
      <w:lvlText w:val="(%2)"/>
      <w:numFmt w:val="lowerRoman"/>
      <w:start w:val="1"/>
    </w:lvl>
  </w:abstractNum>
  <w:abstractNum w:abstractNumId="854">
    <w:nsid w:val="249E15AC"/>
    <w:multiLevelType w:val="hybridMultilevel"/>
    <w:lvl w:ilvl="0">
      <w:lvlJc w:val="left"/>
      <w:lvlText w:val="(%1)"/>
      <w:numFmt w:val="lowerLetter"/>
      <w:start w:val="1"/>
    </w:lvl>
  </w:abstractNum>
  <w:abstractNum w:abstractNumId="855">
    <w:nsid w:val="11096D68"/>
    <w:multiLevelType w:val="hybridMultilevel"/>
    <w:lvl w:ilvl="0">
      <w:lvlJc w:val="left"/>
      <w:lvlText w:val="(%1)"/>
      <w:numFmt w:val="lowerLetter"/>
      <w:start w:val="2"/>
    </w:lvl>
  </w:abstractNum>
  <w:abstractNum w:abstractNumId="856">
    <w:nsid w:val="6E92A33F"/>
    <w:multiLevelType w:val="hybridMultilevel"/>
    <w:lvl w:ilvl="0">
      <w:lvlJc w:val="left"/>
      <w:lvlText w:val="(%1)"/>
      <w:numFmt w:val="lowerLetter"/>
      <w:start w:val="1"/>
    </w:lvl>
    <w:lvl w:ilvl="1">
      <w:lvlJc w:val="left"/>
      <w:lvlText w:val="(%2)"/>
      <w:numFmt w:val="lowerLetter"/>
      <w:start w:val="2"/>
    </w:lvl>
  </w:abstractNum>
  <w:abstractNum w:abstractNumId="857">
    <w:nsid w:val="3314792F"/>
    <w:multiLevelType w:val="hybridMultilevel"/>
    <w:lvl w:ilvl="0">
      <w:lvlJc w:val="left"/>
      <w:lvlText w:val="%1"/>
      <w:numFmt w:val="lowerLetter"/>
      <w:start w:val="1"/>
    </w:lvl>
    <w:lvl w:ilvl="1">
      <w:lvlJc w:val="left"/>
      <w:lvlText w:val="(%2)"/>
      <w:numFmt w:val="lowerLetter"/>
      <w:start w:val="9"/>
    </w:lvl>
  </w:abstractNum>
  <w:abstractNum w:abstractNumId="858">
    <w:nsid w:val="444E323E"/>
    <w:multiLevelType w:val="hybridMultilevel"/>
    <w:lvl w:ilvl="0">
      <w:lvlJc w:val="left"/>
      <w:lvlText w:val="(%1)"/>
      <w:numFmt w:val="lowerRoman"/>
      <w:start w:val="2"/>
    </w:lvl>
  </w:abstractNum>
  <w:abstractNum w:abstractNumId="859">
    <w:nsid w:val="4CBECC2D"/>
    <w:multiLevelType w:val="hybridMultilevel"/>
    <w:lvl w:ilvl="0">
      <w:lvlJc w:val="left"/>
      <w:lvlText w:val="(%1)"/>
      <w:numFmt w:val="lowerLetter"/>
      <w:start w:val="1"/>
    </w:lvl>
  </w:abstractNum>
  <w:abstractNum w:abstractNumId="860">
    <w:nsid w:val="3CC28C6E"/>
    <w:multiLevelType w:val="hybridMultilevel"/>
    <w:lvl w:ilvl="0">
      <w:lvlJc w:val="left"/>
      <w:lvlText w:val="(%1)"/>
      <w:numFmt w:val="lowerLetter"/>
      <w:start w:val="1"/>
    </w:lvl>
    <w:lvl w:ilvl="1">
      <w:lvlJc w:val="left"/>
      <w:lvlText w:val="(%2)"/>
      <w:numFmt w:val="lowerRoman"/>
      <w:start w:val="1"/>
    </w:lvl>
  </w:abstractNum>
  <w:abstractNum w:abstractNumId="861">
    <w:nsid w:val="68CBAF2D"/>
    <w:multiLevelType w:val="hybridMultilevel"/>
    <w:lvl w:ilvl="0">
      <w:lvlJc w:val="left"/>
      <w:lvlText w:val="(%1)"/>
      <w:numFmt w:val="lowerLetter"/>
      <w:start w:val="2"/>
    </w:lvl>
  </w:abstractNum>
  <w:abstractNum w:abstractNumId="862">
    <w:nsid w:val="1094D84E"/>
    <w:multiLevelType w:val="hybridMultilevel"/>
    <w:lvl w:ilvl="0">
      <w:lvlJc w:val="left"/>
      <w:lvlText w:val="(%1)"/>
      <w:numFmt w:val="lowerLetter"/>
      <w:start w:val="1"/>
    </w:lvl>
  </w:abstractNum>
  <w:abstractNum w:abstractNumId="863">
    <w:nsid w:val="529FF4EC"/>
    <w:multiLevelType w:val="hybridMultilevel"/>
    <w:lvl w:ilvl="0">
      <w:lvlJc w:val="left"/>
      <w:lvlText w:val="(%1)"/>
      <w:numFmt w:val="lowerLetter"/>
      <w:start w:val="1"/>
    </w:lvl>
    <w:lvl w:ilvl="1">
      <w:lvlJc w:val="left"/>
      <w:lvlText w:val="(%2)"/>
      <w:numFmt w:val="lowerRoman"/>
      <w:start w:val="1"/>
    </w:lvl>
  </w:abstractNum>
  <w:abstractNum w:abstractNumId="864">
    <w:nsid w:val="75A18AC2"/>
    <w:multiLevelType w:val="hybridMultilevel"/>
    <w:lvl w:ilvl="0">
      <w:lvlJc w:val="left"/>
      <w:lvlText w:val="(%1)"/>
      <w:numFmt w:val="lowerLetter"/>
      <w:start w:val="3"/>
    </w:lvl>
  </w:abstractNum>
  <w:abstractNum w:abstractNumId="865">
    <w:nsid w:val="45EB77E8"/>
    <w:multiLevelType w:val="hybridMultilevel"/>
    <w:lvl w:ilvl="0">
      <w:lvlJc w:val="left"/>
      <w:lvlText w:val="(%1)"/>
      <w:numFmt w:val="lowerLetter"/>
      <w:start w:val="1"/>
    </w:lvl>
  </w:abstractNum>
  <w:abstractNum w:abstractNumId="866">
    <w:nsid w:val="469BE822"/>
    <w:multiLevelType w:val="hybridMultilevel"/>
    <w:lvl w:ilvl="0">
      <w:lvlJc w:val="left"/>
      <w:lvlText w:val="(%1)"/>
      <w:numFmt w:val="lowerLetter"/>
      <w:start w:val="2"/>
    </w:lvl>
    <w:lvl w:ilvl="1">
      <w:lvlJc w:val="left"/>
      <w:lvlText w:val="(%2)"/>
      <w:numFmt w:val="lowerRoman"/>
      <w:start w:val="1"/>
    </w:lvl>
  </w:abstractNum>
  <w:abstractNum w:abstractNumId="867">
    <w:nsid w:val="618ED516"/>
    <w:multiLevelType w:val="hybridMultilevel"/>
    <w:lvl w:ilvl="0">
      <w:lvlJc w:val="left"/>
      <w:lvlText w:val="(%1)"/>
      <w:numFmt w:val="lowerLetter"/>
      <w:start w:val="3"/>
    </w:lvl>
  </w:abstractNum>
  <w:abstractNum w:abstractNumId="868">
    <w:nsid w:val="5869DD6D"/>
    <w:multiLevelType w:val="hybridMultilevel"/>
    <w:lvl w:ilvl="0">
      <w:lvlJc w:val="left"/>
      <w:lvlText w:val="%1."/>
      <w:numFmt w:val="decimal"/>
      <w:start w:val="27"/>
    </w:lvl>
  </w:abstractNum>
  <w:abstractNum w:abstractNumId="869">
    <w:nsid w:val="1826E411"/>
    <w:multiLevelType w:val="hybridMultilevel"/>
    <w:lvl w:ilvl="0">
      <w:lvlJc w:val="left"/>
      <w:lvlText w:val="(%1)"/>
      <w:numFmt w:val="lowerLetter"/>
      <w:start w:val="1"/>
    </w:lvl>
  </w:abstractNum>
  <w:abstractNum w:abstractNumId="870">
    <w:nsid w:val="21042191"/>
    <w:multiLevelType w:val="hybridMultilevel"/>
    <w:lvl w:ilvl="0">
      <w:lvlJc w:val="left"/>
      <w:lvlText w:val="(%1)"/>
      <w:numFmt w:val="lowerLetter"/>
      <w:start w:val="1"/>
    </w:lvl>
  </w:abstractNum>
  <w:abstractNum w:abstractNumId="871">
    <w:nsid w:val="39797F44"/>
    <w:multiLevelType w:val="hybridMultilevel"/>
    <w:lvl w:ilvl="0">
      <w:lvlJc w:val="left"/>
      <w:lvlText w:val="(%1)"/>
      <w:numFmt w:val="lowerLetter"/>
      <w:start w:val="1"/>
    </w:lvl>
    <w:lvl w:ilvl="1">
      <w:lvlJc w:val="left"/>
      <w:lvlText w:val="(%2)"/>
      <w:numFmt w:val="lowerRoman"/>
      <w:start w:val="1"/>
    </w:lvl>
  </w:abstractNum>
  <w:abstractNum w:abstractNumId="872">
    <w:nsid w:val="686F963D"/>
    <w:multiLevelType w:val="hybridMultilevel"/>
    <w:lvl w:ilvl="0">
      <w:lvlJc w:val="left"/>
      <w:lvlText w:val="%1."/>
      <w:numFmt w:val="decimal"/>
      <w:start w:val="28"/>
    </w:lvl>
  </w:abstractNum>
  <w:abstractNum w:abstractNumId="873">
    <w:nsid w:val="4676956C"/>
    <w:multiLevelType w:val="hybridMultilevel"/>
    <w:lvl w:ilvl="0">
      <w:lvlJc w:val="left"/>
      <w:lvlText w:val="(%1)"/>
      <w:numFmt w:val="lowerLetter"/>
      <w:start w:val="1"/>
    </w:lvl>
  </w:abstractNum>
  <w:abstractNum w:abstractNumId="874">
    <w:nsid w:val="7492AC41"/>
    <w:multiLevelType w:val="hybridMultilevel"/>
    <w:lvl w:ilvl="0">
      <w:lvlJc w:val="left"/>
      <w:lvlText w:val="(%1)"/>
      <w:numFmt w:val="lowerLetter"/>
      <w:start w:val="1"/>
    </w:lvl>
  </w:abstractNum>
  <w:abstractNum w:abstractNumId="875">
    <w:nsid w:val="F777C5F"/>
    <w:multiLevelType w:val="hybridMultilevel"/>
    <w:lvl w:ilvl="0">
      <w:lvlJc w:val="left"/>
      <w:lvlText w:val="(%1)"/>
      <w:numFmt w:val="lowerLetter"/>
      <w:start w:val="1"/>
    </w:lvl>
  </w:abstractNum>
  <w:abstractNum w:abstractNumId="876">
    <w:nsid w:val="582340F8"/>
    <w:multiLevelType w:val="hybridMultilevel"/>
    <w:lvl w:ilvl="0">
      <w:lvlJc w:val="left"/>
      <w:lvlText w:val="(%1)"/>
      <w:numFmt w:val="lowerLetter"/>
      <w:start w:val="2"/>
    </w:lvl>
  </w:abstractNum>
  <w:abstractNum w:abstractNumId="877">
    <w:nsid w:val="19198108"/>
    <w:multiLevelType w:val="hybridMultilevel"/>
    <w:lvl w:ilvl="0">
      <w:lvlJc w:val="left"/>
      <w:lvlText w:val="(%1)"/>
      <w:numFmt w:val="lowerLetter"/>
      <w:start w:val="1"/>
    </w:lvl>
    <w:lvl w:ilvl="1">
      <w:lvlJc w:val="left"/>
      <w:lvlText w:val="(%2)"/>
      <w:numFmt w:val="lowerRoman"/>
      <w:start w:val="1"/>
    </w:lvl>
  </w:abstractNum>
  <w:abstractNum w:abstractNumId="878">
    <w:nsid w:val="290F0F32"/>
    <w:multiLevelType w:val="hybridMultilevel"/>
    <w:lvl w:ilvl="0">
      <w:lvlJc w:val="left"/>
      <w:lvlText w:val="(%1)"/>
      <w:numFmt w:val="lowerLetter"/>
      <w:start w:val="2"/>
    </w:lvl>
    <w:lvl w:ilvl="1">
      <w:lvlJc w:val="left"/>
      <w:lvlText w:val="(%2)"/>
      <w:numFmt w:val="lowerRoman"/>
      <w:start w:val="1"/>
    </w:lvl>
  </w:abstractNum>
  <w:abstractNum w:abstractNumId="879">
    <w:nsid w:val="78C999B4"/>
    <w:multiLevelType w:val="hybridMultilevel"/>
    <w:lvl w:ilvl="0">
      <w:lvlJc w:val="left"/>
      <w:lvlText w:val="(%1)"/>
      <w:numFmt w:val="lowerLetter"/>
      <w:start w:val="1"/>
    </w:lvl>
    <w:lvl w:ilvl="1">
      <w:lvlJc w:val="left"/>
      <w:lvlText w:val="(%2)"/>
      <w:numFmt w:val="lowerRoman"/>
      <w:start w:val="1"/>
    </w:lvl>
  </w:abstractNum>
  <w:abstractNum w:abstractNumId="880">
    <w:nsid w:val="62E5FD99"/>
    <w:multiLevelType w:val="hybridMultilevel"/>
    <w:lvl w:ilvl="0">
      <w:lvlJc w:val="left"/>
      <w:lvlText w:val="(%1)"/>
      <w:numFmt w:val="lowerLetter"/>
      <w:start w:val="3"/>
    </w:lvl>
  </w:abstractNum>
  <w:abstractNum w:abstractNumId="881">
    <w:nsid w:val="C013BE2"/>
    <w:multiLevelType w:val="hybridMultilevel"/>
    <w:lvl w:ilvl="0">
      <w:lvlJc w:val="left"/>
      <w:lvlText w:val="(%1)"/>
      <w:numFmt w:val="lowerLetter"/>
      <w:start w:val="1"/>
    </w:lvl>
  </w:abstractNum>
  <w:abstractNum w:abstractNumId="882">
    <w:nsid w:val="5ADA634"/>
    <w:multiLevelType w:val="hybridMultilevel"/>
    <w:lvl w:ilvl="0">
      <w:lvlJc w:val="left"/>
      <w:lvlText w:val="(%1)"/>
      <w:numFmt w:val="lowerLetter"/>
      <w:start w:val="1"/>
    </w:lvl>
  </w:abstractNum>
  <w:abstractNum w:abstractNumId="883">
    <w:nsid w:val="2D0869EF"/>
    <w:multiLevelType w:val="hybridMultilevel"/>
    <w:lvl w:ilvl="0">
      <w:lvlJc w:val="left"/>
      <w:lvlText w:val="(%1)"/>
      <w:numFmt w:val="lowerLetter"/>
      <w:start w:val="1"/>
    </w:lvl>
    <w:lvl w:ilvl="1">
      <w:lvlJc w:val="left"/>
      <w:lvlText w:val="(%2)"/>
      <w:numFmt w:val="lowerRoman"/>
      <w:start w:val="1"/>
    </w:lvl>
  </w:abstractNum>
  <w:abstractNum w:abstractNumId="884">
    <w:nsid w:val="46ECA72A"/>
    <w:multiLevelType w:val="hybridMultilevel"/>
    <w:lvl w:ilvl="0">
      <w:lvlJc w:val="left"/>
      <w:lvlText w:val="(%1)"/>
      <w:numFmt w:val="lowerLetter"/>
      <w:start w:val="1"/>
    </w:lvl>
  </w:abstractNum>
  <w:abstractNum w:abstractNumId="885">
    <w:nsid w:val="2A4BBBE0"/>
    <w:multiLevelType w:val="hybridMultilevel"/>
    <w:lvl w:ilvl="0">
      <w:lvlJc w:val="left"/>
      <w:lvlText w:val="%1."/>
      <w:numFmt w:val="decimal"/>
      <w:start w:val="29"/>
    </w:lvl>
  </w:abstractNum>
  <w:abstractNum w:abstractNumId="886">
    <w:nsid w:val="3E11D757"/>
    <w:multiLevelType w:val="hybridMultilevel"/>
    <w:lvl w:ilvl="0">
      <w:lvlJc w:val="left"/>
      <w:lvlText w:val="(%1)"/>
      <w:numFmt w:val="lowerLetter"/>
      <w:start w:val="1"/>
    </w:lvl>
  </w:abstractNum>
  <w:abstractNum w:abstractNumId="887">
    <w:nsid w:val="357F4A69"/>
    <w:multiLevelType w:val="hybridMultilevel"/>
    <w:lvl w:ilvl="0">
      <w:lvlJc w:val="left"/>
      <w:lvlText w:val="(%1)"/>
      <w:numFmt w:val="lowerLetter"/>
      <w:start w:val="1"/>
    </w:lvl>
    <w:lvl w:ilvl="1">
      <w:lvlJc w:val="left"/>
      <w:lvlText w:val="(%2)"/>
      <w:numFmt w:val="lowerRoman"/>
      <w:start w:val="1"/>
    </w:lvl>
  </w:abstractNum>
  <w:abstractNum w:abstractNumId="888">
    <w:nsid w:val="5D603510"/>
    <w:multiLevelType w:val="hybridMultilevel"/>
    <w:lvl w:ilvl="0">
      <w:lvlJc w:val="left"/>
      <w:lvlText w:val="(%1)"/>
      <w:numFmt w:val="lowerLetter"/>
      <w:start w:val="2"/>
    </w:lvl>
  </w:abstractNum>
  <w:abstractNum w:abstractNumId="889">
    <w:nsid w:val="2600995"/>
    <w:multiLevelType w:val="hybridMultilevel"/>
    <w:lvl w:ilvl="0">
      <w:lvlJc w:val="left"/>
      <w:lvlText w:val="(%1)"/>
      <w:numFmt w:val="lowerLetter"/>
      <w:start w:val="1"/>
    </w:lvl>
    <w:lvl w:ilvl="1">
      <w:lvlJc w:val="left"/>
      <w:lvlText w:val="(%2)"/>
      <w:numFmt w:val="lowerRoman"/>
      <w:start w:val="1"/>
    </w:lvl>
  </w:abstractNum>
  <w:abstractNum w:abstractNumId="890">
    <w:nsid w:val="23E1696"/>
    <w:multiLevelType w:val="hybridMultilevel"/>
    <w:lvl w:ilvl="0">
      <w:lvlJc w:val="left"/>
      <w:lvlText w:val="%1."/>
      <w:numFmt w:val="decimal"/>
      <w:start w:val="31"/>
    </w:lvl>
  </w:abstractNum>
  <w:abstractNum w:abstractNumId="891">
    <w:nsid w:val="1A22C17E"/>
    <w:multiLevelType w:val="hybridMultilevel"/>
    <w:lvl w:ilvl="0">
      <w:lvlJc w:val="left"/>
      <w:lvlText w:val="%1."/>
      <w:numFmt w:val="decimal"/>
      <w:start w:val="32"/>
    </w:lvl>
  </w:abstractNum>
  <w:abstractNum w:abstractNumId="892">
    <w:nsid w:val="6B2BB8C2"/>
    <w:multiLevelType w:val="hybridMultilevel"/>
    <w:lvl w:ilvl="0">
      <w:lvlJc w:val="left"/>
      <w:lvlText w:val="(%1)"/>
      <w:numFmt w:val="lowerLetter"/>
      <w:start w:val="1"/>
    </w:lvl>
  </w:abstractNum>
  <w:abstractNum w:abstractNumId="893">
    <w:nsid w:val="12D2EEE5"/>
    <w:multiLevelType w:val="hybridMultilevel"/>
    <w:lvl w:ilvl="0">
      <w:lvlJc w:val="left"/>
      <w:lvlText w:val="(%1)"/>
      <w:numFmt w:val="lowerLetter"/>
      <w:start w:val="1"/>
    </w:lvl>
    <w:lvl w:ilvl="1">
      <w:lvlJc w:val="left"/>
      <w:lvlText w:val="(%2)"/>
      <w:numFmt w:val="lowerRoman"/>
      <w:start w:val="1"/>
    </w:lvl>
  </w:abstractNum>
  <w:abstractNum w:abstractNumId="894">
    <w:nsid w:val="6CC2B66A"/>
    <w:multiLevelType w:val="hybridMultilevel"/>
    <w:lvl w:ilvl="0">
      <w:lvlJc w:val="left"/>
      <w:lvlText w:val="(%1)"/>
      <w:numFmt w:val="lowerLetter"/>
      <w:start w:val="2"/>
    </w:lvl>
  </w:abstractNum>
  <w:abstractNum w:abstractNumId="895">
    <w:nsid w:val="60CD4385"/>
    <w:multiLevelType w:val="hybridMultilevel"/>
    <w:lvl w:ilvl="0">
      <w:lvlJc w:val="left"/>
      <w:lvlText w:val="(%1)"/>
      <w:numFmt w:val="lowerLetter"/>
      <w:start w:val="1"/>
    </w:lvl>
  </w:abstractNum>
  <w:abstractNum w:abstractNumId="896">
    <w:nsid w:val="58BE66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7">
    <w:nsid w:val="335E9E8D"/>
    <w:multiLevelType w:val="hybridMultilevel"/>
    <w:lvl w:ilvl="0">
      <w:lvlJc w:val="left"/>
      <w:lvlText w:val="%1"/>
      <w:numFmt w:val="lowerLetter"/>
      <w:start w:val="1"/>
    </w:lvl>
    <w:lvl w:ilvl="1">
      <w:lvlJc w:val="left"/>
      <w:lvlText w:val="(%2)"/>
      <w:numFmt w:val="lowerLetter"/>
      <w:start w:val="9"/>
    </w:lvl>
  </w:abstractNum>
  <w:abstractNum w:abstractNumId="898">
    <w:nsid w:val="425C189B"/>
    <w:multiLevelType w:val="hybridMultilevel"/>
    <w:lvl w:ilvl="0">
      <w:lvlJc w:val="left"/>
      <w:lvlText w:val="(%1)"/>
      <w:numFmt w:val="lowerLetter"/>
      <w:start w:val="2"/>
    </w:lvl>
    <w:lvl w:ilvl="1">
      <w:lvlJc w:val="left"/>
      <w:lvlText w:val="(%2)"/>
      <w:numFmt w:val="lowerLetter"/>
      <w:start w:val="9"/>
    </w:lvl>
  </w:abstractNum>
  <w:abstractNum w:abstractNumId="899">
    <w:nsid w:val="3128443A"/>
    <w:multiLevelType w:val="hybridMultilevel"/>
    <w:lvl w:ilvl="0">
      <w:lvlJc w:val="left"/>
      <w:lvlText w:val="(%1)"/>
      <w:numFmt w:val="lowerRoman"/>
      <w:start w:val="2"/>
    </w:lvl>
  </w:abstractNum>
  <w:abstractNum w:abstractNumId="900">
    <w:nsid w:val="4B85829E"/>
    <w:multiLevelType w:val="hybridMultilevel"/>
    <w:lvl w:ilvl="0">
      <w:lvlJc w:val="left"/>
      <w:lvlText w:val="(%1)"/>
      <w:numFmt w:val="lowerLetter"/>
      <w:start w:val="1"/>
    </w:lvl>
    <w:lvl w:ilvl="1">
      <w:lvlJc w:val="left"/>
      <w:lvlText w:val="(%2)"/>
      <w:numFmt w:val="lowerLetter"/>
      <w:start w:val="9"/>
    </w:lvl>
  </w:abstractNum>
  <w:abstractNum w:abstractNumId="901">
    <w:nsid w:val="63603A2C"/>
    <w:multiLevelType w:val="hybridMultilevel"/>
    <w:lvl w:ilvl="0">
      <w:lvlJc w:val="left"/>
      <w:lvlText w:val="(%1)"/>
      <w:numFmt w:val="upperLetter"/>
      <w:start w:val="1"/>
    </w:lvl>
  </w:abstractNum>
  <w:abstractNum w:abstractNumId="902">
    <w:nsid w:val="6AA1C37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03">
    <w:nsid w:val="33F518DB"/>
    <w:multiLevelType w:val="hybridMultilevel"/>
    <w:lvl w:ilvl="0">
      <w:lvlJc w:val="left"/>
      <w:lvlText w:val="(%1)"/>
      <w:numFmt w:val="lowerRoman"/>
      <w:start w:val="2"/>
    </w:lvl>
  </w:abstractNum>
  <w:abstractNum w:abstractNumId="904">
    <w:nsid w:val="29D6CF99"/>
    <w:multiLevelType w:val="hybridMultilevel"/>
    <w:lvl w:ilvl="0">
      <w:lvlJc w:val="left"/>
      <w:lvlText w:val="(%1)"/>
      <w:numFmt w:val="lowerRoman"/>
      <w:start w:val="1"/>
    </w:lvl>
  </w:abstractNum>
  <w:abstractNum w:abstractNumId="905">
    <w:nsid w:val="5F346FC0"/>
    <w:multiLevelType w:val="hybridMultilevel"/>
    <w:lvl w:ilvl="0">
      <w:lvlJc w:val="left"/>
      <w:lvlText w:val="(%1)"/>
      <w:numFmt w:val="decimal"/>
      <w:start w:val="1"/>
    </w:lvl>
  </w:abstractNum>
  <w:abstractNum w:abstractNumId="906">
    <w:nsid w:val="436C953A"/>
    <w:multiLevelType w:val="hybridMultilevel"/>
    <w:lvl w:ilvl="0">
      <w:lvlJc w:val="left"/>
      <w:lvlText w:val="(%1)"/>
      <w:numFmt w:val="decimal"/>
      <w:start w:val="2"/>
    </w:lvl>
  </w:abstractNum>
  <w:abstractNum w:abstractNumId="907">
    <w:nsid w:val="1FA1091"/>
    <w:multiLevelType w:val="hybridMultilevel"/>
    <w:lvl w:ilvl="0">
      <w:lvlJc w:val="left"/>
      <w:lvlText w:val="(%1)"/>
      <w:numFmt w:val="upperLetter"/>
      <w:start w:val="2"/>
    </w:lvl>
  </w:abstractNum>
  <w:abstractNum w:abstractNumId="908">
    <w:nsid w:val="784DF0C8"/>
    <w:multiLevelType w:val="hybridMultilevel"/>
    <w:lvl w:ilvl="0">
      <w:lvlJc w:val="left"/>
      <w:lvlText w:val="%1"/>
      <w:numFmt w:val="lowerRoman"/>
      <w:start w:val="1"/>
    </w:lvl>
    <w:lvl w:ilvl="1">
      <w:lvlJc w:val="left"/>
      <w:lvlText w:val="(%2)"/>
      <w:numFmt w:val="decimal"/>
      <w:start w:val="1"/>
    </w:lvl>
  </w:abstractNum>
  <w:abstractNum w:abstractNumId="909">
    <w:nsid w:val="6C7BA46C"/>
    <w:multiLevelType w:val="hybridMultilevel"/>
    <w:lvl w:ilvl="0">
      <w:lvlJc w:val="left"/>
      <w:lvlText w:val="(%1)"/>
      <w:numFmt w:val="lowerRoman"/>
      <w:start w:val="3"/>
    </w:lvl>
    <w:lvl w:ilvl="1">
      <w:lvlJc w:val="left"/>
      <w:lvlText w:val="%2"/>
      <w:numFmt w:val="decimal"/>
      <w:start w:val="1"/>
    </w:lvl>
  </w:abstractNum>
  <w:abstractNum w:abstractNumId="910">
    <w:nsid w:val="7AC3AA4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911">
    <w:nsid w:val="5B33EE61"/>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912">
    <w:nsid w:val="787CE04F"/>
    <w:multiLevelType w:val="hybridMultilevel"/>
    <w:lvl w:ilvl="0">
      <w:lvlJc w:val="left"/>
      <w:lvlText w:val="%1."/>
      <w:numFmt w:val="decimal"/>
      <w:start w:val="35"/>
    </w:lvl>
    <w:lvl w:ilvl="1">
      <w:lvlJc w:val="left"/>
      <w:lvlText w:val="%2"/>
      <w:numFmt w:val="lowerRoman"/>
      <w:start w:val="1"/>
    </w:lvl>
    <w:lvl w:ilvl="2">
      <w:lvlJc w:val="left"/>
      <w:lvlText w:val="%3"/>
      <w:numFmt w:val="upperLetter"/>
      <w:start w:val="1"/>
    </w:lvl>
  </w:abstractNum>
  <w:abstractNum w:abstractNumId="913">
    <w:nsid w:val="715079"/>
    <w:multiLevelType w:val="hybridMultilevel"/>
    <w:lvl w:ilvl="0">
      <w:lvlJc w:val="left"/>
      <w:lvlText w:val="%1."/>
      <w:numFmt w:val="decimal"/>
      <w:start w:val="36"/>
    </w:lvl>
  </w:abstractNum>
  <w:abstractNum w:abstractNumId="914">
    <w:nsid w:val="83C5851"/>
    <w:multiLevelType w:val="hybridMultilevel"/>
    <w:lvl w:ilvl="0">
      <w:lvlJc w:val="left"/>
      <w:lvlText w:val="%1."/>
      <w:numFmt w:val="decimal"/>
      <w:start w:val="38"/>
    </w:lvl>
  </w:abstractNum>
  <w:abstractNum w:abstractNumId="915">
    <w:nsid w:val="3F698779"/>
    <w:multiLevelType w:val="hybridMultilevel"/>
    <w:lvl w:ilvl="0">
      <w:lvlJc w:val="left"/>
      <w:lvlText w:val="(%1)"/>
      <w:numFmt w:val="lowerLetter"/>
      <w:start w:val="1"/>
    </w:lvl>
    <w:lvl w:ilvl="1">
      <w:lvlJc w:val="left"/>
      <w:lvlText w:val="(%2)"/>
      <w:numFmt w:val="lowerRoman"/>
      <w:start w:val="1"/>
    </w:lvl>
  </w:abstractNum>
  <w:abstractNum w:abstractNumId="916">
    <w:nsid w:val="2ABD0C5A"/>
    <w:multiLevelType w:val="hybridMultilevel"/>
    <w:lvl w:ilvl="0">
      <w:lvlJc w:val="left"/>
      <w:lvlText w:val="(%1)"/>
      <w:numFmt w:val="lowerLetter"/>
      <w:start w:val="1"/>
    </w:lvl>
  </w:abstractNum>
  <w:abstractNum w:abstractNumId="917">
    <w:nsid w:val="464E2FA8"/>
    <w:multiLevelType w:val="hybridMultilevel"/>
    <w:lvl w:ilvl="0">
      <w:lvlJc w:val="left"/>
      <w:lvlText w:val="(%1)"/>
      <w:numFmt w:val="lowerLetter"/>
      <w:start w:val="1"/>
    </w:lvl>
  </w:abstractNum>
  <w:abstractNum w:abstractNumId="918">
    <w:nsid w:val="74E8D1E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19">
    <w:nsid w:val="81D416A"/>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920">
    <w:nsid w:val="48AE393E"/>
    <w:multiLevelType w:val="hybridMultilevel"/>
    <w:lvl w:ilvl="0">
      <w:lvlJc w:val="left"/>
      <w:lvlText w:val="%1."/>
      <w:numFmt w:val="decimal"/>
      <w:start w:val="40"/>
    </w:lvl>
  </w:abstractNum>
  <w:abstractNum w:abstractNumId="921">
    <w:nsid w:val="7726E879"/>
    <w:multiLevelType w:val="hybridMultilevel"/>
    <w:lvl w:ilvl="0">
      <w:lvlJc w:val="left"/>
      <w:lvlText w:val="(%1)"/>
      <w:numFmt w:val="lowerLetter"/>
      <w:start w:val="1"/>
    </w:lvl>
    <w:lvl w:ilvl="1">
      <w:lvlJc w:val="left"/>
      <w:lvlText w:val="(%2)"/>
      <w:numFmt w:val="lowerRoman"/>
      <w:start w:val="1"/>
    </w:lvl>
  </w:abstractNum>
  <w:abstractNum w:abstractNumId="922">
    <w:nsid w:val="224002E8"/>
    <w:multiLevelType w:val="hybridMultilevel"/>
    <w:lvl w:ilvl="0">
      <w:lvlJc w:val="left"/>
      <w:lvlText w:val="(%1)"/>
      <w:numFmt w:val="lowerLetter"/>
      <w:start w:val="2"/>
    </w:lvl>
  </w:abstractNum>
  <w:abstractNum w:abstractNumId="923">
    <w:nsid w:val="33D9F200"/>
    <w:multiLevelType w:val="hybridMultilevel"/>
    <w:lvl w:ilvl="0">
      <w:lvlJc w:val="left"/>
      <w:lvlText w:val="%1."/>
      <w:numFmt w:val="decimal"/>
      <w:start w:val="41"/>
    </w:lvl>
  </w:abstractNum>
  <w:abstractNum w:abstractNumId="924">
    <w:nsid w:val="9F9D75E"/>
    <w:multiLevelType w:val="hybridMultilevel"/>
    <w:lvl w:ilvl="0">
      <w:lvlJc w:val="left"/>
      <w:lvlText w:val="(%1)"/>
      <w:numFmt w:val="lowerLetter"/>
      <w:start w:val="1"/>
    </w:lvl>
  </w:abstractNum>
  <w:abstractNum w:abstractNumId="925">
    <w:nsid w:val="F02B952"/>
    <w:multiLevelType w:val="hybridMultilevel"/>
    <w:lvl w:ilvl="0">
      <w:lvlJc w:val="left"/>
      <w:lvlText w:val="(%1)"/>
      <w:numFmt w:val="lowerLetter"/>
      <w:start w:val="1"/>
    </w:lvl>
  </w:abstractNum>
  <w:abstractNum w:abstractNumId="926">
    <w:nsid w:val="14A73585"/>
    <w:multiLevelType w:val="hybridMultilevel"/>
    <w:lvl w:ilvl="0">
      <w:lvlJc w:val="left"/>
      <w:lvlText w:val="%1"/>
      <w:numFmt w:val="lowerLetter"/>
      <w:start w:val="1"/>
    </w:lvl>
    <w:lvl w:ilvl="1">
      <w:lvlJc w:val="left"/>
      <w:lvlText w:val="(%2)"/>
      <w:numFmt w:val="lowerRoman"/>
      <w:start w:val="1"/>
    </w:lvl>
  </w:abstractNum>
  <w:abstractNum w:abstractNumId="927">
    <w:nsid w:val="62B83E2B"/>
    <w:multiLevelType w:val="hybridMultilevel"/>
    <w:lvl w:ilvl="0">
      <w:lvlJc w:val="left"/>
      <w:lvlText w:val="(%1)"/>
      <w:numFmt w:val="lowerLetter"/>
      <w:start w:val="2"/>
    </w:lvl>
    <w:lvl w:ilvl="1">
      <w:lvlJc w:val="left"/>
      <w:lvlText w:val="%2"/>
      <w:numFmt w:val="lowerRoman"/>
      <w:start w:val="1"/>
    </w:lvl>
  </w:abstractNum>
  <w:abstractNum w:abstractNumId="928">
    <w:nsid w:val="426157DF"/>
    <w:multiLevelType w:val="hybridMultilevel"/>
    <w:lvl w:ilvl="0">
      <w:lvlJc w:val="left"/>
      <w:lvlText w:val="(%1)"/>
      <w:numFmt w:val="lowerLetter"/>
      <w:start w:val="1"/>
    </w:lvl>
  </w:abstractNum>
  <w:abstractNum w:abstractNumId="929">
    <w:nsid w:val="57034E20"/>
    <w:multiLevelType w:val="hybridMultilevel"/>
    <w:lvl w:ilvl="0">
      <w:lvlJc w:val="left"/>
      <w:lvlText w:val="%1."/>
      <w:numFmt w:val="decimal"/>
      <w:start w:val="1"/>
    </w:lvl>
  </w:abstractNum>
  <w:abstractNum w:abstractNumId="930">
    <w:nsid w:val="13E08266"/>
    <w:multiLevelType w:val="hybridMultilevel"/>
    <w:lvl w:ilvl="0">
      <w:lvlJc w:val="left"/>
      <w:lvlText w:val="%1."/>
      <w:numFmt w:val="decimal"/>
      <w:start w:val="2"/>
    </w:lvl>
  </w:abstractNum>
  <w:abstractNum w:abstractNumId="931">
    <w:nsid w:val="DE6DA7D"/>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932">
    <w:nsid w:val="3A63884D"/>
    <w:multiLevelType w:val="hybridMultilevel"/>
    <w:lvl w:ilvl="0">
      <w:lvlJc w:val="left"/>
      <w:lvlText w:val="(%1)"/>
      <w:numFmt w:val="upperLetter"/>
      <w:start w:val="1"/>
    </w:lvl>
  </w:abstractNum>
  <w:abstractNum w:abstractNumId="933">
    <w:nsid w:val="7E8245E4"/>
    <w:multiLevelType w:val="hybridMultilevel"/>
    <w:lvl w:ilvl="0">
      <w:lvlJc w:val="left"/>
      <w:lvlText w:val="1"/>
      <w:numFmt w:val="bullet"/>
      <w:start w:val="1"/>
    </w:lvl>
  </w:abstractNum>
  <w:abstractNum w:abstractNumId="934">
    <w:nsid w:val="41DBF358"/>
    <w:multiLevelType w:val="hybridMultilevel"/>
    <w:lvl w:ilvl="0">
      <w:lvlJc w:val="left"/>
      <w:lvlText w:val="(%1)"/>
      <w:numFmt w:val="lowerRoman"/>
      <w:start w:val="1"/>
    </w:lvl>
  </w:abstractNum>
  <w:abstractNum w:abstractNumId="935">
    <w:nsid w:val="643A57E6"/>
    <w:multiLevelType w:val="hybridMultilevel"/>
    <w:lvl w:ilvl="0">
      <w:lvlJc w:val="left"/>
      <w:lvlText w:val="2"/>
      <w:numFmt w:val="bullet"/>
      <w:start w:val="1"/>
    </w:lvl>
  </w:abstractNum>
  <w:abstractNum w:abstractNumId="936">
    <w:nsid w:val="5DB6B5A4"/>
    <w:multiLevelType w:val="hybridMultilevel"/>
    <w:lvl w:ilvl="0">
      <w:lvlJc w:val="left"/>
      <w:lvlText w:val="(%1)"/>
      <w:numFmt w:val="lowerLetter"/>
      <w:start w:val="1"/>
    </w:lvl>
  </w:abstractNum>
  <w:abstractNum w:abstractNumId="937">
    <w:nsid w:val="5488892"/>
    <w:multiLevelType w:val="hybridMultilevel"/>
    <w:lvl w:ilvl="0">
      <w:lvlJc w:val="left"/>
      <w:lvlText w:val="(%1)"/>
      <w:numFmt w:val="lowerLetter"/>
      <w:start w:val="5"/>
    </w:lvl>
  </w:abstractNum>
  <w:abstractNum w:abstractNumId="938">
    <w:nsid w:val="66346877"/>
    <w:multiLevelType w:val="hybridMultilevel"/>
    <w:lvl w:ilvl="0">
      <w:lvlJc w:val="left"/>
      <w:lvlText w:val="3"/>
      <w:numFmt w:val="bullet"/>
      <w:start w:val="1"/>
    </w:lvl>
  </w:abstractNum>
  <w:abstractNum w:abstractNumId="939">
    <w:nsid w:val="5604A66D"/>
    <w:multiLevelType w:val="hybridMultilevel"/>
    <w:lvl w:ilvl="0">
      <w:lvlJc w:val="left"/>
      <w:lvlText w:val="(%1)"/>
      <w:numFmt w:val="lowerLetter"/>
      <w:start w:val="1"/>
    </w:lvl>
  </w:abstractNum>
  <w:abstractNum w:abstractNumId="940">
    <w:nsid w:val="71C42CFF"/>
    <w:multiLevelType w:val="hybridMultilevel"/>
    <w:lvl w:ilvl="0">
      <w:lvlJc w:val="left"/>
      <w:lvlText w:val="4"/>
      <w:numFmt w:val="bullet"/>
      <w:start w:val="1"/>
    </w:lvl>
  </w:abstractNum>
  <w:abstractNum w:abstractNumId="941">
    <w:nsid w:val="60F812BD"/>
    <w:multiLevelType w:val="hybridMultilevel"/>
    <w:lvl w:ilvl="0">
      <w:lvlJc w:val="left"/>
      <w:lvlText w:val="5"/>
      <w:numFmt w:val="bullet"/>
      <w:start w:val="1"/>
    </w:lvl>
  </w:abstractNum>
  <w:abstractNum w:abstractNumId="942">
    <w:nsid w:val="313894CE"/>
    <w:multiLevelType w:val="hybridMultilevel"/>
    <w:lvl w:ilvl="0">
      <w:lvlJc w:val="left"/>
      <w:lvlText w:val="(%1)"/>
      <w:numFmt w:val="lowerLetter"/>
      <w:start w:val="1"/>
    </w:lvl>
  </w:abstractNum>
  <w:abstractNum w:abstractNumId="943">
    <w:nsid w:val="6A410D4E"/>
    <w:multiLevelType w:val="hybridMultilevel"/>
    <w:lvl w:ilvl="0">
      <w:lvlJc w:val="left"/>
      <w:lvlText w:val="6"/>
      <w:numFmt w:val="bullet"/>
      <w:start w:val="1"/>
    </w:lvl>
  </w:abstractNum>
  <w:abstractNum w:abstractNumId="944">
    <w:nsid w:val="61696336"/>
    <w:multiLevelType w:val="hybridMultilevel"/>
    <w:lvl w:ilvl="0">
      <w:lvlJc w:val="left"/>
      <w:lvlText w:val="7"/>
      <w:numFmt w:val="bullet"/>
      <w:start w:val="1"/>
    </w:lvl>
  </w:abstractNum>
  <w:abstractNum w:abstractNumId="945">
    <w:nsid w:val="3974ED1F"/>
    <w:multiLevelType w:val="hybridMultilevel"/>
    <w:lvl w:ilvl="0">
      <w:lvlJc w:val="left"/>
      <w:lvlText w:val="8"/>
      <w:numFmt w:val="bullet"/>
      <w:start w:val="1"/>
    </w:lvl>
  </w:abstractNum>
  <w:abstractNum w:abstractNumId="946">
    <w:nsid w:val="29AA94C7"/>
    <w:multiLevelType w:val="hybridMultilevel"/>
    <w:lvl w:ilvl="0">
      <w:lvlJc w:val="left"/>
      <w:lvlText w:val="9"/>
      <w:numFmt w:val="bullet"/>
      <w:start w:val="1"/>
    </w:lvl>
  </w:abstractNum>
  <w:abstractNum w:abstractNumId="947">
    <w:nsid w:val="C266F90"/>
    <w:multiLevelType w:val="hybridMultilevel"/>
    <w:lvl w:ilvl="0">
      <w:lvlJc w:val="left"/>
      <w:lvlText w:val="(%1)"/>
      <w:numFmt w:val="lowerLetter"/>
      <w:start w:val="1"/>
    </w:lvl>
  </w:abstractNum>
  <w:abstractNum w:abstractNumId="948">
    <w:nsid w:val="7FC31CC8"/>
    <w:multiLevelType w:val="hybridMultilevel"/>
    <w:lvl w:ilvl="0">
      <w:lvlJc w:val="left"/>
      <w:lvlText w:val="%1"/>
      <w:numFmt w:val="decimal"/>
      <w:start w:val="15"/>
    </w:lvl>
  </w:abstractNum>
  <w:abstractNum w:abstractNumId="949">
    <w:nsid w:val="1E9366AA"/>
    <w:multiLevelType w:val="hybridMultilevel"/>
    <w:lvl w:ilvl="0">
      <w:lvlJc w:val="left"/>
      <w:lvlText w:val="%1."/>
      <w:numFmt w:val="decimal"/>
      <w:start w:val="1"/>
    </w:lvl>
    <w:lvl w:ilvl="1">
      <w:lvlJc w:val="left"/>
      <w:lvlText w:val="(%2)"/>
      <w:numFmt w:val="lowerLetter"/>
      <w:start w:val="1"/>
    </w:lvl>
  </w:abstractNum>
  <w:abstractNum w:abstractNumId="950">
    <w:nsid w:val="1443B0FA"/>
    <w:multiLevelType w:val="hybridMultilevel"/>
    <w:lvl w:ilvl="0">
      <w:lvlJc w:val="left"/>
      <w:lvlText w:val="%1."/>
      <w:numFmt w:val="decimal"/>
      <w:start w:val="1"/>
    </w:lvl>
    <w:lvl w:ilvl="1">
      <w:lvlJc w:val="left"/>
      <w:lvlText w:val="(%2)"/>
      <w:numFmt w:val="lowerLetter"/>
      <w:start w:val="1"/>
    </w:lvl>
  </w:abstractNum>
  <w:abstractNum w:abstractNumId="951">
    <w:nsid w:val="48715606"/>
    <w:multiLevelType w:val="hybridMultilevel"/>
    <w:lvl w:ilvl="0">
      <w:lvlJc w:val="left"/>
      <w:lvlText w:val="(%1)"/>
      <w:numFmt w:val="decimal"/>
      <w:start w:val="1"/>
    </w:lvl>
  </w:abstractNum>
  <w:abstractNum w:abstractNumId="952">
    <w:nsid w:val="15BA4F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32" Type="http://schemas.openxmlformats.org/officeDocument/2006/relationships/image" Target="media/image222.png"/><Relationship Id="rId242" Type="http://schemas.openxmlformats.org/officeDocument/2006/relationships/image" Target="media/image223.png"/><Relationship Id="rId253"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6" Type="http://schemas.openxmlformats.org/officeDocument/2006/relationships/image" Target="media/image227.png"/><Relationship Id="rId271"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pn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69" Type="http://schemas.openxmlformats.org/officeDocument/2006/relationships/image" Target="media/image322.png"/><Relationship Id="rId370" Type="http://schemas.openxmlformats.org/officeDocument/2006/relationships/image" Target="media/image323.png"/><Relationship Id="rId371" Type="http://schemas.openxmlformats.org/officeDocument/2006/relationships/image" Target="media/image324.png"/><Relationship Id="rId372" Type="http://schemas.openxmlformats.org/officeDocument/2006/relationships/image" Target="media/image325.png"/><Relationship Id="rId373" Type="http://schemas.openxmlformats.org/officeDocument/2006/relationships/image" Target="media/image326.png"/><Relationship Id="rId374" Type="http://schemas.openxmlformats.org/officeDocument/2006/relationships/image" Target="media/image327.png"/><Relationship Id="rId375" Type="http://schemas.openxmlformats.org/officeDocument/2006/relationships/image" Target="media/image328.png"/><Relationship Id="rId376" Type="http://schemas.openxmlformats.org/officeDocument/2006/relationships/image" Target="media/image329.png"/><Relationship Id="rId377" Type="http://schemas.openxmlformats.org/officeDocument/2006/relationships/image" Target="media/image330.png"/><Relationship Id="rId378" Type="http://schemas.openxmlformats.org/officeDocument/2006/relationships/image" Target="media/image331.png"/><Relationship Id="rId379" Type="http://schemas.openxmlformats.org/officeDocument/2006/relationships/image" Target="media/image332.png"/><Relationship Id="rId380" Type="http://schemas.openxmlformats.org/officeDocument/2006/relationships/image" Target="media/image333.png"/><Relationship Id="rId381" Type="http://schemas.openxmlformats.org/officeDocument/2006/relationships/image" Target="media/image334.png"/><Relationship Id="rId382" Type="http://schemas.openxmlformats.org/officeDocument/2006/relationships/image" Target="media/image335.png"/><Relationship Id="rId383" Type="http://schemas.openxmlformats.org/officeDocument/2006/relationships/image" Target="media/image336.png"/><Relationship Id="rId384" Type="http://schemas.openxmlformats.org/officeDocument/2006/relationships/image" Target="media/image337.png"/><Relationship Id="rId385" Type="http://schemas.openxmlformats.org/officeDocument/2006/relationships/image" Target="media/image338.png"/><Relationship Id="rId386" Type="http://schemas.openxmlformats.org/officeDocument/2006/relationships/image" Target="media/image339.png"/><Relationship Id="rId387" Type="http://schemas.openxmlformats.org/officeDocument/2006/relationships/image" Target="media/image340.png"/><Relationship Id="rId388" Type="http://schemas.openxmlformats.org/officeDocument/2006/relationships/image" Target="media/image341.png"/><Relationship Id="rId389" Type="http://schemas.openxmlformats.org/officeDocument/2006/relationships/image" Target="media/image342.png"/><Relationship Id="rId390" Type="http://schemas.openxmlformats.org/officeDocument/2006/relationships/image" Target="media/image343.png"/><Relationship Id="rId391" Type="http://schemas.openxmlformats.org/officeDocument/2006/relationships/image" Target="media/image344.png"/><Relationship Id="rId392" Type="http://schemas.openxmlformats.org/officeDocument/2006/relationships/image" Target="media/image345.png"/><Relationship Id="rId393" Type="http://schemas.openxmlformats.org/officeDocument/2006/relationships/image" Target="media/image346.png"/><Relationship Id="rId394" Type="http://schemas.openxmlformats.org/officeDocument/2006/relationships/image" Target="media/image347.png"/><Relationship Id="rId395" Type="http://schemas.openxmlformats.org/officeDocument/2006/relationships/image" Target="media/image348.png"/><Relationship Id="rId396" Type="http://schemas.openxmlformats.org/officeDocument/2006/relationships/image" Target="media/image349.png"/><Relationship Id="rId397" Type="http://schemas.openxmlformats.org/officeDocument/2006/relationships/image" Target="media/image350.png"/><Relationship Id="rId398" Type="http://schemas.openxmlformats.org/officeDocument/2006/relationships/image" Target="media/image351.png"/><Relationship Id="rId399" Type="http://schemas.openxmlformats.org/officeDocument/2006/relationships/image" Target="media/image352.png"/><Relationship Id="rId400" Type="http://schemas.openxmlformats.org/officeDocument/2006/relationships/image" Target="media/image353.png"/><Relationship Id="rId401" Type="http://schemas.openxmlformats.org/officeDocument/2006/relationships/image" Target="media/image354.png"/><Relationship Id="rId402" Type="http://schemas.openxmlformats.org/officeDocument/2006/relationships/image" Target="media/image355.png"/><Relationship Id="rId403" Type="http://schemas.openxmlformats.org/officeDocument/2006/relationships/image" Target="media/image356.png"/><Relationship Id="rId404" Type="http://schemas.openxmlformats.org/officeDocument/2006/relationships/image" Target="media/image357.png"/><Relationship Id="rId405" Type="http://schemas.openxmlformats.org/officeDocument/2006/relationships/image" Target="media/image358.png"/><Relationship Id="rId406" Type="http://schemas.openxmlformats.org/officeDocument/2006/relationships/image" Target="media/image359.png"/><Relationship Id="rId407" Type="http://schemas.openxmlformats.org/officeDocument/2006/relationships/image" Target="media/image360.png"/><Relationship Id="rId408" Type="http://schemas.openxmlformats.org/officeDocument/2006/relationships/image" Target="media/image361.png"/><Relationship Id="rId409" Type="http://schemas.openxmlformats.org/officeDocument/2006/relationships/image" Target="media/image362.png"/><Relationship Id="rId410" Type="http://schemas.openxmlformats.org/officeDocument/2006/relationships/image" Target="media/image363.png"/><Relationship Id="rId411" Type="http://schemas.openxmlformats.org/officeDocument/2006/relationships/image" Target="media/image364.png"/><Relationship Id="rId412" Type="http://schemas.openxmlformats.org/officeDocument/2006/relationships/image" Target="media/image365.png"/><Relationship Id="rId413" Type="http://schemas.openxmlformats.org/officeDocument/2006/relationships/image" Target="media/image366.png"/><Relationship Id="rId414" Type="http://schemas.openxmlformats.org/officeDocument/2006/relationships/image" Target="media/image367.png"/><Relationship Id="rId415" Type="http://schemas.openxmlformats.org/officeDocument/2006/relationships/image" Target="media/image368.png"/><Relationship Id="rId416" Type="http://schemas.openxmlformats.org/officeDocument/2006/relationships/image" Target="media/image369.png"/><Relationship Id="rId417" Type="http://schemas.openxmlformats.org/officeDocument/2006/relationships/image" Target="media/image370.png"/><Relationship Id="rId418" Type="http://schemas.openxmlformats.org/officeDocument/2006/relationships/image" Target="media/image371.png"/><Relationship Id="rId419" Type="http://schemas.openxmlformats.org/officeDocument/2006/relationships/image" Target="media/image372.png"/><Relationship Id="rId420" Type="http://schemas.openxmlformats.org/officeDocument/2006/relationships/image" Target="media/image373.png"/><Relationship Id="rId421" Type="http://schemas.openxmlformats.org/officeDocument/2006/relationships/image" Target="media/image374.png"/><Relationship Id="rId422" Type="http://schemas.openxmlformats.org/officeDocument/2006/relationships/image" Target="media/image375.png"/><Relationship Id="rId423" Type="http://schemas.openxmlformats.org/officeDocument/2006/relationships/image" Target="media/image376.png"/><Relationship Id="rId424" Type="http://schemas.openxmlformats.org/officeDocument/2006/relationships/image" Target="media/image377.png"/><Relationship Id="rId425" Type="http://schemas.openxmlformats.org/officeDocument/2006/relationships/image" Target="media/image378.png"/><Relationship Id="rId426" Type="http://schemas.openxmlformats.org/officeDocument/2006/relationships/image" Target="media/image379.png"/><Relationship Id="rId427" Type="http://schemas.openxmlformats.org/officeDocument/2006/relationships/image" Target="media/image380.png"/><Relationship Id="rId428" Type="http://schemas.openxmlformats.org/officeDocument/2006/relationships/image" Target="media/image381.png"/><Relationship Id="rId429" Type="http://schemas.openxmlformats.org/officeDocument/2006/relationships/image" Target="media/image382.png"/><Relationship Id="rId430" Type="http://schemas.openxmlformats.org/officeDocument/2006/relationships/image" Target="media/image383.png"/><Relationship Id="rId431" Type="http://schemas.openxmlformats.org/officeDocument/2006/relationships/image" Target="media/image384.png"/><Relationship Id="rId432" Type="http://schemas.openxmlformats.org/officeDocument/2006/relationships/image" Target="media/image385.png"/><Relationship Id="rId433" Type="http://schemas.openxmlformats.org/officeDocument/2006/relationships/image" Target="media/image386.png"/><Relationship Id="rId434" Type="http://schemas.openxmlformats.org/officeDocument/2006/relationships/image" Target="media/image387.png"/><Relationship Id="rId435" Type="http://schemas.openxmlformats.org/officeDocument/2006/relationships/image" Target="media/image388.png"/><Relationship Id="rId436" Type="http://schemas.openxmlformats.org/officeDocument/2006/relationships/image" Target="media/image389.png"/><Relationship Id="rId437" Type="http://schemas.openxmlformats.org/officeDocument/2006/relationships/image" Target="media/image390.png"/><Relationship Id="rId438" Type="http://schemas.openxmlformats.org/officeDocument/2006/relationships/image" Target="media/image391.png"/><Relationship Id="rId439" Type="http://schemas.openxmlformats.org/officeDocument/2006/relationships/image" Target="media/image392.png"/><Relationship Id="rId440" Type="http://schemas.openxmlformats.org/officeDocument/2006/relationships/image" Target="media/image393.png"/><Relationship Id="rId441" Type="http://schemas.openxmlformats.org/officeDocument/2006/relationships/image" Target="media/image394.png"/><Relationship Id="rId442" Type="http://schemas.openxmlformats.org/officeDocument/2006/relationships/image" Target="media/image395.png"/><Relationship Id="rId443" Type="http://schemas.openxmlformats.org/officeDocument/2006/relationships/image" Target="media/image396.png"/><Relationship Id="rId444" Type="http://schemas.openxmlformats.org/officeDocument/2006/relationships/image" Target="media/image397.png"/><Relationship Id="rId445" Type="http://schemas.openxmlformats.org/officeDocument/2006/relationships/image" Target="media/image398.png"/><Relationship Id="rId446" Type="http://schemas.openxmlformats.org/officeDocument/2006/relationships/image" Target="media/image399.png"/><Relationship Id="rId447" Type="http://schemas.openxmlformats.org/officeDocument/2006/relationships/image" Target="media/image400.png"/><Relationship Id="rId448" Type="http://schemas.openxmlformats.org/officeDocument/2006/relationships/image" Target="media/image401.png"/><Relationship Id="rId449" Type="http://schemas.openxmlformats.org/officeDocument/2006/relationships/image" Target="media/image402.png"/><Relationship Id="rId450" Type="http://schemas.openxmlformats.org/officeDocument/2006/relationships/image" Target="media/image403.png"/><Relationship Id="rId451" Type="http://schemas.openxmlformats.org/officeDocument/2006/relationships/image" Target="media/image404.png"/><Relationship Id="rId452" Type="http://schemas.openxmlformats.org/officeDocument/2006/relationships/image" Target="media/image405.png"/><Relationship Id="rId453" Type="http://schemas.openxmlformats.org/officeDocument/2006/relationships/image" Target="media/image406.png"/><Relationship Id="rId454" Type="http://schemas.openxmlformats.org/officeDocument/2006/relationships/image" Target="media/image407.png"/><Relationship Id="rId455" Type="http://schemas.openxmlformats.org/officeDocument/2006/relationships/image" Target="media/image408.png"/><Relationship Id="rId456" Type="http://schemas.openxmlformats.org/officeDocument/2006/relationships/image" Target="media/image409.png"/><Relationship Id="rId457" Type="http://schemas.openxmlformats.org/officeDocument/2006/relationships/image" Target="media/image410.png"/><Relationship Id="rId458" Type="http://schemas.openxmlformats.org/officeDocument/2006/relationships/image" Target="media/image411.png"/><Relationship Id="rId459" Type="http://schemas.openxmlformats.org/officeDocument/2006/relationships/image" Target="media/image412.png"/><Relationship Id="rId460" Type="http://schemas.openxmlformats.org/officeDocument/2006/relationships/image" Target="media/image413.png"/><Relationship Id="rId461" Type="http://schemas.openxmlformats.org/officeDocument/2006/relationships/image" Target="media/image414.png"/><Relationship Id="rId462" Type="http://schemas.openxmlformats.org/officeDocument/2006/relationships/image" Target="media/image415.png"/><Relationship Id="rId463" Type="http://schemas.openxmlformats.org/officeDocument/2006/relationships/image" Target="media/image416.png"/><Relationship Id="rId464" Type="http://schemas.openxmlformats.org/officeDocument/2006/relationships/image" Target="media/image417.png"/><Relationship Id="rId465" Type="http://schemas.openxmlformats.org/officeDocument/2006/relationships/image" Target="media/image418.png"/><Relationship Id="rId466" Type="http://schemas.openxmlformats.org/officeDocument/2006/relationships/image" Target="media/image419.png"/><Relationship Id="rId467" Type="http://schemas.openxmlformats.org/officeDocument/2006/relationships/image" Target="media/image420.png"/><Relationship Id="rId468" Type="http://schemas.openxmlformats.org/officeDocument/2006/relationships/image" Target="media/image421.png"/><Relationship Id="rId469" Type="http://schemas.openxmlformats.org/officeDocument/2006/relationships/image" Target="media/image422.png"/><Relationship Id="rId470" Type="http://schemas.openxmlformats.org/officeDocument/2006/relationships/image" Target="media/image423.png"/><Relationship Id="rId471" Type="http://schemas.openxmlformats.org/officeDocument/2006/relationships/image" Target="media/image424.png"/><Relationship Id="rId472" Type="http://schemas.openxmlformats.org/officeDocument/2006/relationships/image" Target="media/image425.png"/><Relationship Id="rId473" Type="http://schemas.openxmlformats.org/officeDocument/2006/relationships/image" Target="media/image426.png"/><Relationship Id="rId474" Type="http://schemas.openxmlformats.org/officeDocument/2006/relationships/image" Target="media/image427.png"/><Relationship Id="rId475" Type="http://schemas.openxmlformats.org/officeDocument/2006/relationships/image" Target="media/image428.png"/><Relationship Id="rId476" Type="http://schemas.openxmlformats.org/officeDocument/2006/relationships/image" Target="media/image429.png"/><Relationship Id="rId477" Type="http://schemas.openxmlformats.org/officeDocument/2006/relationships/image" Target="media/image430.png"/><Relationship Id="rId478" Type="http://schemas.openxmlformats.org/officeDocument/2006/relationships/image" Target="media/image431.png"/><Relationship Id="rId479" Type="http://schemas.openxmlformats.org/officeDocument/2006/relationships/image" Target="media/image432.png"/><Relationship Id="rId480" Type="http://schemas.openxmlformats.org/officeDocument/2006/relationships/image" Target="media/image433.png"/><Relationship Id="rId481" Type="http://schemas.openxmlformats.org/officeDocument/2006/relationships/image" Target="media/image434.png"/><Relationship Id="rId482" Type="http://schemas.openxmlformats.org/officeDocument/2006/relationships/image" Target="media/image435.png"/><Relationship Id="rId483" Type="http://schemas.openxmlformats.org/officeDocument/2006/relationships/image" Target="media/image436.png"/><Relationship Id="rId484" Type="http://schemas.openxmlformats.org/officeDocument/2006/relationships/image" Target="media/image437.png"/><Relationship Id="rId485" Type="http://schemas.openxmlformats.org/officeDocument/2006/relationships/image" Target="media/image438.png"/><Relationship Id="rId486" Type="http://schemas.openxmlformats.org/officeDocument/2006/relationships/image" Target="media/image439.png"/><Relationship Id="rId487" Type="http://schemas.openxmlformats.org/officeDocument/2006/relationships/image" Target="media/image440.png"/><Relationship Id="rId488" Type="http://schemas.openxmlformats.org/officeDocument/2006/relationships/image" Target="media/image441.png"/><Relationship Id="rId489" Type="http://schemas.openxmlformats.org/officeDocument/2006/relationships/image" Target="media/image442.png"/><Relationship Id="rId490" Type="http://schemas.openxmlformats.org/officeDocument/2006/relationships/image" Target="media/image443.png"/><Relationship Id="rId491" Type="http://schemas.openxmlformats.org/officeDocument/2006/relationships/image" Target="media/image444.png"/><Relationship Id="rId492" Type="http://schemas.openxmlformats.org/officeDocument/2006/relationships/image" Target="media/image445.png"/><Relationship Id="rId493" Type="http://schemas.openxmlformats.org/officeDocument/2006/relationships/image" Target="media/image446.png"/><Relationship Id="rId494" Type="http://schemas.openxmlformats.org/officeDocument/2006/relationships/image" Target="media/image447.png"/><Relationship Id="rId495" Type="http://schemas.openxmlformats.org/officeDocument/2006/relationships/image" Target="media/image448.png"/><Relationship Id="rId496" Type="http://schemas.openxmlformats.org/officeDocument/2006/relationships/image" Target="media/image449.png"/><Relationship Id="rId497" Type="http://schemas.openxmlformats.org/officeDocument/2006/relationships/image" Target="media/image450.png"/><Relationship Id="rId498" Type="http://schemas.openxmlformats.org/officeDocument/2006/relationships/image" Target="media/image451.png"/><Relationship Id="rId499" Type="http://schemas.openxmlformats.org/officeDocument/2006/relationships/image" Target="media/image452.png"/><Relationship Id="rId500" Type="http://schemas.openxmlformats.org/officeDocument/2006/relationships/image" Target="media/image453.png"/><Relationship Id="rId501" Type="http://schemas.openxmlformats.org/officeDocument/2006/relationships/image" Target="media/image454.png"/><Relationship Id="rId502" Type="http://schemas.openxmlformats.org/officeDocument/2006/relationships/image" Target="media/image455.png"/><Relationship Id="rId503" Type="http://schemas.openxmlformats.org/officeDocument/2006/relationships/image" Target="media/image456.png"/><Relationship Id="rId504" Type="http://schemas.openxmlformats.org/officeDocument/2006/relationships/image" Target="media/image457.png"/><Relationship Id="rId505" Type="http://schemas.openxmlformats.org/officeDocument/2006/relationships/image" Target="media/image458.png"/><Relationship Id="rId506" Type="http://schemas.openxmlformats.org/officeDocument/2006/relationships/image" Target="media/image459.png"/><Relationship Id="rId507" Type="http://schemas.openxmlformats.org/officeDocument/2006/relationships/image" Target="media/image460.png"/><Relationship Id="rId508" Type="http://schemas.openxmlformats.org/officeDocument/2006/relationships/image" Target="media/image461.png"/><Relationship Id="rId509" Type="http://schemas.openxmlformats.org/officeDocument/2006/relationships/image" Target="media/image462.png"/><Relationship Id="rId510" Type="http://schemas.openxmlformats.org/officeDocument/2006/relationships/image" Target="media/image463.png"/><Relationship Id="rId511" Type="http://schemas.openxmlformats.org/officeDocument/2006/relationships/image" Target="media/image464.png"/><Relationship Id="rId512" Type="http://schemas.openxmlformats.org/officeDocument/2006/relationships/image" Target="media/image465.png"/><Relationship Id="rId513" Type="http://schemas.openxmlformats.org/officeDocument/2006/relationships/image" Target="media/image466.png"/><Relationship Id="rId514" Type="http://schemas.openxmlformats.org/officeDocument/2006/relationships/image" Target="media/image467.png"/><Relationship Id="rId515" Type="http://schemas.openxmlformats.org/officeDocument/2006/relationships/image" Target="media/image468.png"/><Relationship Id="rId516" Type="http://schemas.openxmlformats.org/officeDocument/2006/relationships/image" Target="media/image469.png"/><Relationship Id="rId517" Type="http://schemas.openxmlformats.org/officeDocument/2006/relationships/image" Target="media/image470.png"/><Relationship Id="rId518" Type="http://schemas.openxmlformats.org/officeDocument/2006/relationships/image" Target="media/image471.png"/><Relationship Id="rId519" Type="http://schemas.openxmlformats.org/officeDocument/2006/relationships/image" Target="media/image472.png"/><Relationship Id="rId520" Type="http://schemas.openxmlformats.org/officeDocument/2006/relationships/image" Target="media/image473.png"/><Relationship Id="rId521" Type="http://schemas.openxmlformats.org/officeDocument/2006/relationships/image" Target="media/image474.png"/><Relationship Id="rId522" Type="http://schemas.openxmlformats.org/officeDocument/2006/relationships/image" Target="media/image475.png"/><Relationship Id="rId523" Type="http://schemas.openxmlformats.org/officeDocument/2006/relationships/image" Target="media/image476.png"/><Relationship Id="rId524" Type="http://schemas.openxmlformats.org/officeDocument/2006/relationships/image" Target="media/image477.png"/><Relationship Id="rId525" Type="http://schemas.openxmlformats.org/officeDocument/2006/relationships/image" Target="media/image478.png"/><Relationship Id="rId526" Type="http://schemas.openxmlformats.org/officeDocument/2006/relationships/image" Target="media/image479.png"/><Relationship Id="rId527" Type="http://schemas.openxmlformats.org/officeDocument/2006/relationships/image" Target="media/image480.png"/><Relationship Id="rId528" Type="http://schemas.openxmlformats.org/officeDocument/2006/relationships/image" Target="media/image481.png"/><Relationship Id="rId529" Type="http://schemas.openxmlformats.org/officeDocument/2006/relationships/image" Target="media/image482.png"/><Relationship Id="rId530" Type="http://schemas.openxmlformats.org/officeDocument/2006/relationships/image" Target="media/image483.png"/><Relationship Id="rId531" Type="http://schemas.openxmlformats.org/officeDocument/2006/relationships/image" Target="media/image484.png"/><Relationship Id="rId532" Type="http://schemas.openxmlformats.org/officeDocument/2006/relationships/image" Target="media/image485.png"/><Relationship Id="rId533" Type="http://schemas.openxmlformats.org/officeDocument/2006/relationships/image" Target="media/image486.png"/><Relationship Id="rId534" Type="http://schemas.openxmlformats.org/officeDocument/2006/relationships/image" Target="media/image487.png"/><Relationship Id="rId535" Type="http://schemas.openxmlformats.org/officeDocument/2006/relationships/image" Target="media/image488.png"/><Relationship Id="rId536" Type="http://schemas.openxmlformats.org/officeDocument/2006/relationships/image" Target="media/image489.png"/><Relationship Id="rId537" Type="http://schemas.openxmlformats.org/officeDocument/2006/relationships/image" Target="media/image490.png"/><Relationship Id="rId538" Type="http://schemas.openxmlformats.org/officeDocument/2006/relationships/image" Target="media/image491.png"/><Relationship Id="rId539" Type="http://schemas.openxmlformats.org/officeDocument/2006/relationships/image" Target="media/image492.png"/><Relationship Id="rId540" Type="http://schemas.openxmlformats.org/officeDocument/2006/relationships/image" Target="media/image493.png"/><Relationship Id="rId541" Type="http://schemas.openxmlformats.org/officeDocument/2006/relationships/image" Target="media/image494.png"/><Relationship Id="rId542" Type="http://schemas.openxmlformats.org/officeDocument/2006/relationships/image" Target="media/image495.png"/><Relationship Id="rId543" Type="http://schemas.openxmlformats.org/officeDocument/2006/relationships/image" Target="media/image496.png"/><Relationship Id="rId544" Type="http://schemas.openxmlformats.org/officeDocument/2006/relationships/image" Target="media/image497.png"/><Relationship Id="rId545" Type="http://schemas.openxmlformats.org/officeDocument/2006/relationships/image" Target="media/image498.png"/><Relationship Id="rId546" Type="http://schemas.openxmlformats.org/officeDocument/2006/relationships/image" Target="media/image499.png"/><Relationship Id="rId547" Type="http://schemas.openxmlformats.org/officeDocument/2006/relationships/image" Target="media/image500.png"/><Relationship Id="rId548" Type="http://schemas.openxmlformats.org/officeDocument/2006/relationships/image" Target="media/image501.png"/><Relationship Id="rId549" Type="http://schemas.openxmlformats.org/officeDocument/2006/relationships/image" Target="media/image502.png"/><Relationship Id="rId550" Type="http://schemas.openxmlformats.org/officeDocument/2006/relationships/image" Target="media/image503.png"/><Relationship Id="rId551" Type="http://schemas.openxmlformats.org/officeDocument/2006/relationships/image" Target="media/image504.png"/><Relationship Id="rId552" Type="http://schemas.openxmlformats.org/officeDocument/2006/relationships/image" Target="media/image505.png"/><Relationship Id="rId553" Type="http://schemas.openxmlformats.org/officeDocument/2006/relationships/image" Target="media/image506.png"/><Relationship Id="rId554" Type="http://schemas.openxmlformats.org/officeDocument/2006/relationships/image" Target="media/image507.png"/><Relationship Id="rId555" Type="http://schemas.openxmlformats.org/officeDocument/2006/relationships/image" Target="media/image508.png"/><Relationship Id="rId556" Type="http://schemas.openxmlformats.org/officeDocument/2006/relationships/image" Target="media/image509.png"/><Relationship Id="rId557" Type="http://schemas.openxmlformats.org/officeDocument/2006/relationships/image" Target="media/image510.png"/><Relationship Id="rId558" Type="http://schemas.openxmlformats.org/officeDocument/2006/relationships/image" Target="media/image511.png"/><Relationship Id="rId559" Type="http://schemas.openxmlformats.org/officeDocument/2006/relationships/image" Target="media/image512.png"/><Relationship Id="rId560" Type="http://schemas.openxmlformats.org/officeDocument/2006/relationships/image" Target="media/image513.png"/><Relationship Id="rId561" Type="http://schemas.openxmlformats.org/officeDocument/2006/relationships/image" Target="media/image514.png"/><Relationship Id="rId562" Type="http://schemas.openxmlformats.org/officeDocument/2006/relationships/image" Target="media/image515.png"/><Relationship Id="rId563" Type="http://schemas.openxmlformats.org/officeDocument/2006/relationships/image" Target="media/image516.png"/><Relationship Id="rId564" Type="http://schemas.openxmlformats.org/officeDocument/2006/relationships/image" Target="media/image517.png"/><Relationship Id="rId565" Type="http://schemas.openxmlformats.org/officeDocument/2006/relationships/image" Target="media/image518.png"/><Relationship Id="rId566" Type="http://schemas.openxmlformats.org/officeDocument/2006/relationships/image" Target="media/image519.png"/><Relationship Id="rId567" Type="http://schemas.openxmlformats.org/officeDocument/2006/relationships/image" Target="media/image520.png"/><Relationship Id="rId568" Type="http://schemas.openxmlformats.org/officeDocument/2006/relationships/image" Target="media/image521.png"/><Relationship Id="rId569" Type="http://schemas.openxmlformats.org/officeDocument/2006/relationships/image" Target="media/image522.png"/><Relationship Id="rId570" Type="http://schemas.openxmlformats.org/officeDocument/2006/relationships/image" Target="media/image523.png"/><Relationship Id="rId571" Type="http://schemas.openxmlformats.org/officeDocument/2006/relationships/image" Target="media/image524.png"/><Relationship Id="rId572" Type="http://schemas.openxmlformats.org/officeDocument/2006/relationships/image" Target="media/image525.png"/><Relationship Id="rId573" Type="http://schemas.openxmlformats.org/officeDocument/2006/relationships/image" Target="media/image526.png"/><Relationship Id="rId574" Type="http://schemas.openxmlformats.org/officeDocument/2006/relationships/image" Target="media/image527.png"/><Relationship Id="rId575" Type="http://schemas.openxmlformats.org/officeDocument/2006/relationships/image" Target="media/image528.png"/><Relationship Id="rId576" Type="http://schemas.openxmlformats.org/officeDocument/2006/relationships/image" Target="media/image529.png"/><Relationship Id="rId577" Type="http://schemas.openxmlformats.org/officeDocument/2006/relationships/image" Target="media/image530.png"/><Relationship Id="rId578" Type="http://schemas.openxmlformats.org/officeDocument/2006/relationships/image" Target="media/image531.png"/><Relationship Id="rId579" Type="http://schemas.openxmlformats.org/officeDocument/2006/relationships/image" Target="media/image532.png"/><Relationship Id="rId580" Type="http://schemas.openxmlformats.org/officeDocument/2006/relationships/image" Target="media/image533.png"/><Relationship Id="rId581" Type="http://schemas.openxmlformats.org/officeDocument/2006/relationships/image" Target="media/image534.png"/><Relationship Id="rId582" Type="http://schemas.openxmlformats.org/officeDocument/2006/relationships/image" Target="media/image535.png"/><Relationship Id="rId583" Type="http://schemas.openxmlformats.org/officeDocument/2006/relationships/image" Target="media/image536.png"/><Relationship Id="rId584" Type="http://schemas.openxmlformats.org/officeDocument/2006/relationships/image" Target="media/image537.png"/><Relationship Id="rId585" Type="http://schemas.openxmlformats.org/officeDocument/2006/relationships/image" Target="media/image538.png"/><Relationship Id="rId586" Type="http://schemas.openxmlformats.org/officeDocument/2006/relationships/image" Target="media/image539.png"/><Relationship Id="rId587" Type="http://schemas.openxmlformats.org/officeDocument/2006/relationships/image" Target="media/image540.png"/><Relationship Id="rId588" Type="http://schemas.openxmlformats.org/officeDocument/2006/relationships/image" Target="media/image541.png"/><Relationship Id="rId589" Type="http://schemas.openxmlformats.org/officeDocument/2006/relationships/image" Target="media/image542.png"/><Relationship Id="rId590" Type="http://schemas.openxmlformats.org/officeDocument/2006/relationships/image" Target="media/image543.png"/><Relationship Id="rId591" Type="http://schemas.openxmlformats.org/officeDocument/2006/relationships/image" Target="media/image544.png"/><Relationship Id="rId592" Type="http://schemas.openxmlformats.org/officeDocument/2006/relationships/image" Target="media/image545.png"/><Relationship Id="rId593" Type="http://schemas.openxmlformats.org/officeDocument/2006/relationships/image" Target="media/image546.png"/><Relationship Id="rId594" Type="http://schemas.openxmlformats.org/officeDocument/2006/relationships/image" Target="media/image547.png"/><Relationship Id="rId595" Type="http://schemas.openxmlformats.org/officeDocument/2006/relationships/image" Target="media/image548.png"/><Relationship Id="rId596" Type="http://schemas.openxmlformats.org/officeDocument/2006/relationships/image" Target="media/image549.png"/><Relationship Id="rId597" Type="http://schemas.openxmlformats.org/officeDocument/2006/relationships/image" Target="media/image550.png"/><Relationship Id="rId598" Type="http://schemas.openxmlformats.org/officeDocument/2006/relationships/image" Target="media/image551.png"/><Relationship Id="rId599" Type="http://schemas.openxmlformats.org/officeDocument/2006/relationships/image" Target="media/image552.png"/><Relationship Id="rId600" Type="http://schemas.openxmlformats.org/officeDocument/2006/relationships/image" Target="media/image553.png"/><Relationship Id="rId601" Type="http://schemas.openxmlformats.org/officeDocument/2006/relationships/image" Target="media/image554.png"/><Relationship Id="rId602" Type="http://schemas.openxmlformats.org/officeDocument/2006/relationships/image" Target="media/image555.png"/><Relationship Id="rId603" Type="http://schemas.openxmlformats.org/officeDocument/2006/relationships/image" Target="media/image556.png"/><Relationship Id="rId604" Type="http://schemas.openxmlformats.org/officeDocument/2006/relationships/image" Target="media/image557.png"/><Relationship Id="rId605" Type="http://schemas.openxmlformats.org/officeDocument/2006/relationships/image" Target="media/image558.png"/><Relationship Id="rId606" Type="http://schemas.openxmlformats.org/officeDocument/2006/relationships/image" Target="media/image559.png"/><Relationship Id="rId607" Type="http://schemas.openxmlformats.org/officeDocument/2006/relationships/image" Target="media/image560.png"/><Relationship Id="rId608" Type="http://schemas.openxmlformats.org/officeDocument/2006/relationships/image" Target="media/image561.png"/><Relationship Id="rId609" Type="http://schemas.openxmlformats.org/officeDocument/2006/relationships/image" Target="media/image562.png"/><Relationship Id="rId610" Type="http://schemas.openxmlformats.org/officeDocument/2006/relationships/image" Target="media/image563.png"/><Relationship Id="rId611" Type="http://schemas.openxmlformats.org/officeDocument/2006/relationships/image" Target="media/image564.png"/><Relationship Id="rId612" Type="http://schemas.openxmlformats.org/officeDocument/2006/relationships/image" Target="media/image565.png"/><Relationship Id="rId613" Type="http://schemas.openxmlformats.org/officeDocument/2006/relationships/image" Target="media/image566.png"/><Relationship Id="rId614" Type="http://schemas.openxmlformats.org/officeDocument/2006/relationships/image" Target="media/image567.png"/><Relationship Id="rId615" Type="http://schemas.openxmlformats.org/officeDocument/2006/relationships/image" Target="media/image568.png"/><Relationship Id="rId616" Type="http://schemas.openxmlformats.org/officeDocument/2006/relationships/image" Target="media/image569.png"/><Relationship Id="rId617" Type="http://schemas.openxmlformats.org/officeDocument/2006/relationships/image" Target="media/image570.png"/><Relationship Id="rId618" Type="http://schemas.openxmlformats.org/officeDocument/2006/relationships/image" Target="media/image571.png"/><Relationship Id="rId619" Type="http://schemas.openxmlformats.org/officeDocument/2006/relationships/image" Target="media/image572.png"/><Relationship Id="rId620" Type="http://schemas.openxmlformats.org/officeDocument/2006/relationships/image" Target="media/image573.png"/><Relationship Id="rId621" Type="http://schemas.openxmlformats.org/officeDocument/2006/relationships/image" Target="media/image574.png"/><Relationship Id="rId622" Type="http://schemas.openxmlformats.org/officeDocument/2006/relationships/image" Target="media/image575.png"/><Relationship Id="rId623" Type="http://schemas.openxmlformats.org/officeDocument/2006/relationships/image" Target="media/image576.png"/><Relationship Id="rId624" Type="http://schemas.openxmlformats.org/officeDocument/2006/relationships/image" Target="media/image577.png"/><Relationship Id="rId625" Type="http://schemas.openxmlformats.org/officeDocument/2006/relationships/image" Target="media/image578.png"/><Relationship Id="rId626" Type="http://schemas.openxmlformats.org/officeDocument/2006/relationships/image" Target="media/image579.png"/><Relationship Id="rId627" Type="http://schemas.openxmlformats.org/officeDocument/2006/relationships/image" Target="media/image580.png"/><Relationship Id="rId628" Type="http://schemas.openxmlformats.org/officeDocument/2006/relationships/image" Target="media/image581.png"/><Relationship Id="rId629" Type="http://schemas.openxmlformats.org/officeDocument/2006/relationships/image" Target="media/image582.png"/><Relationship Id="rId630" Type="http://schemas.openxmlformats.org/officeDocument/2006/relationships/image" Target="media/image583.png"/><Relationship Id="rId631" Type="http://schemas.openxmlformats.org/officeDocument/2006/relationships/image" Target="media/image584.png"/><Relationship Id="rId632" Type="http://schemas.openxmlformats.org/officeDocument/2006/relationships/image" Target="media/image585.png"/><Relationship Id="rId633" Type="http://schemas.openxmlformats.org/officeDocument/2006/relationships/image" Target="media/image586.png"/><Relationship Id="rId634" Type="http://schemas.openxmlformats.org/officeDocument/2006/relationships/image" Target="media/image587.png"/><Relationship Id="rId635" Type="http://schemas.openxmlformats.org/officeDocument/2006/relationships/image" Target="media/image588.png"/><Relationship Id="rId636" Type="http://schemas.openxmlformats.org/officeDocument/2006/relationships/image" Target="media/image589.png"/><Relationship Id="rId637" Type="http://schemas.openxmlformats.org/officeDocument/2006/relationships/image" Target="media/image590.png"/><Relationship Id="rId638" Type="http://schemas.openxmlformats.org/officeDocument/2006/relationships/image" Target="media/image591.png"/><Relationship Id="rId639" Type="http://schemas.openxmlformats.org/officeDocument/2006/relationships/image" Target="media/image592.png"/><Relationship Id="rId640" Type="http://schemas.openxmlformats.org/officeDocument/2006/relationships/image" Target="media/image593.png"/><Relationship Id="rId641" Type="http://schemas.openxmlformats.org/officeDocument/2006/relationships/image" Target="media/image594.png"/><Relationship Id="rId642" Type="http://schemas.openxmlformats.org/officeDocument/2006/relationships/image" Target="media/image595.png"/><Relationship Id="rId643" Type="http://schemas.openxmlformats.org/officeDocument/2006/relationships/image" Target="media/image596.png"/><Relationship Id="rId644" Type="http://schemas.openxmlformats.org/officeDocument/2006/relationships/image" Target="media/image597.png"/><Relationship Id="rId645" Type="http://schemas.openxmlformats.org/officeDocument/2006/relationships/image" Target="media/image598.png"/><Relationship Id="rId646" Type="http://schemas.openxmlformats.org/officeDocument/2006/relationships/image" Target="media/image599.png"/><Relationship Id="rId647" Type="http://schemas.openxmlformats.org/officeDocument/2006/relationships/image" Target="media/image600.png"/><Relationship Id="rId648" Type="http://schemas.openxmlformats.org/officeDocument/2006/relationships/image" Target="media/image601.png"/><Relationship Id="rId649" Type="http://schemas.openxmlformats.org/officeDocument/2006/relationships/image" Target="media/image602.png"/><Relationship Id="rId650" Type="http://schemas.openxmlformats.org/officeDocument/2006/relationships/image" Target="media/image603.png"/><Relationship Id="rId651" Type="http://schemas.openxmlformats.org/officeDocument/2006/relationships/image" Target="media/image604.png"/><Relationship Id="rId652" Type="http://schemas.openxmlformats.org/officeDocument/2006/relationships/image" Target="media/image605.png"/><Relationship Id="rId653" Type="http://schemas.openxmlformats.org/officeDocument/2006/relationships/image" Target="media/image606.png"/><Relationship Id="rId654" Type="http://schemas.openxmlformats.org/officeDocument/2006/relationships/image" Target="media/image607.png"/><Relationship Id="rId655" Type="http://schemas.openxmlformats.org/officeDocument/2006/relationships/image" Target="media/image608.png"/><Relationship Id="rId656" Type="http://schemas.openxmlformats.org/officeDocument/2006/relationships/image" Target="media/image609.png"/><Relationship Id="rId657" Type="http://schemas.openxmlformats.org/officeDocument/2006/relationships/image" Target="media/image610.png"/><Relationship Id="rId658" Type="http://schemas.openxmlformats.org/officeDocument/2006/relationships/image" Target="media/image611.png"/><Relationship Id="rId659" Type="http://schemas.openxmlformats.org/officeDocument/2006/relationships/image" Target="media/image612.png"/><Relationship Id="rId660" Type="http://schemas.openxmlformats.org/officeDocument/2006/relationships/image" Target="media/image613.png"/><Relationship Id="rId661" Type="http://schemas.openxmlformats.org/officeDocument/2006/relationships/image" Target="media/image614.png"/><Relationship Id="rId662" Type="http://schemas.openxmlformats.org/officeDocument/2006/relationships/image" Target="media/image615.png"/><Relationship Id="rId663" Type="http://schemas.openxmlformats.org/officeDocument/2006/relationships/image" Target="media/image616.png"/><Relationship Id="rId664" Type="http://schemas.openxmlformats.org/officeDocument/2006/relationships/image" Target="media/image617.png"/><Relationship Id="rId665" Type="http://schemas.openxmlformats.org/officeDocument/2006/relationships/image" Target="media/image618.png"/><Relationship Id="rId666" Type="http://schemas.openxmlformats.org/officeDocument/2006/relationships/image" Target="media/image619.png"/><Relationship Id="rId667" Type="http://schemas.openxmlformats.org/officeDocument/2006/relationships/image" Target="media/image620.png"/><Relationship Id="rId668" Type="http://schemas.openxmlformats.org/officeDocument/2006/relationships/image" Target="media/image621.png"/><Relationship Id="rId669" Type="http://schemas.openxmlformats.org/officeDocument/2006/relationships/image" Target="media/image622.png"/><Relationship Id="rId670" Type="http://schemas.openxmlformats.org/officeDocument/2006/relationships/image" Target="media/image623.png"/><Relationship Id="rId671" Type="http://schemas.openxmlformats.org/officeDocument/2006/relationships/image" Target="media/image624.png"/><Relationship Id="rId672" Type="http://schemas.openxmlformats.org/officeDocument/2006/relationships/image" Target="media/image625.png"/><Relationship Id="rId673" Type="http://schemas.openxmlformats.org/officeDocument/2006/relationships/image" Target="media/image626.png"/><Relationship Id="rId674" Type="http://schemas.openxmlformats.org/officeDocument/2006/relationships/image" Target="media/image627.png"/><Relationship Id="rId675" Type="http://schemas.openxmlformats.org/officeDocument/2006/relationships/image" Target="media/image628.png"/><Relationship Id="rId676" Type="http://schemas.openxmlformats.org/officeDocument/2006/relationships/image" Target="media/image629.png"/><Relationship Id="rId677" Type="http://schemas.openxmlformats.org/officeDocument/2006/relationships/image" Target="media/image630.png"/><Relationship Id="rId678" Type="http://schemas.openxmlformats.org/officeDocument/2006/relationships/image" Target="media/image631.png"/><Relationship Id="rId679" Type="http://schemas.openxmlformats.org/officeDocument/2006/relationships/image" Target="media/image632.png"/><Relationship Id="rId680" Type="http://schemas.openxmlformats.org/officeDocument/2006/relationships/image" Target="media/image633.png"/><Relationship Id="rId681" Type="http://schemas.openxmlformats.org/officeDocument/2006/relationships/image" Target="media/image634.png"/><Relationship Id="rId682" Type="http://schemas.openxmlformats.org/officeDocument/2006/relationships/image" Target="media/image635.png"/><Relationship Id="rId683" Type="http://schemas.openxmlformats.org/officeDocument/2006/relationships/image" Target="media/image636.png"/><Relationship Id="rId684" Type="http://schemas.openxmlformats.org/officeDocument/2006/relationships/image" Target="media/image637.jpeg"/><Relationship Id="rId685" Type="http://schemas.openxmlformats.org/officeDocument/2006/relationships/image" Target="media/image638.png"/><Relationship Id="rId686" Type="http://schemas.openxmlformats.org/officeDocument/2006/relationships/image" Target="media/image639.png"/><Relationship Id="rId687" Type="http://schemas.openxmlformats.org/officeDocument/2006/relationships/image" Target="media/image640.png"/><Relationship Id="rId688" Type="http://schemas.openxmlformats.org/officeDocument/2006/relationships/image" Target="media/image641.png"/><Relationship Id="rId689" Type="http://schemas.openxmlformats.org/officeDocument/2006/relationships/image" Target="media/image642.png"/><Relationship Id="rId690" Type="http://schemas.openxmlformats.org/officeDocument/2006/relationships/image" Target="media/image643.png"/><Relationship Id="rId691" Type="http://schemas.openxmlformats.org/officeDocument/2006/relationships/image" Target="media/image644.png"/><Relationship Id="rId692" Type="http://schemas.openxmlformats.org/officeDocument/2006/relationships/image" Target="media/image645.png"/><Relationship Id="rId693" Type="http://schemas.openxmlformats.org/officeDocument/2006/relationships/image" Target="media/image646.png"/><Relationship Id="rId694" Type="http://schemas.openxmlformats.org/officeDocument/2006/relationships/image" Target="media/image647.png"/><Relationship Id="rId695" Type="http://schemas.openxmlformats.org/officeDocument/2006/relationships/image" Target="media/image648.png"/><Relationship Id="rId696" Type="http://schemas.openxmlformats.org/officeDocument/2006/relationships/image" Target="media/image649.png"/><Relationship Id="rId697" Type="http://schemas.openxmlformats.org/officeDocument/2006/relationships/image" Target="media/image650.png"/><Relationship Id="rId698" Type="http://schemas.openxmlformats.org/officeDocument/2006/relationships/image" Target="media/image651.png"/><Relationship Id="rId699" Type="http://schemas.openxmlformats.org/officeDocument/2006/relationships/image" Target="media/image652.png"/><Relationship Id="rId700" Type="http://schemas.openxmlformats.org/officeDocument/2006/relationships/image" Target="media/image653.png"/><Relationship Id="rId701" Type="http://schemas.openxmlformats.org/officeDocument/2006/relationships/image" Target="media/image654.png"/><Relationship Id="rId702" Type="http://schemas.openxmlformats.org/officeDocument/2006/relationships/image" Target="media/image655.png"/><Relationship Id="rId703" Type="http://schemas.openxmlformats.org/officeDocument/2006/relationships/image" Target="media/image656.png"/><Relationship Id="rId704" Type="http://schemas.openxmlformats.org/officeDocument/2006/relationships/image" Target="media/image657.png"/><Relationship Id="rId705" Type="http://schemas.openxmlformats.org/officeDocument/2006/relationships/image" Target="media/image658.png"/><Relationship Id="rId706" Type="http://schemas.openxmlformats.org/officeDocument/2006/relationships/image" Target="media/image659.png"/><Relationship Id="rId707" Type="http://schemas.openxmlformats.org/officeDocument/2006/relationships/image" Target="media/image660.png"/><Relationship Id="rId708" Type="http://schemas.openxmlformats.org/officeDocument/2006/relationships/image" Target="media/image661.png"/><Relationship Id="rId709" Type="http://schemas.openxmlformats.org/officeDocument/2006/relationships/image" Target="media/image662.png"/><Relationship Id="rId710" Type="http://schemas.openxmlformats.org/officeDocument/2006/relationships/image" Target="media/image663.png"/><Relationship Id="rId711" Type="http://schemas.openxmlformats.org/officeDocument/2006/relationships/image" Target="media/image664.png"/><Relationship Id="rId712" Type="http://schemas.openxmlformats.org/officeDocument/2006/relationships/image" Target="media/image665.png"/><Relationship Id="rId713" Type="http://schemas.openxmlformats.org/officeDocument/2006/relationships/image" Target="media/image666.png"/><Relationship Id="rId714" Type="http://schemas.openxmlformats.org/officeDocument/2006/relationships/image" Target="media/image667.png"/><Relationship Id="rId715" Type="http://schemas.openxmlformats.org/officeDocument/2006/relationships/image" Target="media/image668.png"/><Relationship Id="rId716" Type="http://schemas.openxmlformats.org/officeDocument/2006/relationships/image" Target="media/image669.png"/><Relationship Id="rId717" Type="http://schemas.openxmlformats.org/officeDocument/2006/relationships/image" Target="media/image670.png"/><Relationship Id="rId718" Type="http://schemas.openxmlformats.org/officeDocument/2006/relationships/image" Target="media/image671.png"/><Relationship Id="rId719" Type="http://schemas.openxmlformats.org/officeDocument/2006/relationships/image" Target="media/image672.png"/><Relationship Id="rId720" Type="http://schemas.openxmlformats.org/officeDocument/2006/relationships/image" Target="media/image673.png"/><Relationship Id="rId721" Type="http://schemas.openxmlformats.org/officeDocument/2006/relationships/image" Target="media/image674.png"/><Relationship Id="rId722" Type="http://schemas.openxmlformats.org/officeDocument/2006/relationships/image" Target="media/image675.png"/><Relationship Id="rId723" Type="http://schemas.openxmlformats.org/officeDocument/2006/relationships/image" Target="media/image676.png"/><Relationship Id="rId724" Type="http://schemas.openxmlformats.org/officeDocument/2006/relationships/image" Target="media/image677.png"/><Relationship Id="rId725" Type="http://schemas.openxmlformats.org/officeDocument/2006/relationships/image" Target="media/image678.png"/><Relationship Id="rId726" Type="http://schemas.openxmlformats.org/officeDocument/2006/relationships/image" Target="media/image679.png"/><Relationship Id="rId727" Type="http://schemas.openxmlformats.org/officeDocument/2006/relationships/image" Target="media/image680.png"/><Relationship Id="rId728" Type="http://schemas.openxmlformats.org/officeDocument/2006/relationships/image" Target="media/image681.png"/><Relationship Id="rId729" Type="http://schemas.openxmlformats.org/officeDocument/2006/relationships/image" Target="media/image682.png"/><Relationship Id="rId730" Type="http://schemas.openxmlformats.org/officeDocument/2006/relationships/image" Target="media/image683.png"/><Relationship Id="rId731" Type="http://schemas.openxmlformats.org/officeDocument/2006/relationships/image" Target="media/image684.png"/><Relationship Id="rId732" Type="http://schemas.openxmlformats.org/officeDocument/2006/relationships/image" Target="media/image685.png"/><Relationship Id="rId733" Type="http://schemas.openxmlformats.org/officeDocument/2006/relationships/image" Target="media/image686.png"/><Relationship Id="rId734" Type="http://schemas.openxmlformats.org/officeDocument/2006/relationships/image" Target="media/image687.png"/><Relationship Id="rId735" Type="http://schemas.openxmlformats.org/officeDocument/2006/relationships/image" Target="media/image688.png"/><Relationship Id="rId736" Type="http://schemas.openxmlformats.org/officeDocument/2006/relationships/image" Target="media/image689.png"/><Relationship Id="rId737" Type="http://schemas.openxmlformats.org/officeDocument/2006/relationships/image" Target="media/image690.png"/><Relationship Id="rId738" Type="http://schemas.openxmlformats.org/officeDocument/2006/relationships/image" Target="media/image691.png"/><Relationship Id="rId739" Type="http://schemas.openxmlformats.org/officeDocument/2006/relationships/image" Target="media/image692.png"/><Relationship Id="rId740" Type="http://schemas.openxmlformats.org/officeDocument/2006/relationships/image" Target="media/image693.png"/><Relationship Id="rId741" Type="http://schemas.openxmlformats.org/officeDocument/2006/relationships/image" Target="media/image694.png"/><Relationship Id="rId742" Type="http://schemas.openxmlformats.org/officeDocument/2006/relationships/image" Target="media/image695.png"/><Relationship Id="rId743" Type="http://schemas.openxmlformats.org/officeDocument/2006/relationships/image" Target="media/image696.png"/><Relationship Id="rId744" Type="http://schemas.openxmlformats.org/officeDocument/2006/relationships/image" Target="media/image697.png"/><Relationship Id="rId745" Type="http://schemas.openxmlformats.org/officeDocument/2006/relationships/image" Target="media/image698.png"/><Relationship Id="rId746" Type="http://schemas.openxmlformats.org/officeDocument/2006/relationships/image" Target="media/image699.jpeg"/><Relationship Id="rId747" Type="http://schemas.openxmlformats.org/officeDocument/2006/relationships/image" Target="media/image700.png"/><Relationship Id="rId748" Type="http://schemas.openxmlformats.org/officeDocument/2006/relationships/image" Target="media/image701.png"/><Relationship Id="rId749" Type="http://schemas.openxmlformats.org/officeDocument/2006/relationships/image" Target="media/image702.png"/><Relationship Id="rId750" Type="http://schemas.openxmlformats.org/officeDocument/2006/relationships/image" Target="media/image703.png"/><Relationship Id="rId751" Type="http://schemas.openxmlformats.org/officeDocument/2006/relationships/image" Target="media/image704.png"/><Relationship Id="rId752" Type="http://schemas.openxmlformats.org/officeDocument/2006/relationships/image" Target="media/image705.png"/><Relationship Id="rId753" Type="http://schemas.openxmlformats.org/officeDocument/2006/relationships/image" Target="media/image706.png"/><Relationship Id="rId754" Type="http://schemas.openxmlformats.org/officeDocument/2006/relationships/image" Target="media/image707.png"/><Relationship Id="rId755" Type="http://schemas.openxmlformats.org/officeDocument/2006/relationships/image" Target="media/image708.png"/><Relationship Id="rId756" Type="http://schemas.openxmlformats.org/officeDocument/2006/relationships/image" Target="media/image709.png"/><Relationship Id="rId757" Type="http://schemas.openxmlformats.org/officeDocument/2006/relationships/image" Target="media/image710.png"/><Relationship Id="rId758" Type="http://schemas.openxmlformats.org/officeDocument/2006/relationships/image" Target="media/image711.png"/><Relationship Id="rId759" Type="http://schemas.openxmlformats.org/officeDocument/2006/relationships/image" Target="media/image712.png"/><Relationship Id="rId760" Type="http://schemas.openxmlformats.org/officeDocument/2006/relationships/image" Target="media/image713.png"/><Relationship Id="rId761" Type="http://schemas.openxmlformats.org/officeDocument/2006/relationships/image" Target="media/image714.png"/><Relationship Id="rId762" Type="http://schemas.openxmlformats.org/officeDocument/2006/relationships/image" Target="media/image715.png"/><Relationship Id="rId763" Type="http://schemas.openxmlformats.org/officeDocument/2006/relationships/image" Target="media/image716.png"/><Relationship Id="rId764" Type="http://schemas.openxmlformats.org/officeDocument/2006/relationships/image" Target="media/image717.png"/><Relationship Id="rId765" Type="http://schemas.openxmlformats.org/officeDocument/2006/relationships/image" Target="media/image718.png"/><Relationship Id="rId766" Type="http://schemas.openxmlformats.org/officeDocument/2006/relationships/image" Target="media/image719.png"/><Relationship Id="rId767" Type="http://schemas.openxmlformats.org/officeDocument/2006/relationships/image" Target="media/image720.png"/><Relationship Id="rId768" Type="http://schemas.openxmlformats.org/officeDocument/2006/relationships/image" Target="media/image721.png"/><Relationship Id="rId769" Type="http://schemas.openxmlformats.org/officeDocument/2006/relationships/image" Target="media/image722.png"/><Relationship Id="rId770" Type="http://schemas.openxmlformats.org/officeDocument/2006/relationships/image" Target="media/image723.png"/><Relationship Id="rId771" Type="http://schemas.openxmlformats.org/officeDocument/2006/relationships/image" Target="media/image724.png"/><Relationship Id="rId772" Type="http://schemas.openxmlformats.org/officeDocument/2006/relationships/image" Target="media/image725.png"/><Relationship Id="rId773" Type="http://schemas.openxmlformats.org/officeDocument/2006/relationships/image" Target="media/image726.png"/><Relationship Id="rId774" Type="http://schemas.openxmlformats.org/officeDocument/2006/relationships/image" Target="media/image727.png"/><Relationship Id="rId775" Type="http://schemas.openxmlformats.org/officeDocument/2006/relationships/image" Target="media/image728.png"/><Relationship Id="rId776" Type="http://schemas.openxmlformats.org/officeDocument/2006/relationships/image" Target="media/image729.png"/><Relationship Id="rId777" Type="http://schemas.openxmlformats.org/officeDocument/2006/relationships/image" Target="media/image730.png"/><Relationship Id="rId778" Type="http://schemas.openxmlformats.org/officeDocument/2006/relationships/image" Target="media/image731.png"/><Relationship Id="rId779" Type="http://schemas.openxmlformats.org/officeDocument/2006/relationships/image" Target="media/image732.png"/><Relationship Id="rId780" Type="http://schemas.openxmlformats.org/officeDocument/2006/relationships/image" Target="media/image733.png"/><Relationship Id="rId781" Type="http://schemas.openxmlformats.org/officeDocument/2006/relationships/image" Target="media/image734.png"/><Relationship Id="rId782" Type="http://schemas.openxmlformats.org/officeDocument/2006/relationships/image" Target="media/image735.png"/><Relationship Id="rId783" Type="http://schemas.openxmlformats.org/officeDocument/2006/relationships/image" Target="media/image736.png"/><Relationship Id="rId784" Type="http://schemas.openxmlformats.org/officeDocument/2006/relationships/image" Target="media/image737.png"/><Relationship Id="rId785" Type="http://schemas.openxmlformats.org/officeDocument/2006/relationships/image" Target="media/image738.png"/><Relationship Id="rId786" Type="http://schemas.openxmlformats.org/officeDocument/2006/relationships/image" Target="media/image739.png"/><Relationship Id="rId787" Type="http://schemas.openxmlformats.org/officeDocument/2006/relationships/image" Target="media/image740.png"/><Relationship Id="rId788" Type="http://schemas.openxmlformats.org/officeDocument/2006/relationships/image" Target="media/image741.png"/><Relationship Id="rId789" Type="http://schemas.openxmlformats.org/officeDocument/2006/relationships/image" Target="media/image742.png"/><Relationship Id="rId790" Type="http://schemas.openxmlformats.org/officeDocument/2006/relationships/image" Target="media/image743.png"/><Relationship Id="rId791" Type="http://schemas.openxmlformats.org/officeDocument/2006/relationships/image" Target="media/image744.png"/><Relationship Id="rId792" Type="http://schemas.openxmlformats.org/officeDocument/2006/relationships/image" Target="media/image745.png"/><Relationship Id="rId793" Type="http://schemas.openxmlformats.org/officeDocument/2006/relationships/image" Target="media/image746.png"/><Relationship Id="rId794" Type="http://schemas.openxmlformats.org/officeDocument/2006/relationships/image" Target="media/image747.png"/><Relationship Id="rId795" Type="http://schemas.openxmlformats.org/officeDocument/2006/relationships/image" Target="media/image748.png"/><Relationship Id="rId796" Type="http://schemas.openxmlformats.org/officeDocument/2006/relationships/image" Target="media/image749.png"/><Relationship Id="rId797" Type="http://schemas.openxmlformats.org/officeDocument/2006/relationships/image" Target="media/image750.png"/><Relationship Id="rId798" Type="http://schemas.openxmlformats.org/officeDocument/2006/relationships/image" Target="media/image751.png"/><Relationship Id="rId799" Type="http://schemas.openxmlformats.org/officeDocument/2006/relationships/image" Target="media/image752.png"/><Relationship Id="rId800" Type="http://schemas.openxmlformats.org/officeDocument/2006/relationships/image" Target="media/image753.png"/><Relationship Id="rId801" Type="http://schemas.openxmlformats.org/officeDocument/2006/relationships/image" Target="media/image754.png"/><Relationship Id="rId802" Type="http://schemas.openxmlformats.org/officeDocument/2006/relationships/image" Target="media/image755.png"/><Relationship Id="rId803" Type="http://schemas.openxmlformats.org/officeDocument/2006/relationships/image" Target="media/image756.png"/><Relationship Id="rId804" Type="http://schemas.openxmlformats.org/officeDocument/2006/relationships/image" Target="media/image757.png"/><Relationship Id="rId805" Type="http://schemas.openxmlformats.org/officeDocument/2006/relationships/image" Target="media/image758.png"/><Relationship Id="rId806" Type="http://schemas.openxmlformats.org/officeDocument/2006/relationships/image" Target="media/image759.png"/><Relationship Id="rId807" Type="http://schemas.openxmlformats.org/officeDocument/2006/relationships/image" Target="media/image760.png"/><Relationship Id="rId808" Type="http://schemas.openxmlformats.org/officeDocument/2006/relationships/image" Target="media/image761.png"/><Relationship Id="rId809" Type="http://schemas.openxmlformats.org/officeDocument/2006/relationships/image" Target="media/image762.png"/><Relationship Id="rId810" Type="http://schemas.openxmlformats.org/officeDocument/2006/relationships/image" Target="media/image763.png"/><Relationship Id="rId811" Type="http://schemas.openxmlformats.org/officeDocument/2006/relationships/image" Target="media/image764.png"/><Relationship Id="rId812" Type="http://schemas.openxmlformats.org/officeDocument/2006/relationships/image" Target="media/image765.png"/><Relationship Id="rId813" Type="http://schemas.openxmlformats.org/officeDocument/2006/relationships/image" Target="media/image766.png"/><Relationship Id="rId814" Type="http://schemas.openxmlformats.org/officeDocument/2006/relationships/image" Target="media/image767.png"/><Relationship Id="rId815" Type="http://schemas.openxmlformats.org/officeDocument/2006/relationships/image" Target="media/image768.png"/><Relationship Id="rId816" Type="http://schemas.openxmlformats.org/officeDocument/2006/relationships/image" Target="media/image769.png"/><Relationship Id="rId817" Type="http://schemas.openxmlformats.org/officeDocument/2006/relationships/image" Target="media/image770.png"/><Relationship Id="rId818" Type="http://schemas.openxmlformats.org/officeDocument/2006/relationships/image" Target="media/image771.png"/><Relationship Id="rId819" Type="http://schemas.openxmlformats.org/officeDocument/2006/relationships/image" Target="media/image772.png"/><Relationship Id="rId820" Type="http://schemas.openxmlformats.org/officeDocument/2006/relationships/image" Target="media/image773.png"/><Relationship Id="rId821" Type="http://schemas.openxmlformats.org/officeDocument/2006/relationships/image" Target="media/image774.png"/><Relationship Id="rId822" Type="http://schemas.openxmlformats.org/officeDocument/2006/relationships/image" Target="media/image775.png"/><Relationship Id="rId823" Type="http://schemas.openxmlformats.org/officeDocument/2006/relationships/image" Target="media/image776.png"/><Relationship Id="rId824" Type="http://schemas.openxmlformats.org/officeDocument/2006/relationships/image" Target="media/image777.png"/><Relationship Id="rId825" Type="http://schemas.openxmlformats.org/officeDocument/2006/relationships/image" Target="media/image778.png"/><Relationship Id="rId826" Type="http://schemas.openxmlformats.org/officeDocument/2006/relationships/image" Target="media/image779.png"/><Relationship Id="rId827" Type="http://schemas.openxmlformats.org/officeDocument/2006/relationships/image" Target="media/image780.png"/><Relationship Id="rId828" Type="http://schemas.openxmlformats.org/officeDocument/2006/relationships/image" Target="media/image781.png"/><Relationship Id="rId829" Type="http://schemas.openxmlformats.org/officeDocument/2006/relationships/image" Target="media/image782.png"/><Relationship Id="rId830" Type="http://schemas.openxmlformats.org/officeDocument/2006/relationships/image" Target="media/image783.png"/><Relationship Id="rId831" Type="http://schemas.openxmlformats.org/officeDocument/2006/relationships/image" Target="media/image784.png"/><Relationship Id="rId229" Type="http://schemas.openxmlformats.org/officeDocument/2006/relationships/hyperlink" Target="http://www.sec.gov/Archives/edgar/data/1549802/000119312523170608/d498824dex31.htm" TargetMode="External"/><Relationship Id="rId230" Type="http://schemas.openxmlformats.org/officeDocument/2006/relationships/hyperlink" Target="http://www.sec.gov/Archives/edgar/data/1549802/000110465914064820/a14-20175_1ex4d3.htm" TargetMode="External"/><Relationship Id="rId231" Type="http://schemas.openxmlformats.org/officeDocument/2006/relationships/hyperlink" Target="http://www.sec.gov/Archives/edgar/data/1549802/000104746914003773/a2219624zex-4_2.htm" TargetMode="External"/><Relationship Id="rId233" Type="http://schemas.openxmlformats.org/officeDocument/2006/relationships/hyperlink" Target="http://www.sec.gov/Archives/edgar/data/1549802/000119312519305333/d834229dex41.htm" TargetMode="External"/><Relationship Id="rId234" Type="http://schemas.openxmlformats.org/officeDocument/2006/relationships/hyperlink" Target="http://www.sec.gov/Archives/edgar/data/1549802/000110465916116188/a16-8539_8ex4d1.htm" TargetMode="External"/><Relationship Id="rId235" Type="http://schemas.openxmlformats.org/officeDocument/2006/relationships/hyperlink" Target="http://www.sec.gov/Archives/edgar/data/1549802/000119312520007193/d869712dex41.htm" TargetMode="External"/><Relationship Id="rId236" Type="http://schemas.openxmlformats.org/officeDocument/2006/relationships/hyperlink" Target="http://www.sec.gov/Archives/edgar/data/1549802/000119312520108084/d875897dex211.htm" TargetMode="External"/><Relationship Id="rId237" Type="http://schemas.openxmlformats.org/officeDocument/2006/relationships/hyperlink" Target="http://www.sec.gov/Archives/edgar/data/1549802/000119312520108084/d875897dex212.htm" TargetMode="External"/><Relationship Id="rId238" Type="http://schemas.openxmlformats.org/officeDocument/2006/relationships/hyperlink" Target="http://www.sec.gov/Archives/edgar/data/1549802/000104746916012265/a2228295zf-3asr.htm#dc13901_description_of_debt_securities" TargetMode="External"/><Relationship Id="rId239" Type="http://schemas.openxmlformats.org/officeDocument/2006/relationships/hyperlink" Target="http://www.sec.gov/Archives/edgar/data/1549802/000104746916012478/a2228376z424b2.htm#dg13903_description_of_the_notes" TargetMode="External"/><Relationship Id="rId240" Type="http://schemas.openxmlformats.org/officeDocument/2006/relationships/hyperlink" Target="http://www.sec.gov/Archives/edgar/data/1549802/000119312519305333/d834229df3asr.htm#rom834229_6" TargetMode="External"/><Relationship Id="rId241" Type="http://schemas.openxmlformats.org/officeDocument/2006/relationships/hyperlink" Target="http://www.sec.gov/Archives/edgar/data/1549802/000119312520003191/d834229d424b2.htm#supprom834229_11" TargetMode="External"/><Relationship Id="rId243" Type="http://schemas.openxmlformats.org/officeDocument/2006/relationships/hyperlink" Target="http://www.sec.gov/Archives/edgar/data/1549802/000119312525083473/d871796dex215.htm" TargetMode="External"/><Relationship Id="rId244" Type="http://schemas.openxmlformats.org/officeDocument/2006/relationships/hyperlink" Target="http://www.sec.gov/Archives/edgar/data/1549802/000119312523301749/d19946dex102.htm" TargetMode="External"/><Relationship Id="rId245" Type="http://schemas.openxmlformats.org/officeDocument/2006/relationships/hyperlink" Target="http://www.sec.gov/Archives/edgar/data/1549802/000104746914002636/a2218967zex-10_2.htm" TargetMode="External"/><Relationship Id="rId246" Type="http://schemas.openxmlformats.org/officeDocument/2006/relationships/hyperlink" Target="http://www.sec.gov/Archives/edgar/data/1549802/000104746914000443/a2218025zex-10_3.htm" TargetMode="External"/><Relationship Id="rId247" Type="http://schemas.openxmlformats.org/officeDocument/2006/relationships/hyperlink" Target="http://www.sec.gov/Archives/edgar/data/1549802/000119312523107486/d416083dex44.htm" TargetMode="External"/><Relationship Id="rId248" Type="http://schemas.openxmlformats.org/officeDocument/2006/relationships/hyperlink" Target="http://www.sec.gov/Archives/edgar/data/1549802/000119312523107486/d416083dex45.htm" TargetMode="External"/><Relationship Id="rId249" Type="http://schemas.openxmlformats.org/officeDocument/2006/relationships/hyperlink" Target="http://www.sec.gov/Archives/edgar/data/1549802/000119312523107486/d416083dex46.htm" TargetMode="External"/><Relationship Id="rId250" Type="http://schemas.openxmlformats.org/officeDocument/2006/relationships/hyperlink" Target="http://www.sec.gov/Archives/edgar/data/1549802/000119312523107486/d416083dex47.htm" TargetMode="External"/><Relationship Id="rId251" Type="http://schemas.openxmlformats.org/officeDocument/2006/relationships/hyperlink" Target="http://www.sec.gov/Archives/edgar/data/1549802/000119312523107486/d416083dex48.htm" TargetMode="External"/><Relationship Id="rId252" Type="http://schemas.openxmlformats.org/officeDocument/2006/relationships/hyperlink" Target="http://www.sec.gov/Archives/edgar/data/1549802/000119312523107486/d416083dex49.htm" TargetMode="External"/><Relationship Id="rId254" Type="http://schemas.openxmlformats.org/officeDocument/2006/relationships/hyperlink" Target="http://www.sec.gov/Archives/edgar/data/1549802/000119312523107486/d416083dex410.htm" TargetMode="External"/><Relationship Id="rId255" Type="http://schemas.openxmlformats.org/officeDocument/2006/relationships/hyperlink" Target="http://www.sec.gov/Archives/edgar/data/1549802/000119312523107486/d416083dex411.htm" TargetMode="External"/><Relationship Id="rId256" Type="http://schemas.openxmlformats.org/officeDocument/2006/relationships/hyperlink" Target="http://www.sec.gov/Archives/edgar/data/1549802/000119312523107486/d416083dex412.htm" TargetMode="External"/><Relationship Id="rId257" Type="http://schemas.openxmlformats.org/officeDocument/2006/relationships/hyperlink" Target="http://www.sec.gov/Archives/edgar/data/1549802/000119312523107486/d416083dex413.htm" TargetMode="External"/><Relationship Id="rId258" Type="http://schemas.openxmlformats.org/officeDocument/2006/relationships/hyperlink" Target="http://www.sec.gov/Archives/edgar/data/1549802/000119312523107486/d416083dex414.htm" TargetMode="External"/><Relationship Id="rId259" Type="http://schemas.openxmlformats.org/officeDocument/2006/relationships/hyperlink" Target="http://www.sec.gov/Archives/edgar/data/1549802/000119312523107486/d416083dex415.htm" TargetMode="External"/><Relationship Id="rId262" Type="http://schemas.openxmlformats.org/officeDocument/2006/relationships/hyperlink" Target="http://www.sec.gov/Archives/edgar/data/1529192/000110465918001095/a18-2132_1ex99d4.htm" TargetMode="External"/><Relationship Id="rId263" Type="http://schemas.openxmlformats.org/officeDocument/2006/relationships/hyperlink" Target="http://www.sec.gov/Archives/edgar/data/1549802/000110465918027777/a18-5116_1ex4d41.htm" TargetMode="External"/><Relationship Id="rId264" Type="http://schemas.openxmlformats.org/officeDocument/2006/relationships/hyperlink" Target="http://www.sec.gov/Archives/edgar/data/1549802/000110465918027777/a18-5116_1ex4d43.htm" TargetMode="External"/><Relationship Id="rId265" Type="http://schemas.openxmlformats.org/officeDocument/2006/relationships/hyperlink" Target="http://www.sec.gov/Archives/edgar/data/1549802/000110465918027777/a18-5116_1ex4d44.htm" TargetMode="External"/><Relationship Id="rId267" Type="http://schemas.openxmlformats.org/officeDocument/2006/relationships/hyperlink" Target="http://www.sec.gov/Archives/edgar/data/1549802/000119312521119536/d17722dex445.htm" TargetMode="External"/><Relationship Id="rId268" Type="http://schemas.openxmlformats.org/officeDocument/2006/relationships/hyperlink" Target="http://www.sec.gov/Archives/edgar/data/1549802/000119312521119536/d17722dex446.htm" TargetMode="External"/><Relationship Id="rId269" Type="http://schemas.openxmlformats.org/officeDocument/2006/relationships/hyperlink" Target="http://www.sec.gov/Archives/edgar/data/1549802/000119312521119536/d17722dex450.htm" TargetMode="External"/><Relationship Id="rId270" Type="http://schemas.openxmlformats.org/officeDocument/2006/relationships/hyperlink" Target="http://www.sec.gov/Archives/edgar/data/1549802/000119312522125563/d261582dex447.htm" TargetMode="External"/><Relationship Id="rId272" Type="http://schemas.openxmlformats.org/officeDocument/2006/relationships/hyperlink" Target="http://www.sec.gov/Archives/edgar/data/1549802/000119312525083473/d871796dex443.htm" TargetMode="External"/><Relationship Id="rId273" Type="http://schemas.openxmlformats.org/officeDocument/2006/relationships/hyperlink" Target="http://www.sec.gov/Archives/edgar/data/1549802/000119312523107486/d416083dex111.htm" TargetMode="External"/><Relationship Id="rId274" Type="http://schemas.openxmlformats.org/officeDocument/2006/relationships/hyperlink" Target="http://www.sec.gov/Archives/edgar/data/1549802/000119312525083473/d871796dex112.htm" TargetMode="External"/><Relationship Id="rId275" Type="http://schemas.openxmlformats.org/officeDocument/2006/relationships/hyperlink" Target="http://www.sec.gov/Archives/edgar/data/1549802/000119312524099869/d573654d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2026-04-16T05:44:11Z</dcterms:created>
  <dcterms:modified xsi:type="dcterms:W3CDTF">2026-04-16T05:44:11Z</dcterms:modified>
</cp:coreProperties>
</file>