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0001979553</w:t>
            </w: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835"/>
        </w:trPr>
        <w:tc>
          <w:tcPr>
            <w:tcW w:w="68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80" w:type="dxa"/>
            <w:vAlign w:val="bottom"/>
          </w:tcPr>
          <w:p>
            <w:pPr>
              <w:spacing w:after="0"/>
              <w:rPr>
                <w:sz w:val="24"/>
                <w:szCs w:val="24"/>
                <w:color w:val="auto"/>
              </w:rPr>
            </w:pPr>
          </w:p>
        </w:tc>
        <w:tc>
          <w:tcPr>
            <w:tcW w:w="340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JD.com,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80" w:type="dxa"/>
            <w:vAlign w:val="bottom"/>
          </w:tcPr>
          <w:p>
            <w:pPr>
              <w:spacing w:after="0"/>
              <w:rPr>
                <w:sz w:val="24"/>
                <w:szCs w:val="24"/>
                <w:color w:val="auto"/>
              </w:rPr>
            </w:pPr>
          </w:p>
        </w:tc>
        <w:tc>
          <w:tcPr>
            <w:tcW w:w="340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001-36450</w:t>
            </w:r>
          </w:p>
        </w:tc>
      </w:tr>
      <w:tr>
        <w:trPr>
          <w:trHeight w:val="258"/>
        </w:trPr>
        <w:tc>
          <w:tcPr>
            <w:tcW w:w="300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340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6"/>
              </w:rPr>
              <w:t>No.18 Kechuang 11 Street</w:t>
            </w:r>
          </w:p>
        </w:tc>
      </w:tr>
      <w:tr>
        <w:trPr>
          <w:trHeight w:val="243"/>
        </w:trPr>
        <w:tc>
          <w:tcPr>
            <w:tcW w:w="300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340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BDA</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80" w:type="dxa"/>
            <w:vAlign w:val="bottom"/>
          </w:tcPr>
          <w:p>
            <w:pPr>
              <w:spacing w:after="0"/>
              <w:rPr>
                <w:sz w:val="21"/>
                <w:szCs w:val="21"/>
                <w:color w:val="auto"/>
              </w:rPr>
            </w:pPr>
          </w:p>
        </w:tc>
        <w:tc>
          <w:tcPr>
            <w:tcW w:w="340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Beijing</w:t>
            </w:r>
          </w:p>
        </w:tc>
      </w:tr>
      <w:tr>
        <w:trPr>
          <w:trHeight w:val="243"/>
        </w:trPr>
        <w:tc>
          <w:tcPr>
            <w:tcW w:w="300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340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30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40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101111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80" w:type="dxa"/>
            <w:vAlign w:val="bottom"/>
          </w:tcPr>
          <w:p>
            <w:pPr>
              <w:spacing w:after="0"/>
              <w:rPr>
                <w:sz w:val="24"/>
                <w:szCs w:val="24"/>
                <w:color w:val="auto"/>
              </w:rPr>
            </w:pPr>
          </w:p>
        </w:tc>
        <w:tc>
          <w:tcPr>
            <w:tcW w:w="340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86-010-89127555</w:t>
            </w:r>
          </w:p>
        </w:tc>
      </w:tr>
      <w:tr>
        <w:trPr>
          <w:trHeight w:val="297"/>
        </w:trPr>
        <w:tc>
          <w:tcPr>
            <w:tcW w:w="68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0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Shan Su</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6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6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6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6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 Core Securities</w:t>
            </w:r>
          </w:p>
        </w:tc>
        <w:tc>
          <w:tcPr>
            <w:tcW w:w="1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Company Limited</w:t>
            </w:r>
          </w:p>
        </w:tc>
        <w:tc>
          <w:tcPr>
            <w:tcW w:w="1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ADR (each representing</w:t>
            </w:r>
          </w:p>
        </w:tc>
        <w:tc>
          <w:tcPr>
            <w:tcW w:w="2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C,20/F., Standard</w:t>
            </w:r>
          </w:p>
        </w:tc>
        <w:tc>
          <w:tcPr>
            <w:tcW w:w="1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two Class A ordinary</w:t>
            </w:r>
          </w:p>
        </w:tc>
        <w:tc>
          <w:tcPr>
            <w:tcW w:w="2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Chartered Bank</w:t>
            </w:r>
          </w:p>
        </w:tc>
        <w:tc>
          <w:tcPr>
            <w:tcW w:w="124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700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17633.00</w:t>
            </w: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9"/>
              </w:rPr>
              <w:t>Building,4-4A Des Voeux</w:t>
            </w:r>
          </w:p>
        </w:tc>
        <w:tc>
          <w:tcPr>
            <w:tcW w:w="1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Road Central,</w:t>
            </w:r>
          </w:p>
        </w:tc>
        <w:tc>
          <w:tcPr>
            <w:tcW w:w="1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Central  K3  999077</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2500" w:val="left"/>
        </w:tabs>
        <w:rPr>
          <w:sz w:val="20"/>
          <w:szCs w:val="20"/>
          <w:color w:val="auto"/>
        </w:rPr>
      </w:pPr>
      <w:r>
        <w:rPr>
          <w:rFonts w:ascii="Times New Roman" w:cs="Times New Roman" w:eastAsia="Times New Roman" w:hAnsi="Times New Roman"/>
          <w:sz w:val="22"/>
          <w:szCs w:val="22"/>
          <w:color w:val="auto"/>
        </w:rPr>
        <w:t>2731641465  07/02/2026</w:t>
      </w:r>
      <w:r>
        <w:rPr>
          <w:sz w:val="20"/>
          <w:szCs w:val="20"/>
          <w:color w:val="auto"/>
        </w:rPr>
        <w:tab/>
      </w:r>
      <w:r>
        <w:rPr>
          <w:rFonts w:ascii="Times New Roman" w:cs="Times New Roman" w:eastAsia="Times New Roman" w:hAnsi="Times New Roman"/>
          <w:sz w:val="21"/>
          <w:szCs w:val="21"/>
          <w:color w:val="auto"/>
        </w:rPr>
        <w:t>NASDAQ</w:t>
      </w:r>
    </w:p>
    <w:p>
      <w:pPr>
        <w:spacing w:after="0" w:line="958"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122"/>
        </w:trPr>
        <w:tc>
          <w:tcPr>
            <w:tcW w:w="14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480" w:type="dxa"/>
            <w:vAlign w:val="bottom"/>
            <w:vMerge w:val="restart"/>
          </w:tcPr>
          <w:p>
            <w:pPr>
              <w:jc w:val="center"/>
              <w:ind w:left="1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460" w:type="dxa"/>
            <w:vAlign w:val="bottom"/>
            <w:vMerge w:val="restart"/>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48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4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Vesting of</w:t>
            </w: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ADR (each</w:t>
            </w:r>
          </w:p>
        </w:tc>
        <w:tc>
          <w:tcPr>
            <w:tcW w:w="1020" w:type="dxa"/>
            <w:vAlign w:val="bottom"/>
          </w:tcPr>
          <w:p>
            <w:pPr>
              <w:spacing w:after="0"/>
              <w:rPr>
                <w:sz w:val="21"/>
                <w:szCs w:val="21"/>
                <w:color w:val="auto"/>
              </w:rPr>
            </w:pPr>
          </w:p>
        </w:tc>
        <w:tc>
          <w:tcPr>
            <w:tcW w:w="14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w w:val="96"/>
              </w:rPr>
              <w:t>Restricted Share</w:t>
            </w:r>
          </w:p>
        </w:tc>
        <w:tc>
          <w:tcPr>
            <w:tcW w:w="0" w:type="dxa"/>
            <w:vAlign w:val="bottom"/>
          </w:tcPr>
          <w:p>
            <w:pPr>
              <w:spacing w:after="0"/>
              <w:rPr>
                <w:sz w:val="1"/>
                <w:szCs w:val="1"/>
                <w:color w:val="auto"/>
              </w:rPr>
            </w:pPr>
          </w:p>
        </w:tc>
      </w:tr>
      <w:tr>
        <w:trPr>
          <w:trHeight w:val="216"/>
        </w:trPr>
        <w:tc>
          <w:tcPr>
            <w:tcW w:w="146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representing</w:t>
            </w:r>
          </w:p>
        </w:tc>
        <w:tc>
          <w:tcPr>
            <w:tcW w:w="1020" w:type="dxa"/>
            <w:vAlign w:val="bottom"/>
          </w:tcPr>
          <w:p>
            <w:pPr>
              <w:spacing w:after="0"/>
              <w:rPr>
                <w:sz w:val="18"/>
                <w:szCs w:val="18"/>
                <w:color w:val="auto"/>
              </w:rPr>
            </w:pPr>
          </w:p>
        </w:tc>
        <w:tc>
          <w:tcPr>
            <w:tcW w:w="148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Units granted</w:t>
            </w:r>
          </w:p>
        </w:tc>
        <w:tc>
          <w:tcPr>
            <w:tcW w:w="0" w:type="dxa"/>
            <w:vAlign w:val="bottom"/>
          </w:tcPr>
          <w:p>
            <w:pPr>
              <w:spacing w:after="0"/>
              <w:rPr>
                <w:sz w:val="1"/>
                <w:szCs w:val="1"/>
                <w:color w:val="auto"/>
              </w:rPr>
            </w:pPr>
          </w:p>
        </w:tc>
      </w:tr>
      <w:tr>
        <w:trPr>
          <w:trHeight w:val="270"/>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two Class A</w:t>
            </w:r>
          </w:p>
        </w:tc>
        <w:tc>
          <w:tcPr>
            <w:tcW w:w="250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07/01/2026</w:t>
            </w:r>
            <w:r>
              <w:rPr>
                <w:rFonts w:ascii="Times New Roman" w:cs="Times New Roman" w:eastAsia="Times New Roman" w:hAnsi="Times New Roman"/>
                <w:sz w:val="17"/>
                <w:szCs w:val="17"/>
                <w:color w:val="auto"/>
              </w:rPr>
              <w:t xml:space="preserve"> pursuant to the</w:t>
            </w: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1020" w:type="dxa"/>
            <w:vAlign w:val="bottom"/>
          </w:tcPr>
          <w:p>
            <w:pPr>
              <w:spacing w:after="0"/>
              <w:rPr>
                <w:sz w:val="21"/>
                <w:szCs w:val="21"/>
                <w:color w:val="auto"/>
              </w:rPr>
            </w:pPr>
          </w:p>
        </w:tc>
        <w:tc>
          <w:tcPr>
            <w:tcW w:w="14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Issuer's share</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Incentive plan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0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0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480" w:type="dxa"/>
            <w:vAlign w:val="bottom"/>
            <w:vMerge w:val="restart"/>
          </w:tcPr>
          <w:p>
            <w:pPr>
              <w:jc w:val="center"/>
              <w:ind w:left="1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06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0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480" w:type="dxa"/>
            <w:vAlign w:val="bottom"/>
            <w:vMerge w:val="restart"/>
          </w:tcPr>
          <w:p>
            <w:pPr>
              <w:jc w:val="center"/>
              <w:ind w:left="1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6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2"/>
        </w:trPr>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Vesting of</w:t>
            </w:r>
          </w:p>
        </w:tc>
        <w:tc>
          <w:tcPr>
            <w:tcW w:w="0" w:type="dxa"/>
            <w:vAlign w:val="bottom"/>
          </w:tcPr>
          <w:p>
            <w:pPr>
              <w:spacing w:after="0"/>
              <w:rPr>
                <w:sz w:val="1"/>
                <w:szCs w:val="1"/>
                <w:color w:val="auto"/>
              </w:rPr>
            </w:pPr>
          </w:p>
        </w:tc>
      </w:tr>
      <w:tr>
        <w:trPr>
          <w:trHeight w:val="243"/>
        </w:trPr>
        <w:tc>
          <w:tcPr>
            <w:tcW w:w="1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JD.com, Inc.</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jc w:val="right"/>
              <w:ind w:right="772"/>
              <w:spacing w:after="0" w:line="243" w:lineRule="exact"/>
              <w:rPr>
                <w:sz w:val="20"/>
                <w:szCs w:val="20"/>
                <w:color w:val="auto"/>
              </w:rPr>
            </w:pPr>
            <w:r>
              <w:rPr>
                <w:rFonts w:ascii="Times New Roman" w:cs="Times New Roman" w:eastAsia="Times New Roman" w:hAnsi="Times New Roman"/>
                <w:sz w:val="22"/>
                <w:szCs w:val="22"/>
                <w:color w:val="auto"/>
              </w:rPr>
              <w:t>700</w:t>
            </w:r>
          </w:p>
        </w:tc>
        <w:tc>
          <w:tcPr>
            <w:tcW w:w="25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07/01/2026 Restricted Share</w:t>
            </w: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564" w:lineRule="exact"/>
        <w:rPr>
          <w:sz w:val="20"/>
          <w:szCs w:val="20"/>
          <w:color w:val="auto"/>
        </w:rPr>
      </w:pPr>
    </w:p>
    <w:p>
      <w:pPr>
        <w:sectPr>
          <w:pgSz w:w="11900" w:h="16838" w:orient="portrait"/>
          <w:cols w:equalWidth="0" w:num="2">
            <w:col w:w="4000" w:space="280"/>
            <w:col w:w="696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Shan Su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No.18 Kechuang 11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ADS of JD.com Inc</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04/02/2026 4600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130594.87</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BDA</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Beijing  F4  101111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99" w:lineRule="exact"/>
        <w:rPr>
          <w:sz w:val="20"/>
          <w:szCs w:val="20"/>
          <w:color w:val="auto"/>
        </w:rPr>
      </w:pPr>
    </w:p>
    <w:p>
      <w:pPr>
        <w:jc w:val="both"/>
        <w:ind w:left="940" w:right="8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The securities set forth herein are being sold pursuant to a mandatory, non-discretionary, sell-to-cover arrangement for the purpose of satisfying income tax liabilities incurred upon vesting of restricted stock units award only.</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06/30/2026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Shan Su</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2026-06-30T06:07:19Z</dcterms:created>
  <dcterms:modified xsi:type="dcterms:W3CDTF">2026-06-30T06:07:19Z</dcterms:modified>
</cp:coreProperties>
</file>