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19741-2_4seq1.xml.htm"/>
      <w:bookmarkStart w:id="1" w:name="kstm2619741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Shan Su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20TH FLOOR, BUILDING A,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18 KECHUANG 11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JD.com,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JD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7"/>
        <w:gridCol w:w="904"/>
        <w:gridCol w:w="774"/>
        <w:gridCol w:w="600"/>
        <w:gridCol w:w="349"/>
        <w:gridCol w:w="846"/>
        <w:gridCol w:w="454"/>
        <w:gridCol w:w="755"/>
        <w:gridCol w:w="1163"/>
        <w:gridCol w:w="998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1,250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41,490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574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26.46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40,916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3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American depositary shares (ADSs), each representing two Class A ordinary shares, were acquired upon vesting and settlement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ADSs sold pursuant to a mandatory, non-discretionary, sell-to-cover arrangement for the purpose of satisfying income tax liabilities incurred upon vesting of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share unit represents the contingent right to receive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restricted shares units were vested on July 1, 2026 and do not have an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 Shan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553" TargetMode="External"/><Relationship Id="rId5" Type="http://schemas.openxmlformats.org/officeDocument/2006/relationships/hyperlink" Target="http://www.sec.gov/cgi-bin/browse-edgar?action=getcompany&amp;CIK=000154980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673</Words>
  <Characters>3649</Characters>
  <CharactersWithSpaces>4245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